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4160" w:right="2020" w:hanging="3599"/>
        <w:spacing w:after="0" w:line="213" w:lineRule="auto"/>
        <w:tabs>
          <w:tab w:leader="none" w:pos="1383" w:val="left"/>
        </w:tabs>
        <w:numPr>
          <w:ilvl w:val="0"/>
          <w:numId w:val="1"/>
        </w:numPr>
        <w:rPr>
          <w:rFonts w:ascii="MS PGothic" w:cs="MS PGothic" w:eastAsia="MS PGothic" w:hAnsi="MS PGothic"/>
          <w:sz w:val="29"/>
          <w:szCs w:val="29"/>
          <w:color w:val="auto"/>
        </w:rPr>
      </w:pPr>
      <w:r>
        <w:rPr>
          <w:rFonts w:ascii="Arial" w:cs="Arial" w:eastAsia="Arial" w:hAnsi="Arial"/>
          <w:sz w:val="16"/>
          <w:szCs w:val="16"/>
          <w:color w:val="auto"/>
        </w:rPr>
        <w:t>QUARTERLY REPORT PURSUANT TO SECTION 13 OR 15(d) OF THE SECURITIES EXCHANGE ACT OF 1934 For the quarterly period ended June 30, 2021</w:t>
      </w:r>
    </w:p>
    <w:p>
      <w:pPr>
        <w:spacing w:after="0" w:line="7" w:lineRule="exact"/>
        <w:rPr>
          <w:rFonts w:ascii="MS PGothic" w:cs="MS PGothic" w:eastAsia="MS PGothic" w:hAnsi="MS PGothic"/>
          <w:sz w:val="29"/>
          <w:szCs w:val="29"/>
          <w:color w:val="auto"/>
        </w:rPr>
      </w:pPr>
    </w:p>
    <w:p>
      <w:pPr>
        <w:ind w:left="5500"/>
        <w:spacing w:after="0"/>
        <w:rPr>
          <w:rFonts w:ascii="MS PGothic" w:cs="MS PGothic" w:eastAsia="MS PGothic" w:hAnsi="MS PGothic"/>
          <w:sz w:val="29"/>
          <w:szCs w:val="29"/>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Arial" w:cs="Arial" w:eastAsia="Arial" w:hAnsi="Arial"/>
          <w:sz w:val="16"/>
          <w:szCs w:val="16"/>
          <w:color w:val="auto"/>
        </w:rPr>
        <w:t>TRANSITION REPORT PURSUANT TO SECTION 13 OR 15(d) OF THE SECURITIES EXCHANGE ACT OF 1934</w:t>
      </w:r>
    </w:p>
    <w:p>
      <w:pPr>
        <w:spacing w:after="0" w:line="7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001-39797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53"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2950 S. Delaware Street, Suite 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Mateo, California 94403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204-1000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8"/>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7"/>
                <w:szCs w:val="17"/>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182" w:lineRule="exact"/>
        <w:rPr>
          <w:sz w:val="24"/>
          <w:szCs w:val="24"/>
          <w:color w:val="auto"/>
        </w:rPr>
      </w:pPr>
    </w:p>
    <w:p>
      <w:pPr>
        <w:ind w:right="20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52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72"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44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5, 2021 there were 77,767,428 shares of the registrant’s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7080" w:type="dxa"/>
            <w:vAlign w:val="bottom"/>
            <w:gridSpan w:val="13"/>
            <w:vMerge w:val="restart"/>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FF"/>
            </w:tcBorders>
            <w:gridSpan w:val="8"/>
            <w:vMerge w:val="continue"/>
          </w:tcPr>
          <w:p>
            <w:pPr>
              <w:spacing w:after="0"/>
              <w:rPr>
                <w:sz w:val="14"/>
                <w:szCs w:val="14"/>
                <w:color w:val="auto"/>
              </w:rPr>
            </w:pPr>
          </w:p>
        </w:tc>
        <w:tc>
          <w:tcPr>
            <w:tcW w:w="7080" w:type="dxa"/>
            <w:vAlign w:val="bottom"/>
            <w:gridSpan w:val="13"/>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698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5560" w:type="dxa"/>
            <w:vAlign w:val="bottom"/>
            <w:gridSpan w:val="9"/>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Operations and Comprehensive Income (Loss)</w:t>
              </w:r>
            </w:hyperlink>
          </w:p>
        </w:tc>
        <w:tc>
          <w:tcPr>
            <w:tcW w:w="2260" w:type="dxa"/>
            <w:vAlign w:val="bottom"/>
            <w:gridSpan w:val="3"/>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4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Convertible Preferred Stock and Stockholders’ Equity (Deficit)</w:t>
              </w:r>
            </w:hyperlink>
          </w:p>
        </w:tc>
        <w:tc>
          <w:tcPr>
            <w:tcW w:w="1060" w:type="dxa"/>
            <w:vAlign w:val="bottom"/>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w:t>
              </w:r>
            </w:hyperlink>
          </w:p>
        </w:tc>
        <w:tc>
          <w:tcPr>
            <w:tcW w:w="4780" w:type="dxa"/>
            <w:vAlign w:val="bottom"/>
            <w:gridSpan w:val="7"/>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4500" w:type="dxa"/>
            <w:vAlign w:val="bottom"/>
            <w:gridSpan w:val="6"/>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68">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69</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Controls and Procedures</w:t>
              </w:r>
            </w:hyperlink>
          </w:p>
        </w:tc>
        <w:tc>
          <w:tcPr>
            <w:tcW w:w="6720" w:type="dxa"/>
            <w:vAlign w:val="bottom"/>
            <w:gridSpan w:val="11"/>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71</w:t>
              </w:r>
            </w:hyperlink>
          </w:p>
        </w:tc>
        <w:tc>
          <w:tcPr>
            <w:tcW w:w="0" w:type="dxa"/>
            <w:vAlign w:val="bottom"/>
          </w:tcPr>
          <w:p>
            <w:pPr>
              <w:spacing w:after="0"/>
              <w:rPr>
                <w:sz w:val="1"/>
                <w:szCs w:val="1"/>
                <w:color w:val="auto"/>
              </w:rPr>
            </w:pPr>
          </w:p>
        </w:tc>
      </w:tr>
      <w:tr>
        <w:trPr>
          <w:trHeight w:val="479"/>
        </w:trPr>
        <w:tc>
          <w:tcPr>
            <w:tcW w:w="278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71">
              <w:r>
                <w:rPr>
                  <w:rFonts w:ascii="Arial" w:cs="Arial" w:eastAsia="Arial" w:hAnsi="Arial"/>
                  <w:sz w:val="18"/>
                  <w:szCs w:val="18"/>
                  <w:b w:val="1"/>
                  <w:bCs w:val="1"/>
                  <w:color w:val="0000FF"/>
                </w:rPr>
                <w:t>PART II. OTHER INFORMATION</w:t>
              </w:r>
            </w:hyperlink>
          </w:p>
        </w:tc>
        <w:tc>
          <w:tcPr>
            <w:tcW w:w="738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500" w:type="dxa"/>
            <w:vAlign w:val="bottom"/>
            <w:gridSpan w:val="1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Legal Proceedings</w:t>
              </w:r>
            </w:hyperlink>
          </w:p>
        </w:tc>
        <w:tc>
          <w:tcPr>
            <w:tcW w:w="106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Risk Factors</w:t>
              </w:r>
            </w:hyperlink>
          </w:p>
        </w:tc>
        <w:tc>
          <w:tcPr>
            <w:tcW w:w="420" w:type="dxa"/>
            <w:vAlign w:val="bottom"/>
            <w:tcBorders>
              <w:top w:val="single" w:sz="8" w:color="0000FF"/>
            </w:tcBorders>
            <w:gridSpan w:val="3"/>
          </w:tcPr>
          <w:p>
            <w:pPr>
              <w:spacing w:after="0"/>
              <w:rPr>
                <w:sz w:val="18"/>
                <w:szCs w:val="18"/>
                <w:color w:val="auto"/>
              </w:rPr>
            </w:pPr>
          </w:p>
        </w:tc>
        <w:tc>
          <w:tcPr>
            <w:tcW w:w="7160" w:type="dxa"/>
            <w:vAlign w:val="bottom"/>
            <w:gridSpan w:val="14"/>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25">
              <w:r>
                <w:rPr>
                  <w:rFonts w:ascii="Arial" w:cs="Arial" w:eastAsia="Arial" w:hAnsi="Arial"/>
                  <w:sz w:val="18"/>
                  <w:szCs w:val="18"/>
                  <w:color w:val="0000FF"/>
                  <w:w w:val="89"/>
                </w:rPr>
                <w:t>Unregistered Sales of Equity Securities and Use of Proceeds</w:t>
              </w:r>
            </w:hyperlink>
          </w:p>
        </w:tc>
        <w:tc>
          <w:tcPr>
            <w:tcW w:w="4140" w:type="dxa"/>
            <w:vAlign w:val="bottom"/>
            <w:gridSpan w:val="5"/>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125</w:t>
              </w:r>
            </w:hyperlink>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500" w:type="dxa"/>
            <w:vAlign w:val="bottom"/>
            <w:gridSpan w:val="1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Defaults Upon Senior Securities</w:t>
              </w:r>
            </w:hyperlink>
          </w:p>
        </w:tc>
        <w:tc>
          <w:tcPr>
            <w:tcW w:w="10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126</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6180" w:type="dxa"/>
            <w:vAlign w:val="bottom"/>
            <w:gridSpan w:val="10"/>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126</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8500" w:type="dxa"/>
            <w:vAlign w:val="bottom"/>
            <w:gridSpan w:val="1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Other Information</w:t>
              </w:r>
            </w:hyperlink>
          </w:p>
        </w:tc>
        <w:tc>
          <w:tcPr>
            <w:tcW w:w="10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8500" w:type="dxa"/>
            <w:vAlign w:val="bottom"/>
            <w:gridSpan w:val="1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Exhibits and Financial Statement Schedule</w:t>
              </w:r>
            </w:hyperlink>
          </w:p>
        </w:tc>
        <w:tc>
          <w:tcPr>
            <w:tcW w:w="10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126</w:t>
              </w:r>
            </w:hyperlink>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rFonts w:ascii="Arial" w:cs="Arial" w:eastAsia="Arial" w:hAnsi="Arial"/>
                <w:sz w:val="18"/>
                <w:szCs w:val="18"/>
                <w:color w:val="0000FF"/>
              </w:rPr>
            </w:pPr>
            <w:hyperlink w:anchor="page127">
              <w:r>
                <w:rPr>
                  <w:rFonts w:ascii="Arial" w:cs="Arial" w:eastAsia="Arial" w:hAnsi="Arial"/>
                  <w:sz w:val="18"/>
                  <w:szCs w:val="18"/>
                  <w:color w:val="0000FF"/>
                </w:rPr>
                <w:t>Signatures</w:t>
              </w:r>
            </w:hyperlink>
          </w:p>
        </w:tc>
        <w:tc>
          <w:tcPr>
            <w:tcW w:w="9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0" w:lineRule="exact"/>
        <w:rPr>
          <w:sz w:val="20"/>
          <w:szCs w:val="20"/>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remain profitable;</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by our AI lending platform;</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loan funding strategy, including bank partnerships and whole loan sales and securitization transactions;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bank partners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business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 including our ongoing discussions with the Consumer Financial Protection Bureau, or CFPB;</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success of our strategic acquisitions, including integration of acquired operations, products, technology, internal controls and personnel;</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loans and the ability of third-party collection agents, to pursue collection of delinquent and defaulted loans;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new and evolving markets and our ability enter into new markets and introduce new products and services, such as our recent introduction of auto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continued growth and general corporate purposes;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250,819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506,287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66,866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6"/>
              </w:rPr>
              <w:t>Other assets (includes $6,831 and $15,450 at fair value as of December 31, 2020 and June 30, 2021,</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40,046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72,990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17,326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 to investors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Accrued expenses and other liabilities (includes $9,530 and $14,396 at fair value as of December 31,</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 and June 30, 2021, respectively)</w:t>
            </w: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188,487</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Common stock, $0.0001 par value; 700,000,000 shares authorized; 73,314,026 and 77,626,866, shares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as of December 31, 2020 and June 30, 2021,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737,924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716,096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hanging="332"/>
        <w:spacing w:after="0" w:line="214" w:lineRule="auto"/>
        <w:tabs>
          <w:tab w:leader="none" w:pos="335"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2020 and June 30, 2021.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30,769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11,839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36"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5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187,297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81,318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303,467</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Interest income and fair value adjustments, net (includes $406 and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$1,014 from related parties expense and $(97) and $4,238 of related</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parties fair value adjustments for the three and six months ended June</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 2020,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315,291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50,419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263,423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Income (expense) on warrants and other non-operating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46,619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 common</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37,284</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08"/>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1"/>
              </w:rPr>
              <w:t>Net income (loss) per share attributable to Upstart Holdings, Inc. common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3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Net income (loss) per share attributable to Upstart Holdings, Inc. common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number of shares outstanding used in computing net</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6"/>
              </w:rPr>
              <w:t>income (loss) per share attributable to Upstart Holdings, Inc. common</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76,674,129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14,641,333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9"/>
              </w:rPr>
              <w:t>75,160,037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Weighted-average number of shares outstanding used in computing net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income (loss) per share attributable to Upstart Holdings, Inc. common</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94,802,123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14,641,333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93,193,153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June 30,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100" w:type="dxa"/>
            <w:vAlign w:val="bottom"/>
          </w:tcPr>
          <w:p>
            <w:pPr>
              <w:spacing w:after="0"/>
              <w:rPr>
                <w:sz w:val="24"/>
                <w:szCs w:val="24"/>
                <w:color w:val="auto"/>
              </w:rPr>
            </w:pPr>
          </w:p>
        </w:tc>
        <w:tc>
          <w:tcPr>
            <w:tcW w:w="1720" w:type="dxa"/>
            <w:vAlign w:val="bottom"/>
            <w:tcBorders>
              <w:top w:val="single" w:sz="8" w:color="auto"/>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Convertible</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720" w:type="dxa"/>
            <w:vAlign w:val="bottom"/>
            <w:tcBorders>
              <w:right w:val="single" w:sz="8" w:color="auto"/>
            </w:tcBorders>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72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2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162,546</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14,654,032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(58,994)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(58,837)</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5,929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share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211"/>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14,659,961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(79,918)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(62,177)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June 30,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100" w:type="dxa"/>
            <w:vAlign w:val="bottom"/>
          </w:tcPr>
          <w:p>
            <w:pPr>
              <w:spacing w:after="0"/>
              <w:rPr>
                <w:sz w:val="24"/>
                <w:szCs w:val="24"/>
                <w:color w:val="auto"/>
              </w:rPr>
            </w:pPr>
          </w:p>
        </w:tc>
        <w:tc>
          <w:tcPr>
            <w:tcW w:w="1720" w:type="dxa"/>
            <w:vAlign w:val="bottom"/>
            <w:tcBorders>
              <w:top w:val="single" w:sz="8" w:color="auto"/>
              <w:right w:val="single" w:sz="8" w:color="auto"/>
            </w:tcBorders>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Convertible</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720" w:type="dxa"/>
            <w:vAlign w:val="bottom"/>
            <w:tcBorders>
              <w:right w:val="single" w:sz="8" w:color="auto"/>
            </w:tcBorders>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72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gridSpan w:val="2"/>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2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gridSpan w:val="2"/>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as of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162,546</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14,561,398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(62,714)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98,563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Return of capital to interests in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share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(5,117)</w:t>
            </w: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14,659,961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17,739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(79,918)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(62,177)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(62,177)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5"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June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100" w:type="dxa"/>
            <w:vAlign w:val="bottom"/>
          </w:tcPr>
          <w:p>
            <w:pPr>
              <w:spacing w:after="0"/>
              <w:rPr>
                <w:sz w:val="24"/>
                <w:szCs w:val="24"/>
                <w:color w:val="auto"/>
              </w:rPr>
            </w:pPr>
          </w:p>
        </w:tc>
        <w:tc>
          <w:tcPr>
            <w:tcW w:w="1400" w:type="dxa"/>
            <w:vAlign w:val="bottom"/>
            <w:tcBorders>
              <w:top w:val="single" w:sz="8" w:color="auto"/>
            </w:tcBorders>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Convertible</w:t>
            </w:r>
          </w:p>
        </w:tc>
        <w:tc>
          <w:tcPr>
            <w:tcW w:w="30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00" w:type="dxa"/>
            <w:vAlign w:val="bottom"/>
          </w:tcPr>
          <w:p>
            <w:pPr>
              <w:spacing w:after="0"/>
              <w:rPr>
                <w:sz w:val="9"/>
                <w:szCs w:val="9"/>
                <w:color w:val="auto"/>
              </w:rPr>
            </w:pPr>
          </w:p>
        </w:tc>
        <w:tc>
          <w:tcPr>
            <w:tcW w:w="11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73,908,252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379,703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(59,120)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320,590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320,590</w:t>
            </w: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763,466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22,084</w:t>
            </w: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withheld related to net share</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in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71,003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71,003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connection with acquisition</w:t>
            </w:r>
          </w:p>
        </w:tc>
        <w:tc>
          <w:tcPr>
            <w:tcW w:w="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follow-on</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offering, net of underwriting</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discounts, commissions, and</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37,284</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37,284</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77,626,866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737,924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(21,836)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716,096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ind w:left="8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716,096</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2080"/>
        <w:spacing w:after="0"/>
        <w:rPr>
          <w:sz w:val="20"/>
          <w:szCs w:val="20"/>
          <w:color w:val="auto"/>
        </w:rPr>
      </w:pPr>
      <w:r>
        <w:rPr>
          <w:rFonts w:ascii="Arial" w:cs="Arial" w:eastAsia="Arial" w:hAnsi="Arial"/>
          <w:sz w:val="18"/>
          <w:szCs w:val="18"/>
          <w:b w:val="1"/>
          <w:bCs w:val="1"/>
          <w:color w:val="auto"/>
        </w:rPr>
        <w:t>June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100" w:type="dxa"/>
            <w:vAlign w:val="bottom"/>
          </w:tcPr>
          <w:p>
            <w:pPr>
              <w:spacing w:after="0"/>
              <w:rPr>
                <w:sz w:val="24"/>
                <w:szCs w:val="24"/>
                <w:color w:val="auto"/>
              </w:rPr>
            </w:pPr>
          </w:p>
        </w:tc>
        <w:tc>
          <w:tcPr>
            <w:tcW w:w="1400" w:type="dxa"/>
            <w:vAlign w:val="bottom"/>
            <w:tcBorders>
              <w:top w:val="single" w:sz="8" w:color="auto"/>
            </w:tcBorders>
            <w:gridSpan w:val="4"/>
            <w:vMerge w:val="restart"/>
          </w:tcPr>
          <w:p>
            <w:pPr>
              <w:jc w:val="center"/>
              <w:ind w:left="20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400" w:type="dxa"/>
            <w:vAlign w:val="bottom"/>
            <w:gridSpan w:val="4"/>
            <w:vMerge w:val="restart"/>
          </w:tcPr>
          <w:p>
            <w:pPr>
              <w:jc w:val="center"/>
              <w:ind w:left="228"/>
              <w:spacing w:after="0"/>
              <w:rPr>
                <w:sz w:val="20"/>
                <w:szCs w:val="20"/>
                <w:color w:val="auto"/>
              </w:rPr>
            </w:pPr>
            <w:r>
              <w:rPr>
                <w:rFonts w:ascii="Arial" w:cs="Arial" w:eastAsia="Arial" w:hAnsi="Arial"/>
                <w:sz w:val="14"/>
                <w:szCs w:val="14"/>
                <w:b w:val="1"/>
                <w:bCs w:val="1"/>
                <w:color w:val="auto"/>
                <w:w w:val="93"/>
              </w:rPr>
              <w:t>Preferred Stock</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Stockholders’</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as of December 31, 2020</w:t>
            </w: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73,314,026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1,284,977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Exercise of common stock</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withheld related to net share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settlement of restricted stock units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 acquisition</w:t>
            </w:r>
          </w:p>
        </w:tc>
        <w:tc>
          <w:tcPr>
            <w:tcW w:w="72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connection with follow-on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offering, net of underwriting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discounts, commissions, and</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86"/>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offering costs</w:t>
            </w:r>
          </w:p>
        </w:tc>
        <w:tc>
          <w:tcPr>
            <w:tcW w:w="720" w:type="dxa"/>
            <w:vAlign w:val="bottom"/>
            <w:gridSpan w:val="3"/>
            <w:vMerge w:val="continue"/>
          </w:tcPr>
          <w:p>
            <w:pPr>
              <w:spacing w:after="0"/>
              <w:rPr>
                <w:sz w:val="16"/>
                <w:szCs w:val="16"/>
                <w:color w:val="auto"/>
              </w:rPr>
            </w:pPr>
          </w:p>
        </w:tc>
        <w:tc>
          <w:tcPr>
            <w:tcW w:w="3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47,386</w:t>
            </w:r>
          </w:p>
        </w:tc>
        <w:tc>
          <w:tcPr>
            <w:tcW w:w="0" w:type="dxa"/>
            <w:vAlign w:val="bottom"/>
          </w:tcPr>
          <w:p>
            <w:pPr>
              <w:spacing w:after="0"/>
              <w:rPr>
                <w:sz w:val="1"/>
                <w:szCs w:val="1"/>
                <w:color w:val="auto"/>
              </w:rPr>
            </w:pPr>
          </w:p>
        </w:tc>
      </w:tr>
      <w:tr>
        <w:trPr>
          <w:trHeight w:val="183"/>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77,626,866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737,924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(21,836)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716,096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716,096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4"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Six Months Ended</w:t>
      </w:r>
    </w:p>
    <w:p>
      <w:pPr>
        <w:jc w:val="center"/>
        <w:ind w:left="784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4"/>
              </w:rPr>
              <w:t>Change in fair value of financial instruments (includes $(4,238) from related parties for the six months</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ended June 30, 2020)</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Gain on loan servicing arrangements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Incentive share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Net 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for immediate resale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(3,414,231)</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Proceeds from immediate resale of loans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3,414,231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loans held-for-sale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Principal payments received for loans held-for-sale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sale of loans held-for-sale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57,183</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(19,651)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and right-of-use asset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investors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135,896</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 by consolidated securitizations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sale of loans held-for-investment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Principal payments received for loans held-for-investment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notes receivable and repayments of residual certificates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loans held-for-investment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(42,548)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notes receivable and residual certificates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 costs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(39,699)</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w w:val="98"/>
              </w:rPr>
              <w:t>Proceeds from secondary offering, net of underwriting discounts, commissions, and offering costs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263,931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75"/>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0"/>
              </w:rPr>
              <w:t>Payments made on securitization notes and certificates (includes $1,034 paid to related parties for the six</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(26,126)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months ended June 30, 2020)</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borrowings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0"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Six Months Ended</w:t>
      </w:r>
    </w:p>
    <w:p>
      <w:pPr>
        <w:jc w:val="center"/>
        <w:ind w:left="784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tcPr>
          <w:p>
            <w:pPr>
              <w:ind w:left="240"/>
              <w:spacing w:after="0"/>
              <w:rPr>
                <w:sz w:val="20"/>
                <w:szCs w:val="20"/>
                <w:color w:val="auto"/>
              </w:rPr>
            </w:pPr>
            <w:r>
              <w:rPr>
                <w:rFonts w:ascii="Arial" w:cs="Arial" w:eastAsia="Arial" w:hAnsi="Arial"/>
                <w:sz w:val="18"/>
                <w:szCs w:val="18"/>
                <w:color w:val="auto"/>
              </w:rPr>
              <w:t>Distributions made to noncontrolling interests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borrowings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(37,396)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and restricted cash</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306,200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80,067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and restricted cash at end of period</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95,729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617,533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70"/>
        </w:trPr>
        <w:tc>
          <w:tcPr>
            <w:tcW w:w="7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Total right-of-use assets capitalized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in connection with acquisition</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Derecognition of loans held-for-investment in consolidated VIE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57,222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payable to securitization note holders and residual certificate holders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Upstart Holdings, Inc. and its subsidiaries (together “Upstart”, the “Company”, “we”, or “our”)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and Columbus, Ohio. The Company’s fiscal year ends on December 31.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2020.</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issues stock options, restricted stock units (“RSUs”),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Stock-based compensation expenses are recognized based on their respective grant-date fair values. Forfeitures are estimated at the time of grant and revised, as necessary, in subsequent periods if actual forfeitures differ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estimates. Stock-based compensation expense is recorded net of estimated forfeitures, such that the expense is recorded only for those stock options that are expected to vest.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the fair values of assets acquired and liabilities assumed to be recognized in the interim condensed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If the Company concludes the fair value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Acquired intangible assets are recorded at fair value on the date of acquisition and amortized on a straight-line basis over their estimated useful lives. Acquired intangible assets are presented net of accumulated amortization on the condensed consolidated balance sheets. The Company reviews the carrying amounts of intangible assets for impairment 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the Company completed a follow-on offering, in which 2,300,000 shares of common stock (including the exercise in full of the underwriters’ option to purchase 300,000 additional shares) were issued and sold at $120.00 per share. The Company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three and six months ended June 30, 2021, other income (expense) primarily consisted of dividend income earned by the Company on its unrestricted cash balance which is recognized in the period earned.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determined that forgiveness of the loan under the CARES Act was reasonably assured and recorded the full amount of proceeds as other income in the condensed consolidated statement of operations and comprehensive income (loss) in 2020. In March 2021, the Company voluntarily repaid proceeds received under the Paycheck Protection Program plus accrued interest totaling $5.3 million. The Company recognized the loan principal repayment as an other expense.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condensed consolidated financial statements may not be comparable to companies that comply with the new or revised accounting pronouncements as of public company effective dates.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no longer qualify as an emerging growth company on the last day of the fiscal year ending December 31, 2021. Accordingly, the Company will be required to comply with the new or revised accounting pronouncements as of the effective dates applicable to public companies that are not emerging growth companies, as disclosed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adopted the following accounting standards during the six months ended June 30, 2021:</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August 2018, the Financial Accounting Standards Board (“FASB”) issued ASU 2018-15, </w:t>
      </w:r>
      <w:r>
        <w:rPr>
          <w:rFonts w:ascii="Arial" w:cs="Arial" w:eastAsia="Arial" w:hAnsi="Arial"/>
          <w:sz w:val="17"/>
          <w:szCs w:val="17"/>
          <w:i w:val="1"/>
          <w:iCs w:val="1"/>
          <w:color w:val="auto"/>
        </w:rPr>
        <w:t>Customer’s Accounting for Implementation Costs</w:t>
      </w:r>
      <w:r>
        <w:rPr>
          <w:rFonts w:ascii="Arial" w:cs="Arial" w:eastAsia="Arial" w:hAnsi="Arial"/>
          <w:sz w:val="17"/>
          <w:szCs w:val="17"/>
          <w:color w:val="auto"/>
        </w:rPr>
        <w:t xml:space="preserve"> </w:t>
      </w:r>
      <w:r>
        <w:rPr>
          <w:rFonts w:ascii="Arial" w:cs="Arial" w:eastAsia="Arial" w:hAnsi="Arial"/>
          <w:sz w:val="17"/>
          <w:szCs w:val="17"/>
          <w:i w:val="1"/>
          <w:iCs w:val="1"/>
          <w:color w:val="auto"/>
        </w:rPr>
        <w:t>Incurred in a Cloud Computing Arrangement That Is a Service Contract</w:t>
      </w:r>
      <w:r>
        <w:rPr>
          <w:rFonts w:ascii="Arial" w:cs="Arial" w:eastAsia="Arial" w:hAnsi="Arial"/>
          <w:sz w:val="17"/>
          <w:szCs w:val="17"/>
          <w:color w:val="auto"/>
        </w:rPr>
        <w:t>, which requires a customer in a hosting arrangement that is a service contract to</w:t>
      </w:r>
      <w:r>
        <w:rPr>
          <w:rFonts w:ascii="Arial" w:cs="Arial" w:eastAsia="Arial" w:hAnsi="Arial"/>
          <w:sz w:val="17"/>
          <w:szCs w:val="17"/>
          <w:i w:val="1"/>
          <w:iCs w:val="1"/>
          <w:color w:val="auto"/>
        </w:rPr>
        <w:t xml:space="preserve"> </w:t>
      </w:r>
      <w:r>
        <w:rPr>
          <w:rFonts w:ascii="Arial" w:cs="Arial" w:eastAsia="Arial" w:hAnsi="Arial"/>
          <w:sz w:val="17"/>
          <w:szCs w:val="17"/>
          <w:color w:val="auto"/>
        </w:rPr>
        <w:t>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guidance became effective on January 1, 2021 and the Company adopted the standard on a prospective basis. The adoption of the standard did not have a material impact on the Company’s condensed consolidated financial statements or related disclosures.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 required under current 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early adopted ASU 2020-06 on January 1, 2021 with no material impact on the Company’s condensed consolidated financial statements or related disclosures.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June 2016, the FASB amended guidance related to impairment of financial instruments as part of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which will be effective January 1, 2023 for emerging growth companies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(loss),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condensed consolidated balance sheets, condensed consolidated statements of operations and comprehensive income (loss), condensed consolidated statements of cash flows and related disclosures. The Company plans to adopt Topic 326 effective as of January 1, 2021 in the Company’s Annual Report on Form 10-K for the year ended December 31, 2021.</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followed by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guidance in ASU 2020-04 and ASU 2021-01 was effective upon issuance and, once adopted, may be applied prospectively to contract modifications and hedging relationships through December 31, 2022. The Company is currently evaluating the impact of the adoption of ASU 2020-04 and ASU 2021-01 on its condensed consolidated financial statements and related disclosures.</w:t>
      </w:r>
    </w:p>
    <w:p>
      <w:pPr>
        <w:spacing w:after="0" w:line="200" w:lineRule="exact"/>
        <w:rPr>
          <w:sz w:val="20"/>
          <w:szCs w:val="20"/>
          <w:color w:val="auto"/>
        </w:rPr>
      </w:pPr>
    </w:p>
    <w:p>
      <w:pPr>
        <w:spacing w:after="0" w:line="21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disaggregates revenue from fees by type of service for the periods presented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3420" w:type="dxa"/>
            <w:vAlign w:val="bottom"/>
            <w:gridSpan w:val="6"/>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9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4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Platform and referral fees, net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169,080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67,842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276,033</w:t>
            </w:r>
          </w:p>
        </w:tc>
      </w:tr>
      <w:tr>
        <w:trPr>
          <w:trHeight w:val="230"/>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fees, net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27,434</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13,305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w:t>
            </w:r>
          </w:p>
        </w:tc>
      </w:tr>
      <w:tr>
        <w:trPr>
          <w:trHeight w:val="20"/>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platform developed by the Company (the “Upstart platform”) to enable banks to originate 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holding periods. Upstart also pays bank partners monthly loan trailing fees based on the amount and timing of principal and interest payments made by borrowers of the underlying loans.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(loss) for the periods presented. The Company recognized $1.4 million and $3.8 million, of loan premium fees and loan trailing fees as contra-revenue within platform and referral fees, net for the three and six months ended June 30, 2020, respectively, and $6.0 million and $9.6 million, for the three and six months ended June 30, 2021, respectively.</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2020 and June 30, 2021, the Company recorded $1.3 million and $2.5 million of loan trailing fee liability, respectively, which is recorded at fair value and included within accrued expenses other liabilities on the Company’s condensed consolidated balance sheets. Refer to “</w:t>
      </w:r>
      <w:r>
        <w:rPr>
          <w:rFonts w:ascii="Arial" w:cs="Arial" w:eastAsia="Arial" w:hAnsi="Arial"/>
          <w:sz w:val="17"/>
          <w:szCs w:val="17"/>
          <w:i w:val="1"/>
          <w:iCs w:val="1"/>
          <w:color w:val="auto"/>
        </w:rPr>
        <w:t>Note 4.</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additional information on changes in fair value associated with trailing fee liabilities.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usage fees. The tier-based pricing, when offered, resets on a monthly basis and does not accumulate. Given that the nature of the Company’s promise is to stand-ready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periods presented. The Company had no material contract assets, contract liabilities, or deferred contract costs recorded as of December 31, 2020 and June 30, 2021. The Company had $8.1 million and $16.2 million of accounts receivable that are included in other assets on the condensed consolidated balance sheets related to contracts with customers as of December 31, 2020 and June 30, 2021, respectively. The Company’s allowance for bad debt was immaterial as of December 31, 2020 and June 30, 2021, and the Company’s bad debt expense was immaterial for the periods presented.</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capitalizes incremental costs of obtaining a contract with a customer, which are certain sales commissions paid to acquire bank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June 30, 2021, the Company had an immaterial amount of contract costs capitalized within other assets on the condensed consolidated balance sheets. For the three and six months ended June 30, 2021, the Company amortized an immaterial amount of capitalized contracts costs to sales and marketing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three and six months ended June 30, 2020, the Company had one customer (“Customer A”) which accounted for 35% and 70% of the Company’s total revenue, respectively. For the three and six months ended June 30, 2021, Customer A accounted for 63% and 62%, respectively, of the Company’s total revenue and a second customer accounted for 22% and 23%, respectively, of the Company’s total revenue. Two customers accounted for 34% and 15% of accounts receivable as of December 31, 2020, respectively, and 38% and 18% as of June 30, 2021, respectively.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Servicing fees, net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 of financial assets.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Servicing fees also include changes in fair value of loan servicing assets and liabilities in the periods presented.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gains related to loan servicing rights upon loan sales for the periods presented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28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r>
      <w:tr>
        <w:trPr>
          <w:trHeight w:val="230"/>
        </w:trPr>
        <w:tc>
          <w:tcPr>
            <w:tcW w:w="4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related to loan servicing rights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r>
    </w:tbl>
    <w:p>
      <w:pPr>
        <w:spacing w:after="0" w:line="3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fees, net as part of revenue from fees, net in the Company’s condensed consolidated statements of operations and comprehensive income (loss). The total fees charged by collection agencies are also recognized in the period incurred and reported as part of customer operations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fees, net for the periods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8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1,980</w:t>
            </w: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components of the interest income and fair value adjustments, net presented in the Company’s condensed consolidated statements of operations and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4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7,724</w:t>
            </w:r>
          </w:p>
        </w:tc>
        <w:tc>
          <w:tcPr>
            <w:tcW w:w="10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3,545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16,907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6,951</w:t>
            </w: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3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(1,416)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4,601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Amounts above include interest income, interest expense and fair value adjustments, net related to consolidated securitization trusts for the three and six months ended June 30,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300" w:type="dxa"/>
            <w:vAlign w:val="bottom"/>
          </w:tcPr>
          <w:p>
            <w:pPr>
              <w:spacing w:after="0"/>
              <w:rPr>
                <w:sz w:val="19"/>
                <w:szCs w:val="19"/>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 2020</w:t>
            </w:r>
          </w:p>
        </w:tc>
      </w:tr>
      <w:tr>
        <w:trPr>
          <w:trHeight w:val="155"/>
        </w:trPr>
        <w:tc>
          <w:tcPr>
            <w:tcW w:w="63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Interest income and fair value adjustments, net related to consolidated securitization</w:t>
            </w:r>
          </w:p>
        </w:tc>
        <w:tc>
          <w:tcPr>
            <w:tcW w:w="240" w:type="dxa"/>
            <w:vAlign w:val="bottom"/>
            <w:tcBorders>
              <w:top w:val="single" w:sz="8" w:color="auto"/>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trusts:</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5,173</w:t>
            </w: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condensed consolidated balance sheets and is earned over the life of a loan.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2020 and June 30,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Company has recorded $0.9 million of accrued interest income in loans on the condensed consolidated balance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is primarily related to interest recorded on the Company’s borrowings and the notes issued as part of the consolidated securitizations. Interest expense includes accrued interest incurred but not paid. Accrued interest expenses were immaterial as of December 31, 2020 and June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condensed consolidated statements of operations and comprehensive income (loss) and include both realized and unrealized changes to the value of related assets and liabilities.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and other adjustments, net also include income attributable to third-party residual certificate holders for the consolidated securitization and amounts received from borrowers for previously charged-off loans held on the Company’s condensed consolidated balance sheets. These amounts are recognized in the period received.</w:t>
      </w:r>
    </w:p>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Securitizations and Variable Interest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Warehouse Entity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established Upstart Loan Trust to enter into warehouse credit facilities for the purpose of purchasing Upstart-powered loans. See “</w:t>
      </w:r>
      <w:r>
        <w:rPr>
          <w:rFonts w:ascii="Arial" w:cs="Arial" w:eastAsia="Arial" w:hAnsi="Arial"/>
          <w:sz w:val="18"/>
          <w:szCs w:val="18"/>
          <w:i w:val="1"/>
          <w:iCs w:val="1"/>
          <w:color w:val="auto"/>
        </w:rPr>
        <w:t>Note 9. Borrowings”</w:t>
      </w:r>
      <w:r>
        <w:rPr>
          <w:rFonts w:ascii="Arial" w:cs="Arial" w:eastAsia="Arial" w:hAnsi="Arial"/>
          <w:sz w:val="18"/>
          <w:szCs w:val="18"/>
          <w:color w:val="auto"/>
        </w:rPr>
        <w:t xml:space="preserve"> for additional information. The entity is a Delaware statutory trust that is structured to be bankruptcy-remote, with third-party banks operating as trustees.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Consolidated Securitizations and MOAs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entered into a private offering securitization transaction in April 2018 (“2018-1”). As the sponsor of the securitization transaction, the Company created legal entities for the roles of depositors, issuers, grantor trusts, and MOAs.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risk retention requirements in Title 17 U.S. Code of Federal Regulations Part 246, Credit Risk Retention, promulgated by Securities and Exchange Commission (“RR”), the Company is required to retain at least 5% of the economic risk in securitization transactions in which the Company is the retaining sponsor. The Company elected to satisfy the RR requirements by holding Eligible Horizontal Retained Interests (“EHRIs”) in the form of subordinated certificates within the established MOA.</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Concurrently with the closing of the 2018-1 securitization transaction, while maintaining its status as the primary beneficiary of the related MOA, the Company sold 80% of its interests in the MOA to an institutional investor in exchange for cash of approximately $8.0 million based on the fair value of the residual certificates held in the MOA as determined on the pricing date. As a result of the sale, the Company maintained a 20% interest in the MOA and its status as the managing member, while the investor became a non-voting limited member. As of December 31, 2020 and June 30, 2021, no noncontrolling interests were recognized due to deconsolidation of the 2018-1 securitization during 2020.</w:t>
      </w:r>
    </w:p>
    <w:p>
      <w:pPr>
        <w:spacing w:after="0" w:line="2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closing of the securitization transaction, the Company determined that the servicing fees represented a variable interest in the securitization entities due to the EHRIs held by the Company’s MOA to satisfy the RR requirements. The EHRIs held by the MOA were deemed to potentially absorb more than an insignificant amount of the VIEs’ expected losses or expected returns at the inception of the securitization transaction. The Company also determined that it was the primary beneficiary of the entities and consolidated the MOA and trusts associated with the 2018-1 securitization transaction.</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Subsequent to the expiration of the RR requirements for 2018-1 in June 2020, the residual certificates held by the MOA was distributed based on the proportional equity held by Upstart and the investor. This distribution required the Company to reassess whether its servicing fee is a variable interest. Although the Company maintains a reduced level of variable interests in the 2018-1 securitization transaction through the EHRIs, the Company’s other interests subsequent to these distributions are no longer expected to absorb more than an insignificant amount of the VIE’s expected losses or expected returns. Therefore, the Company concluded that the fees for servicing the securitization transaction are no longer considered variable interests, and as such the powers the Company possesses through the servicing arrangement is no longer considered in the primary beneficiary determination. As a result, the Company concluded it was no longer the primary beneficiary of the 2018-1 securitization transaction. The Company deconsolidated the legal entities associated with the 2018-1 securitization as of June 30, 2020. The Company recorded an immaterial net gain on the deconsolidation of the entities. The Company maintained its role as servicer of these securitization transactions.</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2020 and 2019 and the MOAs continue to remain consolidated as of June 30, 2021.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Transferring and Servicing. As such, the Company derecognized these loans from the condensed consolidated balance sheets upon the closing of these securitization transactions. Refer to the Unconsolidated Securitizations section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Loan Trust 2, a Delaware statutory trust, holds personal loans facilitated through the Upstart platform. These loans include, but are not limited to, loans which do not satisfy the warehouse requirements or loans that were the result of the Company’s repurchases of loans for breaches of representations and warranties made to institutional investors, as described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36,421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16,243</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55,935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53,176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Unconsolidated Securitizations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cases where the VIEs are not consolidated and the transfer of the loans from the Company to the securitization trust meets sale accounting criteria, the Company recognizes a gain or loss on sales of loans.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Network Trust</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Upstart Network Trust (“UNT”), also a Delaware statutory trust, was established in 2014 to facilitate Upstart’s fractional loan program. The Company is the servicer of UNT’s loan assets and previously concluded that the servicing fee represents a variable interest and that the Company is the primary beneficiary of UNT. The program was formally discontinued in 2019 and as a result of a reduction in the Company’s investment in UNT, the Company concluded that it was no longer the primary beneficiary and therefore deconsolidated UNT during 2019. The fair value of the Company’s investment in UNT is included in notes receivable and residual certificates in the condensed consolidated balance sheets as of December 31, 2020 and June 30, 2021. The Company’s continued involvement in UNT includes loan servicing rights and obligations for which it receives servicing fees over the life of the underlying loans</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summarize the aggregate carrying value of assets and liabilities of unconsolidated VIEs in which the Company holds a variable interest but is not the primary beneficiary: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7"/>
                <w:szCs w:val="17"/>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484,604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390,252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24,434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524,358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430,006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326,832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251,219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75,613</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19,054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Upstart Network Trust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 Unconsolidated VIEs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275,831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assets that relate to variable interests in unconsolidated VIEs consists of $18.9 million and $13.0 million which are included in notes receivable and residual certificates on the condensed consolidated balance sheets as of December 31, 2020 and June 30, 2021, respectively. The Company also had $7.2 million of cash deposits made to reserve accounts for related securitizations, included in other assets on the condensed consolidated balance sheets as of December 31, 2020 and June 30,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Interest in Unconsolidated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Starting December 2019, the Company co-sponsored several securitization transactions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Transferring and Servicing. The Company is also the servicer of these securitization transactions.</w:t>
      </w:r>
    </w:p>
    <w:p>
      <w:pPr>
        <w:spacing w:after="0" w:line="200" w:lineRule="exact"/>
        <w:rPr>
          <w:sz w:val="20"/>
          <w:szCs w:val="20"/>
          <w:color w:val="auto"/>
        </w:rPr>
      </w:pPr>
    </w:p>
    <w:p>
      <w:pPr>
        <w:spacing w:after="0" w:line="22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assets and liabilities measured at fair value and categorized as Level 3 in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servicing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Trailing fee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factors in the overall fair value measurement. Since the Company’s loans, notes receivable and residual certificates, other assets, loan servicing assets and liabilities, and trailing fee liabilities do not trade in an active market with readily observable prices, the Company uses significant unobservable inputs to measure the fair value of these assets and liabilities.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Loans included in the Company’s condensed consolidated balance sheets are classified as either held-for-sale or held-for-investment. The Company reclassified loans held by the warehouse entities from held-for-investment to held-for-sale as of January 1, 2020, due to the Company’s intent to sell the loans prior to maturity and increasing evidence of their marketability. Other loans held on the Company’s condensed consolidated balance sheets retained their classification as held-for-investment. These loans include, but are not limited to, loans which do not satisfy the warehouse requirements and loans held in the consolidated securitizations.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presents the fair value of classes of loans held by the Company:</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68"/>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26,741</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Loans held-for-investment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55,570</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June 30, 2021.</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three and six months ended June 30, 2020 and 2021, the Company elected the measurement alternative under Topic 810, Consolidation,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condensed consolidated balance sheets, and financial liabilities, which consist of securitization notes and residual certificates issued to institutional investors, included in payable to securitization note holders and residual certificate holders in the condensed consolidated balance sheets, using the more observable of the fair value of the financial assets and liabilities. The Company determined the fair value of the amounts payable to securitization note holders and residual certificate holders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condensed consolidated statements of operations and comprehensive income (loss).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5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22.22 %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 the projected balances and expected terms of the 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inputs are similarly used in estimating fair value of related financial instruments. Refer to the Assets and Liabilities related to Securitization Transactions section below for more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below table presents the sensitivity of the loans held-for-sale and held-for-investment to adverse changes in key assumptions used in the valuation model as of December 31, 2020 and June 30, 2021, respectively. The estimated fair value of these loans is not sensitive to adverse changes in expected prepayment rates as such changes would not result in a significant impact on the fair value in either periods.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8"/>
              </w:rPr>
              <w:t>82,311</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(1,089)</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w w:val="94"/>
              </w:rPr>
              <w:t>(2,154)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w w:val="94"/>
              </w:rPr>
              <w:t>(1,350)</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(2,700)</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the loans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(Securitized)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(66,694)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(57,222)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Loans Held-for-</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(Securitized)</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(125,297)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915,234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(915,234)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(17,238)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(57,222)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49,672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2,119,597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2,119,597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(2,119,597)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(66,901)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3,414,231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(3,414,231)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(3,414,231)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related to Securitization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June 30, 2021, the Company held notes receivable and residual certificates with an aggregate fair value of $19.1 million and $13.0 million, respectively. The balances consist of securitization notes and residual certificates corresponding to the 5% economic risk retention the Company is required to maintain as the retaining sponsor of the unconsolidated securitizations.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discounted cash flow methodology is used to estimate the fair value of notes receivable and residual certificates, using the same projected net cash flows as their related loans. This model uses inputs that are inherently judgmental and reflect the Company’s best estimates of the assumptions a market participant would use to calculate fair value.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assets related to securitization transactions: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2021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Weighted-</w:t>
            </w:r>
          </w:p>
        </w:tc>
        <w:tc>
          <w:tcPr>
            <w:tcW w:w="80" w:type="dxa"/>
            <w:vAlign w:val="bottom"/>
          </w:tcPr>
          <w:p>
            <w:pPr>
              <w:spacing w:after="0"/>
              <w:rPr>
                <w:sz w:val="14"/>
                <w:szCs w:val="14"/>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Minimum</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00" w:type="dxa"/>
            <w:vAlign w:val="bottom"/>
          </w:tcPr>
          <w:p>
            <w:pPr>
              <w:jc w:val="right"/>
              <w:ind w:right="17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5"/>
        </w:trPr>
        <w:tc>
          <w:tcPr>
            <w:tcW w:w="2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3.01 %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17.90 %</w:t>
            </w:r>
          </w:p>
        </w:tc>
        <w:tc>
          <w:tcPr>
            <w:tcW w:w="0" w:type="dxa"/>
            <w:vAlign w:val="bottom"/>
          </w:tcPr>
          <w:p>
            <w:pPr>
              <w:spacing w:after="0"/>
              <w:rPr>
                <w:sz w:val="1"/>
                <w:szCs w:val="1"/>
                <w:color w:val="auto"/>
              </w:rPr>
            </w:pPr>
          </w:p>
        </w:tc>
      </w:tr>
      <w:tr>
        <w:trPr>
          <w:trHeight w:val="304"/>
        </w:trPr>
        <w:tc>
          <w:tcPr>
            <w:tcW w:w="2880" w:type="dxa"/>
            <w:vAlign w:val="bottom"/>
          </w:tcPr>
          <w:p>
            <w:pPr>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15.60 %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36.88 %</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27.63 %</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27.70 %</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3"/>
          <w:szCs w:val="13"/>
          <w:color w:val="auto"/>
        </w:rPr>
      </w:pPr>
      <w:r>
        <w:rPr>
          <w:rFonts w:ascii="Arial" w:cs="Arial" w:eastAsia="Arial" w:hAnsi="Arial"/>
          <w:sz w:val="16"/>
          <w:szCs w:val="16"/>
          <w:color w:val="auto"/>
        </w:rPr>
        <w:t>Expressed as a percentage of the original principal balance of the loans underlying the financial instruments</w:t>
      </w:r>
    </w:p>
    <w:p>
      <w:pPr>
        <w:spacing w:after="0" w:line="19" w:lineRule="exact"/>
        <w:rPr>
          <w:rFonts w:ascii="Arial" w:cs="Arial" w:eastAsia="Arial" w:hAnsi="Arial"/>
          <w:sz w:val="13"/>
          <w:szCs w:val="13"/>
          <w:color w:val="auto"/>
        </w:rPr>
      </w:pPr>
    </w:p>
    <w:p>
      <w:pPr>
        <w:ind w:left="1060" w:hanging="485"/>
        <w:spacing w:after="0"/>
        <w:tabs>
          <w:tab w:leader="none" w:pos="1060" w:val="left"/>
        </w:tabs>
        <w:numPr>
          <w:ilvl w:val="0"/>
          <w:numId w:val="12"/>
        </w:numPr>
        <w:rPr>
          <w:rFonts w:ascii="Arial" w:cs="Arial" w:eastAsia="Arial" w:hAnsi="Arial"/>
          <w:sz w:val="13"/>
          <w:szCs w:val="13"/>
          <w:color w:val="auto"/>
        </w:rPr>
      </w:pPr>
      <w:r>
        <w:rPr>
          <w:rFonts w:ascii="Arial" w:cs="Arial" w:eastAsia="Arial" w:hAnsi="Arial"/>
          <w:sz w:val="16"/>
          <w:szCs w:val="16"/>
          <w:color w:val="auto"/>
        </w:rPr>
        <w:t>Unobservable inputs were weighted by relative fair value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17%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1.23% and 0.83% as of December 31, 2020 and June 30, 2021, respectively. On average, a hypothetical 200 basis point increase in discount rates results in a decrease in fair value of the securities (including securitization notes and residual certificates) of 2.36% and 1.66% as of December 31, 2020 and June 30, 2021, respectively.</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securitization notes and residual certificates are not sensitive to adverse changes in expected prepayment rates as such changes would not result in a significant impact on the fair value as of December 31, 2020 and June 30,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a rollforward of the notes receivable and residual certificates related to securitization transactions classified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Level 3 of the fair value hierarchy: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(3,588)</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24,840</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w:t>
            </w:r>
          </w:p>
        </w:tc>
      </w:tr>
      <w:tr>
        <w:trPr>
          <w:trHeight w:val="21"/>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(6,349)</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w w:val="97"/>
              </w:rPr>
              <w:t>June 30, 2021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9.23 %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312"/>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31.62 %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92.60 %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3"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1" w:lineRule="exact"/>
        <w:rPr>
          <w:rFonts w:ascii="Arial" w:cs="Arial" w:eastAsia="Arial" w:hAnsi="Arial"/>
          <w:sz w:val="14"/>
          <w:szCs w:val="14"/>
          <w:color w:val="auto"/>
        </w:rPr>
      </w:pPr>
    </w:p>
    <w:p>
      <w:pPr>
        <w:ind w:left="1060" w:hanging="485"/>
        <w:spacing w:after="0"/>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the Company’s estimate of the rates of return that market participants in servicing rights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Credit risk rate</w:t>
      </w:r>
      <w:r>
        <w:rPr>
          <w:rFonts w:ascii="Arial" w:cs="Arial" w:eastAsia="Arial" w:hAnsi="Arial"/>
          <w:sz w:val="18"/>
          <w:szCs w:val="18"/>
          <w:color w:val="auto"/>
        </w:rPr>
        <w:t>s–The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Market-servicing rates</w:t>
      </w:r>
      <w:r>
        <w:rPr>
          <w:rFonts w:ascii="Arial" w:cs="Arial" w:eastAsia="Arial" w:hAnsi="Arial"/>
          <w:sz w:val="18"/>
          <w:szCs w:val="18"/>
          <w:color w:val="auto"/>
        </w:rPr>
        <w:t>–Market-servicing rate is an estimated measure of adequate compensation for a market participant, if one was required.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is expressed as a fixed percentage of outstanding principal balance. The estimate considers the profit that would be demanded in the marketplace to service the portfolio of outstanding loans subject to the Company’s servicing agreements.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 the projected balances and expected terms of the loans, which are used to project future servicing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2020 and June 30,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(5,144)</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7,465</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2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0"/>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4,725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3,170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4"/>
              </w:rPr>
              <w:t>(2,015)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5,880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0"/>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29"/>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7,827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Fair value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3.50% to 17.27% and credit risk rates of 0.08% to 50.85%.</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2020</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2020</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289" w:hanging="1289"/>
        <w:spacing w:after="0"/>
        <w:tabs>
          <w:tab w:leader="none" w:pos="1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762</w:t>
      </w:r>
    </w:p>
    <w:p>
      <w:pPr>
        <w:spacing w:after="0" w:line="36"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1045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ind w:left="1309"/>
        <w:spacing w:after="0"/>
        <w:rPr>
          <w:sz w:val="20"/>
          <w:szCs w:val="20"/>
          <w:color w:val="auto"/>
        </w:rPr>
      </w:pPr>
      <w:r>
        <w:rPr>
          <w:rFonts w:ascii="Arial" w:cs="Arial" w:eastAsia="Arial" w:hAnsi="Arial"/>
          <w:sz w:val="16"/>
          <w:szCs w:val="16"/>
          <w:color w:val="auto"/>
        </w:rPr>
        <w:t>(76)</w:t>
      </w:r>
    </w:p>
    <w:p>
      <w:pPr>
        <w:spacing w:after="0" w:line="46" w:lineRule="exact"/>
        <w:rPr>
          <w:sz w:val="20"/>
          <w:szCs w:val="20"/>
          <w:color w:val="auto"/>
        </w:rPr>
      </w:pPr>
    </w:p>
    <w:p>
      <w:pPr>
        <w:ind w:left="1309"/>
        <w:spacing w:after="0"/>
        <w:rPr>
          <w:sz w:val="20"/>
          <w:szCs w:val="20"/>
          <w:color w:val="auto"/>
        </w:rPr>
      </w:pPr>
      <w:r>
        <w:rPr>
          <w:rFonts w:ascii="Arial" w:cs="Arial" w:eastAsia="Arial" w:hAnsi="Arial"/>
          <w:sz w:val="16"/>
          <w:szCs w:val="16"/>
          <w:color w:val="auto"/>
        </w:rPr>
        <w:t>(23)</w:t>
      </w:r>
    </w:p>
    <w:p>
      <w:pPr>
        <w:spacing w:after="0" w:line="58" w:lineRule="exact"/>
        <w:rPr>
          <w:sz w:val="20"/>
          <w:szCs w:val="20"/>
          <w:color w:val="auto"/>
        </w:rPr>
      </w:pPr>
    </w:p>
    <w:p>
      <w:pPr>
        <w:ind w:left="1289" w:hanging="1289"/>
        <w:spacing w:after="0"/>
        <w:tabs>
          <w:tab w:leader="none" w:pos="12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289" w:hanging="1289"/>
        <w:spacing w:after="0"/>
        <w:tabs>
          <w:tab w:leader="none" w:pos="1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504</w:t>
      </w:r>
    </w:p>
    <w:p>
      <w:pPr>
        <w:spacing w:after="0" w:line="36"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1045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w:t>
      </w:r>
    </w:p>
    <w:p>
      <w:pPr>
        <w:spacing w:after="0" w:line="35" w:lineRule="exact"/>
        <w:rPr>
          <w:sz w:val="20"/>
          <w:szCs w:val="20"/>
          <w:color w:val="auto"/>
        </w:rPr>
      </w:pPr>
    </w:p>
    <w:p>
      <w:pPr>
        <w:ind w:left="1289" w:hanging="1289"/>
        <w:spacing w:after="0"/>
        <w:tabs>
          <w:tab w:leader="none" w:pos="12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ind w:left="234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ind w:left="2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ind w:left="2340"/>
        <w:spacing w:after="0"/>
        <w:rPr>
          <w:sz w:val="20"/>
          <w:szCs w:val="20"/>
          <w:color w:val="auto"/>
        </w:rPr>
      </w:pPr>
      <w:r>
        <w:rPr>
          <w:rFonts w:ascii="Arial" w:cs="Arial" w:eastAsia="Arial" w:hAnsi="Arial"/>
          <w:sz w:val="16"/>
          <w:szCs w:val="16"/>
          <w:color w:val="auto"/>
        </w:rPr>
        <w:t>(Tabular Amounts in Thousands, Except Share and Per Share Data and Ratios, or as Noted)</w:t>
      </w:r>
    </w:p>
    <w:p>
      <w:pPr>
        <w:spacing w:after="0" w:line="73" w:lineRule="exact"/>
        <w:rPr>
          <w:sz w:val="20"/>
          <w:szCs w:val="20"/>
          <w:color w:val="auto"/>
        </w:rPr>
      </w:pPr>
    </w:p>
    <w:p>
      <w:pPr>
        <w:jc w:val="center"/>
        <w:ind w:left="23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at June 30,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149" w:hanging="1149"/>
        <w:spacing w:after="0"/>
        <w:tabs>
          <w:tab w:leader="none" w:pos="11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1,775</w:t>
      </w:r>
    </w:p>
    <w:p>
      <w:pPr>
        <w:spacing w:after="0" w:line="49"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-147320</wp:posOffset>
            </wp:positionV>
            <wp:extent cx="1045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48</w:t>
      </w:r>
    </w:p>
    <w:p>
      <w:pPr>
        <w:spacing w:after="0" w:line="35" w:lineRule="exact"/>
        <w:rPr>
          <w:sz w:val="20"/>
          <w:szCs w:val="20"/>
          <w:color w:val="auto"/>
        </w:rPr>
      </w:pPr>
    </w:p>
    <w:p>
      <w:pPr>
        <w:ind w:left="1149" w:hanging="1149"/>
        <w:spacing w:after="0"/>
        <w:tabs>
          <w:tab w:leader="none" w:pos="11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2,513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Trailing Fee</w:t>
      </w:r>
    </w:p>
    <w:p>
      <w:pPr>
        <w:jc w:val="center"/>
        <w:ind w:right="11"/>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p>
    <w:p>
      <w:pPr>
        <w:ind w:left="1149" w:hanging="1149"/>
        <w:spacing w:after="0"/>
        <w:tabs>
          <w:tab w:leader="none" w:pos="11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1,276</w:t>
      </w:r>
    </w:p>
    <w:p>
      <w:pPr>
        <w:spacing w:after="0" w:line="49" w:lineRule="exact"/>
        <w:rPr>
          <w:rFonts w:ascii="Arial" w:cs="Arial" w:eastAsia="Arial" w:hAnsi="Arial"/>
          <w:sz w:val="18"/>
          <w:szCs w:val="18"/>
          <w:color w:val="auto"/>
        </w:rPr>
      </w:pPr>
    </w:p>
    <w:p>
      <w:pPr>
        <w:ind w:left="1149"/>
        <w:spacing w:after="0"/>
        <w:rPr>
          <w:rFonts w:ascii="Arial" w:cs="Arial" w:eastAsia="Arial" w:hAnsi="Arial"/>
          <w:sz w:val="18"/>
          <w:szCs w:val="18"/>
          <w:color w:val="auto"/>
        </w:rPr>
      </w:pPr>
      <w:r>
        <w:rPr>
          <w:rFonts w:ascii="Arial" w:cs="Arial" w:eastAsia="Arial" w:hAnsi="Arial"/>
          <w:sz w:val="18"/>
          <w:szCs w:val="18"/>
          <w:color w:val="auto"/>
        </w:rPr>
        <w:t>1,605</w:t>
      </w:r>
    </w:p>
    <w:p>
      <w:pPr>
        <w:spacing w:after="0" w:line="23" w:lineRule="exact"/>
        <w:rPr>
          <w:rFonts w:ascii="Arial" w:cs="Arial" w:eastAsia="Arial" w:hAnsi="Arial"/>
          <w:sz w:val="18"/>
          <w:szCs w:val="18"/>
          <w:color w:val="auto"/>
        </w:rPr>
      </w:pPr>
    </w:p>
    <w:p>
      <w:pPr>
        <w:ind w:left="1209"/>
        <w:spacing w:after="0"/>
        <w:rPr>
          <w:rFonts w:ascii="Arial" w:cs="Arial" w:eastAsia="Arial" w:hAnsi="Arial"/>
          <w:sz w:val="18"/>
          <w:szCs w:val="18"/>
          <w:color w:val="auto"/>
        </w:rPr>
      </w:pPr>
      <w:r>
        <w:rPr>
          <w:rFonts w:ascii="Arial" w:cs="Arial" w:eastAsia="Arial" w:hAnsi="Arial"/>
          <w:sz w:val="17"/>
          <w:szCs w:val="17"/>
          <w:color w:val="auto"/>
        </w:rPr>
        <w:t>(416)</w:t>
      </w:r>
    </w:p>
    <w:p>
      <w:pPr>
        <w:spacing w:after="0" w:line="34"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-439420</wp:posOffset>
            </wp:positionV>
            <wp:extent cx="1045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 w:lineRule="exact"/>
        <w:rPr>
          <w:sz w:val="20"/>
          <w:szCs w:val="20"/>
          <w:color w:val="auto"/>
        </w:rPr>
      </w:pPr>
    </w:p>
    <w:p>
      <w:pPr>
        <w:ind w:left="1149" w:hanging="1149"/>
        <w:spacing w:after="0"/>
        <w:tabs>
          <w:tab w:leader="none" w:pos="11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05" w:lineRule="exact"/>
        <w:rPr>
          <w:sz w:val="20"/>
          <w:szCs w:val="20"/>
          <w:color w:val="auto"/>
        </w:rPr>
      </w:pPr>
    </w:p>
    <w:p>
      <w:pPr>
        <w:sectPr>
          <w:pgSz w:w="11900" w:h="16838" w:orient="portrait"/>
          <w:cols w:equalWidth="0" w:num="2">
            <w:col w:w="8920" w:space="691"/>
            <w:col w:w="1629"/>
          </w:cols>
          <w:pgMar w:left="320" w:top="179" w:right="339" w:bottom="1440" w:gutter="0" w:footer="0" w:header="0"/>
        </w:sectPr>
      </w:pPr>
    </w:p>
    <w:p>
      <w:pPr>
        <w:spacing w:after="0" w:line="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Loans</w:t>
            </w: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Loans &gt; 90 Days Past Due</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0"/>
              </w:rPr>
              <w:t>97,497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2"/>
              </w:rPr>
              <w:t>(19,037)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0"/>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55" w:lineRule="auto"/>
        <w:tabs>
          <w:tab w:leader="none" w:pos="3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$2.4 million and $23.8 million of auto loans as of December 31, 2020 and June 30, 2021, respectively, of which an immaterial amount is 90 days or more past due for each period presented.</w:t>
      </w:r>
    </w:p>
    <w:p>
      <w:pPr>
        <w:spacing w:after="0" w:line="2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April 2021, the Company completed its acquisition of Prodigy Software, Inc. (“Prodigy”). Prodigy provides an e-commerce platform for car dealerships which enables both online and in-store vehicle discovery, credit application, and checkout. Prodigy provides a modern multi-channel car buying experience, helping dealerships serve consumers with a holistic software solution that integrates legacy systems. In addition to modernizing the car buying experience, Prodigy will bring Upstart's AI enabled auto loans to dealerships across the country where a significant number of auto loans are transacted.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consideration the Company provided for Prodigy was approximately $89.0 million,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 of Upstart common stock issued to Prodigy stockholders</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70,121</w:t>
            </w:r>
          </w:p>
        </w:tc>
      </w:tr>
      <w:tr>
        <w:trPr>
          <w:trHeight w:val="229"/>
        </w:trPr>
        <w:tc>
          <w:tcPr>
            <w:tcW w:w="8840" w:type="dxa"/>
            <w:vAlign w:val="bottom"/>
          </w:tcPr>
          <w:p>
            <w:pPr>
              <w:ind w:left="20"/>
              <w:spacing w:after="0" w:line="230" w:lineRule="exact"/>
              <w:rPr>
                <w:sz w:val="20"/>
                <w:szCs w:val="20"/>
                <w:color w:val="auto"/>
              </w:rPr>
            </w:pPr>
            <w:r>
              <w:rPr>
                <w:rFonts w:ascii="Arial" w:cs="Arial" w:eastAsia="Arial" w:hAnsi="Arial"/>
                <w:sz w:val="18"/>
                <w:szCs w:val="18"/>
                <w:color w:val="auto"/>
              </w:rPr>
              <w:t>Cash paid to common and preferred stockholders, warrant holders, and vested option holders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17,151</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assumed Prodigy options attributable to pre-combination service period</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Transactions costs paid by Upstart on behalf of Prodigy</w:t>
            </w: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41" w:lineRule="auto"/>
        <w:tabs>
          <w:tab w:leader="none" w:pos="35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$1.9 million of the cash paid is being held in escrow as security for certain indemnification obligations of former Prodigy stockholders.</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acquisition has been accounted for as a business combination. The purchase consideration was allocated to the tangible and intangible assets and liabilities acquired as of the acquisition date, with the excess recorded to goodwill as shown below. The values assigned to the assets acquired and liabilities assumed are based on preliminary estimates of fair value available as of the date of this Quarterly Report on Form 10-Q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66,866</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Acquisition-related intangible assets</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23,200</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and liabilities assumed, net</w:t>
            </w:r>
          </w:p>
        </w:tc>
        <w:tc>
          <w:tcPr>
            <w:tcW w:w="4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89,044</w:t>
            </w:r>
          </w:p>
        </w:tc>
      </w:tr>
      <w:tr>
        <w:trPr>
          <w:trHeight w:val="20"/>
        </w:trPr>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acquisition-related costs of approximately $1.2 million in the six months ended June 30, 2021 which are included in the general and administrative expense in the condensed consolidated statement of operations and comprehensive income (loss). Acquisition-related costs were immaterial in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Estimated fair values</w:t>
            </w:r>
          </w:p>
        </w:tc>
        <w:tc>
          <w:tcPr>
            <w:tcW w:w="100" w:type="dxa"/>
            <w:vAlign w:val="bottom"/>
          </w:tcPr>
          <w:p>
            <w:pPr>
              <w:spacing w:after="0"/>
              <w:rPr>
                <w:sz w:val="17"/>
                <w:szCs w:val="17"/>
                <w:color w:val="auto"/>
              </w:rPr>
            </w:pPr>
          </w:p>
        </w:tc>
        <w:tc>
          <w:tcPr>
            <w:tcW w:w="2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Estimated useful life (years)</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13,700</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180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23,200</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 average amortization period of 8.3 years.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included the financial results of the acquired business in our condensed consolidated financial statements from the date of acquisition. Revenues and expenses related to the acquisition for the three and six months ended June 30, 2021 were not material.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7.</w:t>
            </w:r>
          </w:p>
        </w:tc>
        <w:tc>
          <w:tcPr>
            <w:tcW w:w="5820" w:type="dxa"/>
            <w:vAlign w:val="bottom"/>
            <w:gridSpan w:val="2"/>
          </w:tcPr>
          <w:p>
            <w:pPr>
              <w:jc w:val="right"/>
              <w:ind w:right="3070"/>
              <w:spacing w:after="0"/>
              <w:rPr>
                <w:sz w:val="20"/>
                <w:szCs w:val="20"/>
                <w:color w:val="auto"/>
              </w:rPr>
            </w:pPr>
            <w:r>
              <w:rPr>
                <w:rFonts w:ascii="Arial" w:cs="Arial" w:eastAsia="Arial" w:hAnsi="Arial"/>
                <w:sz w:val="18"/>
                <w:szCs w:val="18"/>
                <w:b w:val="1"/>
                <w:bCs w:val="1"/>
                <w:color w:val="auto"/>
                <w:w w:val="98"/>
              </w:rPr>
              <w:t>Goodwill and Intangible Assets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80"/>
        </w:trPr>
        <w:tc>
          <w:tcPr>
            <w:tcW w:w="6860" w:type="dxa"/>
            <w:vAlign w:val="bottom"/>
            <w:gridSpan w:val="3"/>
          </w:tcPr>
          <w:p>
            <w:pPr>
              <w:ind w:left="660"/>
              <w:spacing w:after="0"/>
              <w:rPr>
                <w:sz w:val="20"/>
                <w:szCs w:val="20"/>
                <w:color w:val="auto"/>
              </w:rPr>
            </w:pPr>
            <w:r>
              <w:rPr>
                <w:rFonts w:ascii="Arial" w:cs="Arial" w:eastAsia="Arial" w:hAnsi="Arial"/>
                <w:sz w:val="18"/>
                <w:szCs w:val="18"/>
                <w:b w:val="1"/>
                <w:bCs w:val="1"/>
                <w:i w:val="1"/>
                <w:iCs w:val="1"/>
                <w:color w:val="auto"/>
              </w:rPr>
              <w:t>Goodwill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80"/>
        </w:trPr>
        <w:tc>
          <w:tcPr>
            <w:tcW w:w="6860" w:type="dxa"/>
            <w:vAlign w:val="bottom"/>
            <w:gridSpan w:val="3"/>
          </w:tcPr>
          <w:p>
            <w:pPr>
              <w:ind w:left="660"/>
              <w:spacing w:after="0"/>
              <w:rPr>
                <w:sz w:val="20"/>
                <w:szCs w:val="20"/>
                <w:color w:val="auto"/>
              </w:rPr>
            </w:pPr>
            <w:r>
              <w:rPr>
                <w:rFonts w:ascii="Arial" w:cs="Arial" w:eastAsia="Arial" w:hAnsi="Arial"/>
                <w:sz w:val="18"/>
                <w:szCs w:val="18"/>
                <w:color w:val="auto"/>
              </w:rPr>
              <w:t>The table below presents changes to the carrying amount of goodwill: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99"/>
        </w:trPr>
        <w:tc>
          <w:tcPr>
            <w:tcW w:w="10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2020</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Goodwill Acquired</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2021</w:t>
            </w:r>
          </w:p>
        </w:tc>
      </w:tr>
      <w:tr>
        <w:trPr>
          <w:trHeight w:val="223"/>
        </w:trPr>
        <w:tc>
          <w:tcPr>
            <w:tcW w:w="1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66,866</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acquired during the six months ended June 30, 2021 is associated with the acquisition of Prodigy. There was no impairment for the periods presented.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Net Carrying</w:t>
            </w:r>
          </w:p>
        </w:tc>
        <w:tc>
          <w:tcPr>
            <w:tcW w:w="10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22,119</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was $1.1 million for both the three and six months ended June 30, 2021. There were no acquired intangible assets subject to amortization prior to April 8,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ind w:left="660"/>
              <w:spacing w:after="0"/>
              <w:rPr>
                <w:sz w:val="20"/>
                <w:szCs w:val="20"/>
                <w:color w:val="auto"/>
              </w:rPr>
            </w:pPr>
            <w:r>
              <w:rPr>
                <w:rFonts w:ascii="Arial" w:cs="Arial" w:eastAsia="Arial" w:hAnsi="Arial"/>
                <w:sz w:val="18"/>
                <w:szCs w:val="18"/>
                <w:color w:val="auto"/>
                <w:w w:val="96"/>
              </w:rPr>
              <w:t>Expected future amortization expense for intangible assets as of June 30, 2021 is as follows: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Fiscal Years:</w:t>
            </w: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Remaining 2021</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color w:val="auto"/>
              </w:rPr>
              <w:t>8.</w:t>
            </w:r>
          </w:p>
        </w:tc>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Sheet Components</w:t>
            </w: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280" w:type="dxa"/>
            <w:vAlign w:val="bottom"/>
            <w:vMerge w:val="continue"/>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Other Assets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gridSpan w:val="2"/>
          </w:tcPr>
          <w:p>
            <w:pPr>
              <w:ind w:left="660"/>
              <w:spacing w:after="0"/>
              <w:rPr>
                <w:sz w:val="20"/>
                <w:szCs w:val="20"/>
                <w:color w:val="auto"/>
              </w:rPr>
            </w:pPr>
            <w:r>
              <w:rPr>
                <w:rFonts w:ascii="Arial" w:cs="Arial" w:eastAsia="Arial" w:hAnsi="Arial"/>
                <w:sz w:val="18"/>
                <w:szCs w:val="18"/>
                <w:color w:val="auto"/>
              </w:rPr>
              <w:t>Other assets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65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Deposits</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Prepaid expenses</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w w:val="86"/>
              </w:rPr>
              <w:t>Total other assets</w:t>
            </w:r>
          </w:p>
        </w:tc>
        <w:tc>
          <w:tcPr>
            <w:tcW w:w="65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40,046</w:t>
            </w: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bank partners.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2020, depreciation and amortization expense on property, equipment, and software was immaterial. For the three and six months ended June 30, 2021, depreciation and amortization expense on property, equipment, and software was $0.9 million and $1.7 million, respectively. Capitalized internally developed software balances, net of accumulated amortization, were $6.0 million and $8.2 million as of December 31, 2020 and June 30, 2021,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70,379</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aggregate principal outstanding of all loans mentioned in this note that are included in the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Borrowings</w:t>
            </w:r>
          </w:p>
        </w:tc>
        <w:tc>
          <w:tcPr>
            <w:tcW w:w="1200" w:type="dxa"/>
            <w:vAlign w:val="bottom"/>
            <w:tcBorders>
              <w:bottom w:val="single" w:sz="8" w:color="auto"/>
            </w:tcBorders>
          </w:tcPr>
          <w:p>
            <w:pPr>
              <w:spacing w:after="0"/>
              <w:rPr>
                <w:sz w:val="20"/>
                <w:szCs w:val="20"/>
                <w:color w:val="auto"/>
              </w:rPr>
            </w:pPr>
          </w:p>
        </w:tc>
      </w:tr>
      <w:tr>
        <w:trPr>
          <w:trHeight w:val="218"/>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Risk retention funding loans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payments due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2018, the Company and UNI entered into a mezzanine loan and security agreement to obtain a term loan of up to $15.0 million (the “Mezzanine Loan”). The Mezzanine Loan bears interest at the greater of prime rate plus 5.25% or 10.00% per annum, payable monthly. The principal balance was due upon maturity on October 1, 2021.</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2021, the Company repaid in full the $15.0 million principal balance outstanding under the Mezzanine Loan, plus accrued interest and prepayment fees, and terminated the Mezzanine Loan. In connection with the termination, the Company recognized the remaining unamortized debt discount and recognized an immaterial loss on debt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September 2018, the Company and UNI entered into a revolving credit facility with a third-party lender for up to $5.5 million (the “UNI Credit Facility”). The UNI Credit Facility bears floating interest at the greater of prime rate plus 1.00% or 4.25% annum, payable monthly, subject to a monthly minimum interest requirement prior to maturity. The UNI Credit Facility had an original termination and maturity date of June 1, 2020. In 2020, the parties agreed to extend the maturity date of the UNI Credit Facility to June 1, 2021. In June 2021, the Company repaid in full the $5.5 million of outstanding principal, plus accrued interest, under the UNI Credit Facility and did not renew such facility.</w:t>
      </w:r>
    </w:p>
    <w:p>
      <w:pPr>
        <w:spacing w:after="0" w:line="200" w:lineRule="exact"/>
        <w:rPr>
          <w:sz w:val="20"/>
          <w:szCs w:val="20"/>
          <w:color w:val="auto"/>
        </w:rPr>
      </w:pP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further amended in June 2021. Under the revolving credit and security agreement, as amended from time to time, ULT may borrow up to $100.0 million (subject to a borrowing base capacity) until the earlier of June 15, 2023 or the occurrence of an accelerated amortization event. An accelerated amortization event includes, but are not limited to,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 the Benchmark Rate”) plus a spread ranging from 1.90% to 4.00% per annum, due and payable monthly in arrears. In the event that LIBOR ceases to be available, the Benchmark Rate will be replaced with an alternative rate such as the Secured Overnight Financing Rate. The Company is subject to additional interest payments under a minimum utilization requirement of $30 million. The maximum advance rate under the ULT Warehouse Credit Facility on outstanding principal of loans held by ULT was 80% as of December 31, 2020 and 85% June 30, 2021.</w:t>
      </w:r>
    </w:p>
    <w:p>
      <w:pPr>
        <w:spacing w:after="0" w:line="20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ULT Warehouse Credit Facility contains certain financial covenants. As of December 31, 2020 and June 30, 2021,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condensed consolidated balance sheets,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ULT Warehouse Credit Facility</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Pr>
          <w:p>
            <w:pPr>
              <w:spacing w:after="0"/>
              <w:rPr>
                <w:sz w:val="15"/>
                <w:szCs w:val="15"/>
                <w:color w:val="auto"/>
              </w:rPr>
            </w:pPr>
          </w:p>
        </w:tc>
        <w:tc>
          <w:tcPr>
            <w:tcW w:w="136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7"/>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59,709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6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5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w:t>
      </w:r>
    </w:p>
    <w:p>
      <w:pPr>
        <w:spacing w:after="0" w:line="2" w:lineRule="exact"/>
        <w:rPr>
          <w:sz w:val="20"/>
          <w:szCs w:val="20"/>
          <w:color w:val="auto"/>
        </w:rPr>
      </w:pPr>
    </w:p>
    <w:p>
      <w:pPr>
        <w:jc w:val="both"/>
        <w:ind w:firstLine="8"/>
        <w:spacing w:after="0" w:line="255" w:lineRule="auto"/>
        <w:tabs>
          <w:tab w:leader="none" w:pos="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entity as part of monthly cash distributions from the 2018-2 securitization on securitization notes and residual certificates. As of December 31, 2020, the outstanding principal balance under the 2018-2 RR Financing Agreement was immaterial. In April 2021, the Company repaid the outstanding principal and accrued interest in full.</w:t>
      </w:r>
    </w:p>
    <w:p>
      <w:pPr>
        <w:spacing w:after="0" w:line="2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June 30, 2021, the outstanding principal balance under the 2019-2 RR Financing Agreement was $6.6 million and $3.3 million,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$8.7 million of securities held for risk retention for the 2018-2 and 2019-2 securitization transactions, included in notes receivables and residual certificates on the condensed consolidated balance sheets as of December 31, 2020 and June 30, 2021,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the aggregate amount of maturities of all borrowings as of June 30, 2021:</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CCEEFF"/>
            </w:tcBorders>
          </w:tcPr>
          <w:p>
            <w:pPr>
              <w:spacing w:after="0"/>
              <w:rPr>
                <w:sz w:val="19"/>
                <w:szCs w:val="19"/>
                <w:color w:val="auto"/>
              </w:rPr>
            </w:pPr>
          </w:p>
        </w:tc>
        <w:tc>
          <w:tcPr>
            <w:tcW w:w="8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2022</w:t>
            </w:r>
          </w:p>
        </w:tc>
        <w:tc>
          <w:tcPr>
            <w:tcW w:w="8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2024</w:t>
            </w:r>
          </w:p>
        </w:tc>
        <w:tc>
          <w:tcPr>
            <w:tcW w:w="8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5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Arial" w:cs="Arial" w:eastAsia="Arial" w:hAnsi="Arial"/>
                <w:sz w:val="18"/>
                <w:szCs w:val="18"/>
                <w:color w:val="auto"/>
              </w:rPr>
              <w:t>Total</w:t>
            </w:r>
          </w:p>
        </w:tc>
        <w:tc>
          <w:tcPr>
            <w:tcW w:w="85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10.</w:t>
            </w:r>
          </w:p>
        </w:tc>
        <w:tc>
          <w:tcPr>
            <w:tcW w:w="85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Common Stock and Common Stock Warrants</w:t>
            </w: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1100" w:type="dxa"/>
            <w:vAlign w:val="bottom"/>
            <w:vMerge w:val="continue"/>
          </w:tcPr>
          <w:p>
            <w:pPr>
              <w:spacing w:after="0"/>
              <w:rPr>
                <w:sz w:val="24"/>
                <w:szCs w:val="24"/>
                <w:color w:val="auto"/>
              </w:rPr>
            </w:pPr>
          </w:p>
        </w:tc>
        <w:tc>
          <w:tcPr>
            <w:tcW w:w="8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2020, the Company's amended and restated certificate of incorporation became effective, which authorized the issuance of 700,000,000 shares of common stock with a par value of $0.0001 per share.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on an as-converted basis,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18,626,100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1,187,427</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2,537,181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10,249,442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Shares available for issuance under ESPP</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2,113,140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22,212,404</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32,176,109</w:t>
            </w:r>
          </w:p>
        </w:tc>
      </w:tr>
      <w:tr>
        <w:trPr>
          <w:trHeight w:val="21"/>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2018, the Company issued stock warrants to purchase 75,000 shares of common stock, with an exercise price of $2.16 per share. The estimated grant date fair value of the common stock warrants was recognized as debt issuance costs in the period granted. The common stock warrant has a contractual term of ten years and expire in October 2028.</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December 1, 2020, the common stock warrant agreement was amended to include a repurchase option in the event of an IPO. Upon the completion of an IPO, or a qualified acquisition of the Company, the common stock warrant holders have the option to require the Company to repurchase the warrant in its entirety for a purchase price of $1.5 million. The repurchase option terminates on the earlier of (i) 30 days after the closing of a qualified sale of the Company or; (ii) 10 business days after the date on which the Company’s IPO price per share is confirmed by the Company’s underwriters.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2020, the repurchase clause for the warrant expired resulting in the fair market value of the stock warrants to purchase 75,000 shares reclassified from liability to equity on the condensed consolidated balance sheets. On January 13, 2021, the warrant holder net exercised the warrant resulting in 72,407 common shares issued by the Company. As of June 30, 2021 no common stock warrants were outstanding.</w:t>
      </w:r>
    </w:p>
    <w:p>
      <w:pPr>
        <w:spacing w:after="0" w:line="200" w:lineRule="exact"/>
        <w:rPr>
          <w:sz w:val="20"/>
          <w:szCs w:val="20"/>
          <w:color w:val="auto"/>
        </w:rPr>
      </w:pPr>
    </w:p>
    <w:p>
      <w:pPr>
        <w:spacing w:after="0" w:line="204" w:lineRule="exact"/>
        <w:rPr>
          <w:sz w:val="20"/>
          <w:szCs w:val="20"/>
          <w:color w:val="auto"/>
        </w:rPr>
      </w:pPr>
    </w:p>
    <w:p>
      <w:pPr>
        <w:ind w:left="1280" w:hanging="624"/>
        <w:spacing w:after="0"/>
        <w:tabs>
          <w:tab w:leader="none" w:pos="1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the Company adopted the Equity Incentive Plan (“2012 Equity Incentive Plan”) authorizing the granting of incentive stock options (“ISOs”) and non-statutory stock options (“NSOs”) to eligible participants.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2020 Equity Incentive Plan authorizes granting of ISOs, NSOs, stock appreciation rights, restricted stock, restricted stock units, or RSUs, and performance awards. As of June 30, 2021, the Company is authorized to issue up to 10,249,442 shares of common stock under the 2020 Equity Incentive Plan. In addition, the 2020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the 2021 in an amount equal to the lesser of 15,000,000 shares or 5% of the outstanding shares of our common stock on the last day of our immediately preceding fiscal year.</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Company’s acquisition of Prodigy, the Company assumed the Prodigy Software, Inc. 2015 Stock Incentive Plan (the “Prodigy Plan”), under which certain unvested options under the Prodigy Plan were assumed by the Company. The assumed options are subject to the same terms and conditions that were applicable to them under the Prodigy Plan, except that (i) the assumed options relate to shares of Upstart’s common stock, and (ii) the number of shares of Upstart’s common stock was the result of an adjustment based upon a ratio as described further in the Registration Statement on Form S-8 filed with the SEC on April 16,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stock option activity for the six months ended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15"/>
                <w:szCs w:val="15"/>
                <w:color w:val="auto"/>
              </w:rPr>
            </w:pPr>
          </w:p>
        </w:tc>
        <w:tc>
          <w:tcPr>
            <w:tcW w:w="128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$ 715,084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606,830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104.82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assumed upon acquisition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(1,284,977)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cancelled and 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(319,470)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Balances at June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18,626,100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2,184,219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exercisable – June 30,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11,421,423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1,403,759</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vested and expected to vest – June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18,331,294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2,157,331</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fair value of the Company’s stock as of June 30, 2021. The aggregate intrinsic value of options exercised for the six months ended June 30, 2020 and 2021, was $0.8 million and $122.7 million, respectively. The weighted-average grant date fair value of options granted during the six months ended June 30, 2020 and 2021, was $5.31 and $62.16 per share, respectively. The weighted-average fair value of options assumed in connection with an acquisition was $74.84 per share for the six months ended June 30, 2021. The total fair value of options vested for the six months ended June 30, 2020 and 2021, was $2.3 million and $12.3 million, respectively.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fair value, incremental stock-based compensation expense of $4.4 million resulting from the modification was recognized during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total unrecognized stock-based compensation expense related to unvested stock options was $70.3 million, which is expected to be recognized over a remaining weighted-average period of 2.2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six months ended June 30, 2021, the Company began granting RSUs to employees and nonemployees. RSUs vest upon satisfaction of a service-based condition, which is generally satisfied over four years. The following table summarized RSU activity for the six months ended June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Weighted Average Grant</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1,217,420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total unrecognized stock-based compensation expense related to outstanding unvested RSUs was $119.4 million, which is expected to be recognized over a remaining weighted-average period of 3.3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In connection with the Prodigy acquisition, 82,201 shares of the Company’s restricted stock were issued to certain Prodigy employees. The restricted stock is subject to restrictions which lapse on a quarterly basis over two years. Refer to </w:t>
      </w:r>
      <w:r>
        <w:rPr>
          <w:rFonts w:ascii="Arial" w:cs="Arial" w:eastAsia="Arial" w:hAnsi="Arial"/>
          <w:sz w:val="17"/>
          <w:szCs w:val="17"/>
          <w:i w:val="1"/>
          <w:iCs w:val="1"/>
          <w:color w:val="auto"/>
        </w:rPr>
        <w:t>“Note 6. Acquisitions</w:t>
      </w:r>
      <w:r>
        <w:rPr>
          <w:rFonts w:ascii="Arial" w:cs="Arial" w:eastAsia="Arial" w:hAnsi="Arial"/>
          <w:sz w:val="17"/>
          <w:szCs w:val="17"/>
          <w:color w:val="auto"/>
        </w:rPr>
        <w:t>” for further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Restricted Stock activity for the six months ended June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Weighted Average Grant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2240" w:type="dxa"/>
            <w:vAlign w:val="bottom"/>
          </w:tcPr>
          <w:p>
            <w:pPr>
              <w:jc w:val="right"/>
              <w:spacing w:after="0"/>
              <w:rPr>
                <w:sz w:val="20"/>
                <w:szCs w:val="20"/>
                <w:color w:val="auto"/>
              </w:rPr>
            </w:pPr>
            <w:r>
              <w:rPr>
                <w:rFonts w:ascii="Arial" w:cs="Arial" w:eastAsia="Arial" w:hAnsi="Arial"/>
                <w:sz w:val="18"/>
                <w:szCs w:val="18"/>
                <w:color w:val="auto"/>
              </w:rPr>
              <w:t>82,201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Unvested at June 30, 2021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total unrecognized stock-based compensation expense related to restricted stock was $9.0 million, which is expected to be recognized over a remaining weighted-average period of 1.8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ESPP which was effective on December 14, 2020. Our ESPP provides for consecutive six-month offering periods. The offering periods are scheduled to start on the first trading day on or after February 15 and August 15 of each year, except the first offering period commenced on December 16, 2020 and will end on the first trading day on or before August 15, 2021. The second offering period will commence on the last trading day on or after August 15, 2021. The ESPP permits participants to purchase shares in the amount of 85% of the lower of the fair market value of our shares of common stock on the first trading day of the offering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exercise date. As of June 30, 2021, the maximum number of shares of common stock that can be issued under the employee stock purchase plan was 2,113,140 shares, in addition to any automatic annual evergreen increase. As of June 30, 2021, no shares of common stock have been purchased under the ESPP.</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total unrecognized stock-based compensation expense related to the ESPP was $1.0 million, which is expected to be recognized over a remaining weighted-average period of 0.1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Awards Granted</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the completion of the IPO, the fair value of the shares of common stock was determined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there was no public market for the Company’s common stock. After the completion of the IPO, the fair value of the Company’s common stock is determined by the closing price, on the date of grant, of its common stock, which is traded on the Nasdaq Global Select Market.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Company’s stock options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–Because the Company does not have an active trading market for its common stock for a sufficient period of time,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estimated based on the average volatility for comparable publicly-traded companies, over a period equal to the expected term of the stock option grants.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has never paid dividends on its common stock and does not anticipate paying dividends on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an expected dividend yield of zero.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options granted: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8"/>
                <w:szCs w:val="18"/>
                <w:color w:val="auto"/>
              </w:rPr>
            </w:pPr>
          </w:p>
        </w:tc>
      </w:tr>
      <w:tr>
        <w:trPr>
          <w:trHeight w:val="230"/>
        </w:trPr>
        <w:tc>
          <w:tcPr>
            <w:tcW w:w="3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center"/>
              <w:ind w:right="6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6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2020</w:t>
            </w:r>
          </w:p>
        </w:tc>
        <w:tc>
          <w:tcPr>
            <w:tcW w:w="23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5.3– 10.0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7"/>
              </w:rPr>
              <w:t>5.3 – 10.0</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65.97%</w:t>
            </w: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 71.80%</w:t>
            </w:r>
          </w:p>
        </w:tc>
        <w:tc>
          <w:tcPr>
            <w:tcW w:w="1140" w:type="dxa"/>
            <w:vAlign w:val="bottom"/>
          </w:tcPr>
          <w:p>
            <w:pPr>
              <w:jc w:val="center"/>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53.23%</w:t>
            </w:r>
          </w:p>
        </w:tc>
        <w:tc>
          <w:tcPr>
            <w:tcW w:w="740" w:type="dxa"/>
            <w:vAlign w:val="bottom"/>
          </w:tcPr>
          <w:p>
            <w:pPr>
              <w:ind w:left="20"/>
              <w:spacing w:after="0"/>
              <w:rPr>
                <w:sz w:val="20"/>
                <w:szCs w:val="20"/>
                <w:color w:val="auto"/>
              </w:rPr>
            </w:pPr>
            <w:r>
              <w:rPr>
                <w:rFonts w:ascii="Arial" w:cs="Arial" w:eastAsia="Arial" w:hAnsi="Arial"/>
                <w:sz w:val="18"/>
                <w:szCs w:val="18"/>
                <w:color w:val="auto"/>
                <w:w w:val="91"/>
              </w:rPr>
              <w:t>– 71.80%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63.12%</w:t>
            </w:r>
          </w:p>
        </w:tc>
        <w:tc>
          <w:tcPr>
            <w:tcW w:w="1020" w:type="dxa"/>
            <w:vAlign w:val="bottom"/>
          </w:tcPr>
          <w:p>
            <w:pPr>
              <w:ind w:left="20"/>
              <w:spacing w:after="0"/>
              <w:rPr>
                <w:sz w:val="20"/>
                <w:szCs w:val="20"/>
                <w:color w:val="auto"/>
              </w:rPr>
            </w:pPr>
            <w:r>
              <w:rPr>
                <w:rFonts w:ascii="Arial" w:cs="Arial" w:eastAsia="Arial" w:hAnsi="Arial"/>
                <w:sz w:val="18"/>
                <w:szCs w:val="18"/>
                <w:color w:val="auto"/>
              </w:rPr>
              <w:t>– 65.01%</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0.82%</w:t>
            </w:r>
          </w:p>
        </w:tc>
        <w:tc>
          <w:tcPr>
            <w:tcW w:w="114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1.14%</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00" w:type="dxa"/>
            <w:vAlign w:val="bottom"/>
            <w:gridSpan w:val="4"/>
          </w:tcPr>
          <w:p>
            <w:pPr>
              <w:jc w:val="center"/>
              <w:ind w:right="8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 %</w:t>
            </w:r>
          </w:p>
        </w:tc>
      </w:tr>
    </w:tbl>
    <w:p>
      <w:pPr>
        <w:spacing w:after="0" w:line="7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No options were granted during the three months ended June 30, 2021.</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the Company’s ESPP for the initial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8080" w:type="dxa"/>
            <w:vAlign w:val="bottom"/>
          </w:tcPr>
          <w:p>
            <w:pPr>
              <w:spacing w:after="0"/>
              <w:rPr>
                <w:sz w:val="19"/>
                <w:szCs w:val="19"/>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23"/>
        </w:trPr>
        <w:tc>
          <w:tcPr>
            <w:tcW w:w="8080" w:type="dxa"/>
            <w:vAlign w:val="bottom"/>
            <w:tcBorders>
              <w:bottom w:val="single" w:sz="8" w:color="CCEEFF"/>
            </w:tcBorders>
          </w:tcPr>
          <w:p>
            <w:pPr>
              <w:spacing w:after="0"/>
              <w:rPr>
                <w:sz w:val="19"/>
                <w:szCs w:val="19"/>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61.65%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1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in its condensed consolidated statements of operations and comprehensive income (loss) for employees and nonemployees: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7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4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Customer operations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16,779</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by award type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4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RSUs</w:t>
            </w:r>
          </w:p>
        </w:tc>
        <w:tc>
          <w:tcPr>
            <w:tcW w:w="10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8,539</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8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4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condensed consolidated balance sheets.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future minimum non-cancelable lease payments are as follows: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23"/>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19,708</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 Company does not have any operating leases which are yet to commence.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2021 the Company did not have any material finance leases.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27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4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661</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information related to the Company’s operating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276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4"/>
              </w:rPr>
              <w:t>2020</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55"/>
        </w:trPr>
        <w:tc>
          <w:tcPr>
            <w:tcW w:w="44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Cash paid for amounts included in the measurement of lease</w:t>
            </w:r>
          </w:p>
        </w:tc>
        <w:tc>
          <w:tcPr>
            <w:tcW w:w="380" w:type="dxa"/>
            <w:vAlign w:val="bottom"/>
            <w:vMerge w:val="restart"/>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1,035</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2,046</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Total right-of-use assets capitalized</w:t>
            </w: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3"/>
        </w:trPr>
        <w:tc>
          <w:tcPr>
            <w:tcW w:w="8480" w:type="dxa"/>
            <w:vAlign w:val="bottom"/>
            <w:gridSpan w:val="7"/>
          </w:tcPr>
          <w:p>
            <w:pPr>
              <w:jc w:val="center"/>
              <w:ind w:left="510"/>
              <w:spacing w:after="0"/>
              <w:rPr>
                <w:sz w:val="20"/>
                <w:szCs w:val="20"/>
                <w:color w:val="auto"/>
              </w:rPr>
            </w:pPr>
            <w:r>
              <w:rPr>
                <w:rFonts w:ascii="Arial" w:cs="Arial" w:eastAsia="Arial" w:hAnsi="Arial"/>
                <w:sz w:val="18"/>
                <w:szCs w:val="18"/>
                <w:color w:val="auto"/>
                <w:w w:val="90"/>
              </w:rPr>
              <w:t>Supplemental cash flow and noncash information related to the Company’s operating leases was as follows: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1"/>
              </w:rPr>
              <w:t>4.18</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center"/>
              <w:ind w:right="330"/>
              <w:spacing w:after="0"/>
              <w:rPr>
                <w:sz w:val="20"/>
                <w:szCs w:val="20"/>
                <w:color w:val="auto"/>
              </w:rPr>
            </w:pPr>
            <w:r>
              <w:rPr>
                <w:rFonts w:ascii="Arial" w:cs="Arial" w:eastAsia="Arial" w:hAnsi="Arial"/>
                <w:sz w:val="18"/>
                <w:szCs w:val="18"/>
                <w:color w:val="auto"/>
                <w:w w:val="90"/>
              </w:rPr>
              <w:t>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Purchase Obligation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2020 and June 30, 2021, the total loan purchase commitment included outstanding principal balance of $39.3 million and $24.6 million,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 and Indemnification Contingency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maximum potential amount of future payments associated under this obligation is the outstanding balances of the loans sold to the investors, which at December 31, 2020 and June 30, 2021, is $5,180.7 million and $8,153.6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2020 and June 30, 2021 of immaterial amounts to cover estimated future obligations related to these contractual terms. These amounts are included in accrued expenses and other liabilities on the Company’s condensed consolidated balance sheets.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June 30, 2021, no loss contingency has been recorded in connection with legal proceedings arising in the ordinary course of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84"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rates for the three and six months ended June 30, 2020 and 2021,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84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17"/>
                <w:szCs w:val="17"/>
                <w:color w:val="auto"/>
              </w:rPr>
            </w:pPr>
          </w:p>
        </w:tc>
      </w:tr>
      <w:tr>
        <w:trPr>
          <w:trHeight w:val="230"/>
        </w:trPr>
        <w:tc>
          <w:tcPr>
            <w:tcW w:w="41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(767)</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140" w:type="dxa"/>
            <w:vAlign w:val="bottom"/>
          </w:tcPr>
          <w:p>
            <w:pPr>
              <w:spacing w:after="0"/>
              <w:rPr>
                <w:sz w:val="20"/>
                <w:szCs w:val="20"/>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(3.33)%</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tax rate is calculated by dividing total income tax expense by the sum of income before income tax expense and the net income attributable to noncontrolling interests. The decrease in the effective tax rate for the six months ended June 30, 2021 compared to prior quarter was primarily driven by an increase in stock based compensation related expenses. The effective tax rate differs from the U.S. statutory tax rate primarily due to the valuation allowance on the Company’s deferred tax assets as it is more likely than not that some or all of these deferred tax assets will not be realized. In addition, an income tax benefit was recorded in the quarter primarily from a partial valuation allowance release on the Company's deferred tax assets due to net deferred tax liabilities originating from acquisitions in the three months ended June 30, 2021.</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benefit of $0.8 million recorded for the six months ended June 30, 2021 is primarily related to the release of valuation allowance related to the acquisition of Prodigy. The release of valuation allowance is attributable to ASC 805-740-30-3, acquisitions with deferred tax liabilities that, upon acquisition, allowed us to recognize certain deferred tax assets of approximately $1.8 million during the six months ended June 30, 2021 that had previously been offset by a valuation allowance.</w:t>
      </w:r>
    </w:p>
    <w:p>
      <w:pPr>
        <w:spacing w:after="0" w:line="200" w:lineRule="exact"/>
        <w:rPr>
          <w:sz w:val="20"/>
          <w:szCs w:val="20"/>
          <w:color w:val="auto"/>
        </w:rPr>
      </w:pPr>
    </w:p>
    <w:p>
      <w:pPr>
        <w:spacing w:after="0" w:line="253"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the Company’s inception, it has engaged in various transactions with its executive officers and directors, holders of more than 10% of its voting securities, and their affiliates.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related party investor and its affiliates also participated in securitization transactions co-sponsored and serviced by the Company in the six months ended June 30, 2020 by contributing loans and purchasing securitization notes or residual certificates.</w:t>
      </w:r>
    </w:p>
    <w:p>
      <w:pPr>
        <w:spacing w:after="0" w:line="200" w:lineRule="exact"/>
        <w:rPr>
          <w:sz w:val="20"/>
          <w:szCs w:val="20"/>
          <w:color w:val="auto"/>
        </w:rPr>
      </w:pPr>
    </w:p>
    <w:p>
      <w:pPr>
        <w:spacing w:after="0" w:line="20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Upstart Holdings, Inc. Common Stockholders</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Basic net income (loss) per common share attributable to Upstart Holdings, Inc.’s common stockholders is based on the weighted-average common shares outstanding during the relevant period. Diluted net income (loss) per common share attributable to Upstart Holdings, Inc.’s common stockholders is based on the weighted-average common shares outstanding during the relevant period adjusted for the dilutive effect of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Upstart Holdings, Inc.</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37,284</w:t>
            </w:r>
          </w:p>
        </w:tc>
        <w:tc>
          <w:tcPr>
            <w:tcW w:w="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stockholders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Weighted-average common shares outstanding used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calculate net income (loss) per share attributable to Upstart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76,674,129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14,641,333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75,160,037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Holdings, Inc. common stockholders, basic</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Weighted-average effect of dilutive securities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18,127,994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18,033,116</w:t>
            </w:r>
          </w:p>
        </w:tc>
        <w:tc>
          <w:tcPr>
            <w:tcW w:w="0" w:type="dxa"/>
            <w:vAlign w:val="bottom"/>
          </w:tcPr>
          <w:p>
            <w:pPr>
              <w:spacing w:after="0"/>
              <w:rPr>
                <w:sz w:val="1"/>
                <w:szCs w:val="1"/>
                <w:color w:val="auto"/>
              </w:rPr>
            </w:pPr>
          </w:p>
        </w:tc>
      </w:tr>
      <w:tr>
        <w:trPr>
          <w:trHeight w:val="156"/>
        </w:trPr>
        <w:tc>
          <w:tcPr>
            <w:tcW w:w="44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Weighted-average common shares outstanding used to</w:t>
            </w: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calculate net income (loss) per share attributable to Upstart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94,802,123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14,641,333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93,193,153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Holdings, Inc. common stockholders, diluted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Net income (loss) per share attributable to Upstart Holdings,</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 common stockholders, basic</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Net income (loss) per share attributable to Upstart Holdings,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0" w:type="dxa"/>
            <w:vAlign w:val="bottom"/>
            <w:vMerge w:val="continue"/>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0"/>
                <w:szCs w:val="10"/>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0"/>
                <w:szCs w:val="10"/>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Inc. common stockholders, diluted</w:t>
            </w:r>
          </w:p>
        </w:tc>
        <w:tc>
          <w:tcPr>
            <w:tcW w:w="3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securities were excluded from the computation of diluted net income (loss) per share attributable to Upstart Holdings, Inc. common stockholders for the periods presented, because including them would have been anti-dilutive for the three and six months ended June 30,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440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18,853,815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451,493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18,853,815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500,065</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2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262,914</w:t>
            </w:r>
          </w:p>
        </w:tc>
        <w:tc>
          <w:tcPr>
            <w:tcW w:w="1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1,117,330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67,123,269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714,407</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67,123,269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1,617,395</w:t>
            </w:r>
          </w:p>
        </w:tc>
      </w:tr>
      <w:tr>
        <w:trPr>
          <w:trHeight w:val="21"/>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evaluated the impact of events that have occurred subsequent to June 30, 2021, through August 12, 2021, the date which the condensed consolidated financial statements were available to be issued. Based on the evaluation,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Over the last few years, the percentage of loans funded through our balance sheet has generally decreased, while the percentage of loans purchased by institutional investors has generally increased.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Upstart’s revenues are primarily earned in the form of three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gains received through our securitization programs.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Loans on our platform today are predominantly sourced from Upstart.com. For these loans, we incur variable costs in the form of borrower acquisition costs and borrower verification and servicing costs. Borrower acquisition costs and borrower verification and servicing costs are highly correlated with the Transaction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Number of Loans on our platform and trended upwards. We source a small number of loans directly through bank partners for which we receive no referral fee and incur no acquisition cost. The continued improvements to our level of automation and Conversion Rate achieved through our increasingly sophisticated risk models and our evolving channel mix contribute to improving loan unit economics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Starting in the second half of March 2020, the COVID-19 pandemic impacted origination volumes on our platform. The rapid rise in unemployment in the United States led to a reduction in originations by bank partners and a temporary pause in loan funding from institutions and capital markets. These factors collectively resulted in an 86% reduction in the Transaction Volume, Number of Loans and a 73% reduction in revenue in the second quarter of 2020 compared to the first quarter of 2020.</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June 2020, origination volumes recovered quickly and have grown since then. For the three months ended June 30, 2021, the Transaction Volume, Number of Loans was 286,864, representing a 2,315% increase compared to the Transaction Volume, Number of Loans in the three months ended June 30, 2020.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peak of the COVID-19 pandemic, we made certain operational changes, including temporary reductions in our marketing activities and certain operational expenses. In order to support borrowers suffering from income loss due to the pandemic, Upstart also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 As of June 30, 2021, approximately 95% of those impacted borrowers have exited the hardship program and resumed making loan payments. Due to the strength of our AI models, the COVID-19 pandemic has had a minimal impact on the credit performance of Upstart-powered loans, including those originated prior to the second quarter of 2020.</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and Market Adoption</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continue developing new financial products that address a broader set of consumer needs over time. In the third quarter of 2020, we announced our entry into the auto lending market and in April 2021, we acquired Prodigy Software, Inc.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will help bring Upstart's AI enabled auto loans to dealerships across the country where the vast majority of auto loans are transacted.</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significant growth opportunities exist to apply our evolving technology to additional segments of credit, such as credit cards, mortgages, student loans, small business loans, point-of-sale loans and HELOCs. In addition, we aim to serve a broader role of technology enablement for banks, which we believe will seek more comprehensive technology solutions from their suppliers. We will incur expenses and opportunity cost to develop and launch new products. Monetization prospects for new products are uncertain, and costs associated with integrating, developing and marketing new products might not be recovered, which could weigh on our top-line growth and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Cycles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Non-GAAP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focus on several key operating and Non-GAAP financial metrics to measure the performance of our business and help determine strategic direction.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2021</w:t>
            </w:r>
          </w:p>
        </w:tc>
      </w:tr>
      <w:tr>
        <w:trPr>
          <w:trHeight w:val="27"/>
        </w:trPr>
        <w:tc>
          <w:tcPr>
            <w:tcW w:w="4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Volume, Dollars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163,930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2,795,089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1,286,494</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4,523,688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Transaction Volume, Number of Loans</w:t>
            </w: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11,876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286,864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96,090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456,610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Percentage of Loans Fully Automated</w:t>
            </w: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29"/>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29,916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152,455</w:t>
            </w:r>
          </w:p>
        </w:tc>
      </w:tr>
      <w:tr>
        <w:trPr>
          <w:trHeight w:val="229"/>
        </w:trPr>
        <w:tc>
          <w:tcPr>
            <w:tcW w:w="4320" w:type="dxa"/>
            <w:vAlign w:val="bottom"/>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i w:val="1"/>
                <w:iCs w:val="1"/>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80,494</w:t>
            </w:r>
          </w:p>
        </w:tc>
      </w:tr>
      <w:tr>
        <w:trPr>
          <w:trHeight w:val="229"/>
        </w:trPr>
        <w:tc>
          <w:tcPr>
            <w:tcW w:w="4320" w:type="dxa"/>
            <w:vAlign w:val="bottom"/>
          </w:tcPr>
          <w:p>
            <w:pPr>
              <w:ind w:left="18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i w:val="1"/>
                <w:iCs w:val="1"/>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78,431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Adjusted Net Income (Loss) per Share: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r>
        <w:trPr>
          <w:trHeight w:val="304"/>
        </w:trPr>
        <w:tc>
          <w:tcPr>
            <w:tcW w:w="4320" w:type="dxa"/>
            <w:vAlign w:val="bottom"/>
          </w:tcPr>
          <w:p>
            <w:pPr>
              <w:ind w:left="240"/>
              <w:spacing w:after="0"/>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0.84</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ind w:left="500" w:hanging="492"/>
        <w:spacing w:after="0" w:line="255"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Volume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We believe these metrics is are a good proxies for our overall scale and reach as a platform.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including auto loans, may cause fluctuations of such percentage from quarter to quarter depending on the loan offering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calculation of Contribution Profit and Contribution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17"/>
                <w:szCs w:val="17"/>
                <w:color w:val="auto"/>
              </w:rPr>
            </w:pPr>
          </w:p>
        </w:tc>
      </w:tr>
      <w:tr>
        <w:trPr>
          <w:trHeight w:val="229"/>
        </w:trPr>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37"/>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Referral fees, net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4,597</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115,318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42,816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189,071</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Platform fees, net</w:t>
            </w:r>
          </w:p>
        </w:tc>
        <w:tc>
          <w:tcPr>
            <w:tcW w:w="3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3,015</w:t>
            </w:r>
          </w:p>
        </w:tc>
        <w:tc>
          <w:tcPr>
            <w:tcW w:w="50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53,762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25,026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86,962</w:t>
            </w: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 fees, net</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5,693</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18,217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27,434</w:t>
            </w:r>
          </w:p>
        </w:tc>
      </w:tr>
      <w:tr>
        <w:trPr>
          <w:trHeight w:val="223"/>
        </w:trPr>
        <w:tc>
          <w:tcPr>
            <w:tcW w:w="4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Revenue from fees, net</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13,305</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187,297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81,318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303,467</w:t>
            </w:r>
          </w:p>
        </w:tc>
      </w:tr>
      <w:tr>
        <w:trPr>
          <w:trHeight w:val="223"/>
        </w:trPr>
        <w:tc>
          <w:tcPr>
            <w:tcW w:w="41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70,932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(38,281)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117,055</w:t>
            </w:r>
          </w:p>
        </w:tc>
      </w:tr>
      <w:tr>
        <w:trPr>
          <w:trHeight w:val="229"/>
        </w:trPr>
        <w:tc>
          <w:tcPr>
            <w:tcW w:w="41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(5,471)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(13,121)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33,957</w:t>
            </w:r>
          </w:p>
        </w:tc>
      </w:tr>
      <w:tr>
        <w:trPr>
          <w:trHeight w:val="223"/>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direct expenses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(9,049)</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90,627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(51,402)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151,012</w:t>
            </w:r>
          </w:p>
        </w:tc>
      </w:tr>
      <w:tr>
        <w:trPr>
          <w:trHeight w:val="223"/>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Contribution Profit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4,256</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96,670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29,916</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152,455</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Contribution Margin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304"/>
        </w:trPr>
        <w:tc>
          <w:tcPr>
            <w:tcW w:w="4040" w:type="dxa"/>
            <w:vAlign w:val="bottom"/>
          </w:tcPr>
          <w:p>
            <w:pPr>
              <w:spacing w:after="0"/>
              <w:rPr>
                <w:sz w:val="20"/>
                <w:szCs w:val="20"/>
                <w:color w:val="auto"/>
              </w:rPr>
            </w:pPr>
            <w:r>
              <w:rPr>
                <w:rFonts w:ascii="Arial" w:cs="Arial" w:eastAsia="Arial" w:hAnsi="Arial"/>
                <w:sz w:val="18"/>
                <w:szCs w:val="18"/>
                <w:color w:val="auto"/>
              </w:rPr>
              <w:t>_______</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ind w:left="500" w:hanging="492"/>
        <w:spacing w:after="0" w:line="241" w:lineRule="auto"/>
        <w:tabs>
          <w:tab w:leader="none" w:pos="492" w:val="left"/>
        </w:tabs>
        <w:numPr>
          <w:ilvl w:val="0"/>
          <w:numId w:val="36"/>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48" w:lineRule="auto"/>
        <w:tabs>
          <w:tab w:leader="none" w:pos="492" w:val="left"/>
        </w:tabs>
        <w:numPr>
          <w:ilvl w:val="0"/>
          <w:numId w:val="36"/>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(loss)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calculate Adjusted EBITDA as net income (loss) attributable to Upstart Holdings, Inc. stockholders adjusted to exclude stock-based compensation expense, depreciation and amortization, income (expense) on warrants and other non-operating expenses, net, provision for income taxes and acquisition-related costs. We calculate Adjusted EBITDA Margin as Adjusted EBITDA divided by total revenue. Adjusted EBITDA and Adjusted EBITDA Margin includes interest expense from corporate debt and warehouse credit facility which is incurred in the course of earning corresponding interest income. See the section titled “</w:t>
      </w:r>
      <w:r>
        <w:rPr>
          <w:rFonts w:ascii="Arial" w:cs="Arial" w:eastAsia="Arial" w:hAnsi="Arial"/>
          <w:sz w:val="18"/>
          <w:szCs w:val="18"/>
          <w:i w:val="1"/>
          <w:iCs w:val="1"/>
          <w:color w:val="auto"/>
        </w:rPr>
        <w:t>Management’s Discussion and Analysis of Financial Condition and Results of Operations—Reconciliation of Non-GAAP Financial Measures</w:t>
      </w:r>
      <w:r>
        <w:rPr>
          <w:rFonts w:ascii="Arial" w:cs="Arial" w:eastAsia="Arial" w:hAnsi="Arial"/>
          <w:sz w:val="18"/>
          <w:szCs w:val="18"/>
          <w:color w:val="auto"/>
        </w:rPr>
        <w:t>” for a reconciliation of net loss attributable to Upstart Holdings, Inc. common stockholders to Adjusted EBITDA and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Margin.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define Adjusted Net Income (Loss) as net income exclusive of stock-based compensation expense and acquisition-related costs. Adjusted Net Income (Loss) Per Share is calculated by dividing Adjusted Net Income (Loss) Per Share by the weighted-average common shares outstanding. See the section titled “</w:t>
      </w:r>
      <w:r>
        <w:rPr>
          <w:rFonts w:ascii="Arial" w:cs="Arial" w:eastAsia="Arial" w:hAnsi="Arial"/>
          <w:sz w:val="18"/>
          <w:szCs w:val="18"/>
          <w:i w:val="1"/>
          <w:iCs w:val="1"/>
          <w:color w:val="auto"/>
        </w:rPr>
        <w:t>Management’s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Discussion and Analysis of Financial Condition and Results of Operations—Reconciliation of Non-GAAP Financial Measures</w:t>
      </w:r>
      <w:r>
        <w:rPr>
          <w:rFonts w:ascii="Arial" w:cs="Arial" w:eastAsia="Arial" w:hAnsi="Arial"/>
          <w:sz w:val="16"/>
          <w:szCs w:val="16"/>
          <w:color w:val="auto"/>
        </w:rPr>
        <w:t>” for a reconciliation of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attributable to Upstart Holdings, Inc. common stockholders to Adjusted Net Income (Loss) and Adjusted Net Income (Loss) per Share.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 Part I, Item 1 of this Form 10-Q for more information about loan premium fees and trailing fees.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Fees, Net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and historically common stock warrant liabilities and convertible preferred stock warrant liabilities. Interest income and fair value adjustments, net also includes gains received through our securitization programs. Interest income and fair value adjustments, net also historically included the full amount of net interest income and expense incurred by consolidated variable interest entities, or VIEs, the majority of which has been historically allocated to third parties in the line item net loss attributable to noncontrolling interests on our consolidated statements of operations and comprehensive income (loss).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Following the completion of our initial public offering in December 2020, our general, administrative and other expenses increased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income (expense) primarily consists of dividend income earned on our unrestricted cash balances. Other income (expense) is recognized in the period earned. In March 2021, we voluntarily repaid the proceeds received under the Paycheck Protection Program (“PPP”). The repayment is included as an other expense for the six months ended June 30, 2021. For additional details, refer to </w:t>
      </w:r>
      <w:r>
        <w:rPr>
          <w:rFonts w:ascii="Arial" w:cs="Arial" w:eastAsia="Arial" w:hAnsi="Arial"/>
          <w:sz w:val="18"/>
          <w:szCs w:val="18"/>
          <w:i w:val="1"/>
          <w:iCs w:val="1"/>
          <w:color w:val="auto"/>
        </w:rPr>
        <w:t>“Note 1. Description of Business and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of our consolidated financial statements in Part I, Item 1 of this Form 10-Q.</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(Expense) on Warrants and Other Non-Operating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Income (expense) on warrants and other non-operating expenses is primarily comprised of the net changes in the fair value of our common and convertible preferred stock warrant liabilities for the three and six months ended June 30, 2020 and interest expense for the three and six months ended June 30,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Results of Operations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620" w:type="dxa"/>
            <w:vAlign w:val="bottom"/>
            <w:gridSpan w:val="7"/>
          </w:tcPr>
          <w:p>
            <w:pPr>
              <w:ind w:left="400"/>
              <w:spacing w:after="0"/>
              <w:rPr>
                <w:sz w:val="20"/>
                <w:szCs w:val="20"/>
                <w:color w:val="auto"/>
              </w:rPr>
            </w:pPr>
            <w:r>
              <w:rPr>
                <w:rFonts w:ascii="Arial" w:cs="Arial" w:eastAsia="Arial" w:hAnsi="Arial"/>
                <w:sz w:val="18"/>
                <w:szCs w:val="18"/>
                <w:color w:val="auto"/>
              </w:rPr>
              <w:t>The following table summarizes our historical consolidated statements of operations data:</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Revenue from fees,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187,297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81,318</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303,467</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and 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315,291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60" w:type="dxa"/>
            <w:vAlign w:val="bottom"/>
          </w:tcPr>
          <w:p>
            <w:pPr>
              <w:ind w:left="10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41,388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125,292</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Customer operations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60" w:type="dxa"/>
            <w:vAlign w:val="bottom"/>
          </w:tcPr>
          <w:p>
            <w:pPr>
              <w:ind w:left="100"/>
              <w:spacing w:after="0" w:line="230" w:lineRule="exact"/>
              <w:rPr>
                <w:sz w:val="20"/>
                <w:szCs w:val="20"/>
                <w:color w:val="auto"/>
              </w:rPr>
            </w:pPr>
            <w:r>
              <w:rPr>
                <w:rFonts w:ascii="Arial" w:cs="Arial" w:eastAsia="Arial" w:hAnsi="Arial"/>
                <w:sz w:val="18"/>
                <w:szCs w:val="18"/>
                <w:color w:val="auto"/>
              </w:rPr>
              <w:t>Engineering and product development</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50,419</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16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263,423</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51,868</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175"/>
        </w:trPr>
        <w:tc>
          <w:tcPr>
            <w:tcW w:w="4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Income (expense) on warrants and other non-operating</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Net income (loss) before income taxes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46,619</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156"/>
        </w:trPr>
        <w:tc>
          <w:tcPr>
            <w:tcW w:w="44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Net income (loss) before attribution to noncontrolling</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37,284</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Net income (loss) attributable to noncontrolling interests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4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37,284</w:t>
            </w:r>
          </w:p>
        </w:tc>
        <w:tc>
          <w:tcPr>
            <w:tcW w:w="10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3"/>
                <w:szCs w:val="13"/>
                <w:color w:val="auto"/>
              </w:rPr>
            </w:pPr>
          </w:p>
        </w:tc>
        <w:tc>
          <w:tcPr>
            <w:tcW w:w="6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08"/>
        </w:trPr>
        <w:tc>
          <w:tcPr>
            <w:tcW w:w="4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common stockholders</w:t>
            </w:r>
          </w:p>
        </w:tc>
        <w:tc>
          <w:tcPr>
            <w:tcW w:w="2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44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160" w:type="dxa"/>
            <w:vAlign w:val="bottom"/>
          </w:tcPr>
          <w:p>
            <w:pPr>
              <w:ind w:left="220"/>
              <w:spacing w:after="0"/>
              <w:rPr>
                <w:sz w:val="20"/>
                <w:szCs w:val="20"/>
                <w:color w:val="auto"/>
              </w:rPr>
            </w:pPr>
            <w:r>
              <w:rPr>
                <w:rFonts w:ascii="Arial" w:cs="Arial" w:eastAsia="Arial" w:hAnsi="Arial"/>
                <w:sz w:val="14"/>
                <w:szCs w:val="14"/>
                <w:color w:val="auto"/>
              </w:rPr>
              <w:t>Includes stock-based compensation expense as follows: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21"/>
                <w:szCs w:val="21"/>
                <w:color w:val="auto"/>
              </w:rPr>
            </w:pPr>
          </w:p>
        </w:tc>
        <w:tc>
          <w:tcPr>
            <w:tcW w:w="29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Customer operations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4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our revenue from fees, net in the periods shown: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Platform and referral fees,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169,080</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161,468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2,121 %</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67,842</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276,033</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208,191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fees, net</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220 %</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13,958</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revenue from</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187,297</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173,992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1,308 %</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81,318</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303,467</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222,149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fees, net</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gridSpan w:val="2"/>
            <w:vMerge w:val="continue"/>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gridSpan w:val="2"/>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fees, net increased $174.0 million, or 1,308%, in the three months ended June 30, 2021, compared to the same period in 2020, which included an increase of $161.5 million in revenue from platform and referral fees, net and an increase of $12.5 million in servicing fees, net. The increase of the platform and referral fees, net was primarily driven by a 2,315% increase in the Transaction Volume, Number of Loans from 11,876 in the three months ended June 30, 2020 to 286,864 in the same period in 2021 as well as an increase in prices of our services in response to the market conditions caused by the COVID-19 pandemic. The increase in the servicing fees, net was primarily due to an 111% increase in the outstanding principal of serviced loans, as well as a downward revaluation to the net liability of our servicing obligation.</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fees, net increased $222.1 million, or 273%, in the six months ended June 30, 2021, compared to the same period in 2020, which included an increase of $208.2 million in revenue from platform and referral fees, net and an increase of $14.0 million in servicing fees, net. The increase of the platform and referral fees, net was primarily driven by a 375% increase in the Transaction Volume, Number of Loans from 96,090 in the six months ended June 30, 2020 to 456,610 in the same period in 2021 as well as an increase in prices of our services in response to the market conditions caused by the COVID-19 pandemic. The increase in the servicing fees, net was primarily due to an 89% increase in the outstanding principal of serviced loans, as well as a downward revaluation to the net liability of our servicing obligation.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vMerge w:val="restart"/>
          </w:tcPr>
          <w:p>
            <w:pPr>
              <w:ind w:left="52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5,529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2"/>
              </w:rPr>
              <w:t>Other consolidated entities</w:t>
            </w:r>
            <w:r>
              <w:rPr>
                <w:rFonts w:ascii="Arial" w:cs="Arial" w:eastAsia="Arial" w:hAnsi="Arial"/>
                <w:sz w:val="23"/>
                <w:szCs w:val="23"/>
                <w:color w:val="auto"/>
                <w:w w:val="92"/>
                <w:vertAlign w:val="superscript"/>
              </w:rPr>
              <w:t>(2)</w:t>
            </w:r>
            <w:r>
              <w:rPr>
                <w:rFonts w:ascii="Arial" w:cs="Arial" w:eastAsia="Arial" w:hAnsi="Arial"/>
                <w:sz w:val="18"/>
                <w:szCs w:val="18"/>
                <w:color w:val="auto"/>
                <w:w w:val="92"/>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4"/>
              </w:rPr>
              <w:t>Fair value adjustments,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Total interest income and fair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40,672 %</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value adjustments, net</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 of balances recognized by entities participating in ongoing operating activities of the Company, including warehouse entities.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balances recognized by other entities, including securitization entities.</w:t>
      </w:r>
    </w:p>
    <w:p>
      <w:pPr>
        <w:spacing w:after="0" w:line="2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Interest income and fair value adjustments, net increased $2.6 million, or 64%, in the three months ended June 30, 2021, compared to the same period in 2020. The increase was driven by a $6.0 million increase in fair value adjustments, net partially offset by a $0.8 million decrease in interest expense, partially offset by a decrease in interest income of $4.2 million. The increase of the fair value adjustments was primarily attributable to a reversal of negative fair value adjustments recognized largely due to market changes as a result of the COVID-19 pandemic in the second quarter of 2020 in operating entities and $2.8 million of gains received through our securitization programs. Interest income and interest expense recognized by other consolidated entities decreased due to the deconsolidation of the 2018-1 securitization which occurred in the second quarter of 2020. Finally, our operating entities held a smaller loan portfolio in the second quarter of 2021, which resulted in decreases of both interest income and interest expense associated with borrowings under the credit facility. The deconsolidation of the 2018-1 securitization was a result of the expiration of the related risk retention requirements, which caused us to conclude that we are no longer the primary beneficiary. For additional details, refer to “</w:t>
      </w:r>
      <w:r>
        <w:rPr>
          <w:rFonts w:ascii="Arial" w:cs="Arial" w:eastAsia="Arial" w:hAnsi="Arial"/>
          <w:sz w:val="17"/>
          <w:szCs w:val="17"/>
          <w:i w:val="1"/>
          <w:iCs w:val="1"/>
          <w:color w:val="auto"/>
        </w:rPr>
        <w:t>Note 3. Securitizations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of our consolidated financial statements in Part I, Item 1 of this Form 10-Q.</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 months ended June 30, 2021, interest income and fair value adjustments, net increased $11.8 million, or 40,672%, compared to the same period in 2020. The increase was driven by a $18.8 million increase in fair value adjustments, net and a $10.0 million decrease in interest income, partially offset by a $3.0 million decrease in interest expense. The increase of the fair value adjustments was primarily attributable to a reversal of negative fair value adjustments recognized largely due to market changes as a result of the COVID-19 pandemic in the first half of 2020 by both operating and other consolidating entities and $5.6 million of gains received through our securitization programs. Interest income and interest expense recognized by other consolidated entities decreased due to the deconsolidation of the 2018-1 securitization which occurred in the second quarter of 2020. Finally, our operating entities held a smaller loan portfolio in the first half of 2021, which resulted in decreases of both interest income and interest expense associated with borrowings under the credit facility. The deconsolidation of the 2018-1 securitization was a result of the expiration of the related risk retention requirements, which caused us to conclude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we are no longer the primary beneficiary. For additional details, refer to “</w:t>
      </w:r>
      <w:r>
        <w:rPr>
          <w:rFonts w:ascii="Arial" w:cs="Arial" w:eastAsia="Arial" w:hAnsi="Arial"/>
          <w:sz w:val="18"/>
          <w:szCs w:val="18"/>
          <w:i w:val="1"/>
          <w:iCs w:val="1"/>
          <w:color w:val="auto"/>
        </w:rPr>
        <w:t>Note 3. Securitizations and Variable Interest Entities</w:t>
      </w:r>
      <w:r>
        <w:rPr>
          <w:rFonts w:ascii="Arial" w:cs="Arial" w:eastAsia="Arial" w:hAnsi="Arial"/>
          <w:sz w:val="18"/>
          <w:szCs w:val="18"/>
          <w:color w:val="auto"/>
        </w:rPr>
        <w:t>” of our consolidated financial statements in Part I, Item 1 of this Form 10-Q.</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040" w:type="dxa"/>
            <w:vAlign w:val="bottom"/>
            <w:gridSpan w:val="5"/>
            <w:vMerge w:val="restart"/>
          </w:tcPr>
          <w:p>
            <w:pPr>
              <w:jc w:val="right"/>
              <w:ind w:right="1020"/>
              <w:spacing w:after="0"/>
              <w:rPr>
                <w:sz w:val="20"/>
                <w:szCs w:val="20"/>
                <w:color w:val="auto"/>
              </w:rPr>
            </w:pPr>
            <w:r>
              <w:rPr>
                <w:rFonts w:ascii="Arial" w:cs="Arial" w:eastAsia="Arial" w:hAnsi="Arial"/>
                <w:sz w:val="18"/>
                <w:szCs w:val="18"/>
                <w:b w:val="1"/>
                <w:bCs w:val="1"/>
                <w:color w:val="auto"/>
              </w:rPr>
              <w:t>Change</w:t>
            </w: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8"/>
                <w:szCs w:val="18"/>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70,480</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1,297%   $</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125,292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$70.5 million, or 1,297%, in the three months ended June 30, 2021 compared to the same period in 2020. The increase was primarily due to a $67.4 million increase in advertising and other traffic acquisition cost partially attributable to a temporary reduction in sales and marketing expenditures due to the COVID-19 pandemic during the first half of 2020, as well as a $3.1 million increase in payroll and other personnel-related expenses driven by increased headcount. As a percentage of total revenue, sales and marketing expenses increased from 31% to 39%.</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$83.9 million, or 203%, in the six months ended June 30, 2021 compared to the same period in 2020. The increase was primarily due to a $78.8 million increase in advertising and other traffic acquisition cost, as well as $4.7 million increase in payroll and other personnel-related expenses driven by increased headcount. As a percentage of total revenue, sales and marketing expenses decreased from 51% to 40%.</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2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84"/>
              </w:rPr>
              <w:t>Change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1260" w:type="dxa"/>
            <w:vAlign w:val="bottom"/>
            <w:gridSpan w:val="3"/>
            <w:vMerge w:val="restart"/>
          </w:tcPr>
          <w:p>
            <w:pPr>
              <w:ind w:left="66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2"/>
              </w:rPr>
              <w:t>$41,552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169%</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Customer operations expenses increased by $17.5 million, or 265%, in the three months ended June 30, 2021, compared to the same period in 2020. The increase was primarily due to an increase of $10.2 million in payroll and other personnel-related expenses due to an increase in headcount as well as increased spending of $6.6 million in information verification and platform operations due to a growing volume of loans facilitated through our platform. As a percentage of total revenue, customer operations expenses decreased from 38% to 12%.</w:t>
      </w:r>
    </w:p>
    <w:p>
      <w:pPr>
        <w:spacing w:after="0" w:line="64" w:lineRule="exact"/>
        <w:rPr>
          <w:sz w:val="20"/>
          <w:szCs w:val="20"/>
          <w:color w:val="auto"/>
        </w:rPr>
      </w:pPr>
    </w:p>
    <w:p>
      <w:pPr>
        <w:jc w:val="both"/>
        <w:ind w:firstLine="551"/>
        <w:spacing w:after="0" w:line="262" w:lineRule="auto"/>
        <w:rPr>
          <w:sz w:val="20"/>
          <w:szCs w:val="20"/>
          <w:color w:val="auto"/>
        </w:rPr>
      </w:pPr>
      <w:r>
        <w:rPr>
          <w:rFonts w:ascii="Arial" w:cs="Arial" w:eastAsia="Arial" w:hAnsi="Arial"/>
          <w:sz w:val="17"/>
          <w:szCs w:val="17"/>
          <w:color w:val="auto"/>
        </w:rPr>
        <w:t>Customer operations expenses increased by $26.1 million, or 169%, in the six months ended June 30, 2021, compared to the same period in 2020. The increase was primarily due to an increase of $15.5 million in payroll and other personnel-related expenses due to an increase in headcount as well as increased spending of $9.2 million in information verification and platform operations due to a growing volume of loans facilitated through our platform. As a percentage of total revenue, customer operations expenses decreased from 19% to 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7"/>
                <w:szCs w:val="17"/>
                <w:color w:val="auto"/>
              </w:rPr>
            </w:pPr>
          </w:p>
        </w:tc>
        <w:tc>
          <w:tcPr>
            <w:tcW w:w="174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rPr>
              <w:t>Change</w:t>
            </w:r>
          </w:p>
        </w:tc>
        <w:tc>
          <w:tcPr>
            <w:tcW w:w="26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1360" w:type="dxa"/>
            <w:vAlign w:val="bottom"/>
            <w:gridSpan w:val="3"/>
            <w:vMerge w:val="restart"/>
          </w:tcPr>
          <w:p>
            <w:pPr>
              <w:ind w:left="720"/>
              <w:spacing w:after="0"/>
              <w:rPr>
                <w:sz w:val="20"/>
                <w:szCs w:val="20"/>
                <w:color w:val="auto"/>
              </w:rPr>
            </w:pPr>
            <w:r>
              <w:rPr>
                <w:rFonts w:ascii="Arial" w:cs="Arial" w:eastAsia="Arial" w:hAnsi="Arial"/>
                <w:sz w:val="18"/>
                <w:szCs w:val="18"/>
                <w:b w:val="1"/>
                <w:bCs w:val="1"/>
                <w:color w:val="auto"/>
                <w:w w:val="93"/>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vMerge w:val="continue"/>
          </w:tcPr>
          <w:p>
            <w:pPr>
              <w:spacing w:after="0"/>
              <w:rPr>
                <w:sz w:val="19"/>
                <w:szCs w:val="19"/>
                <w:color w:val="auto"/>
              </w:rPr>
            </w:pPr>
          </w:p>
        </w:tc>
        <w:tc>
          <w:tcPr>
            <w:tcW w:w="168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Engineering and product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7,667</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31,431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14,685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50,419</w:t>
            </w:r>
          </w:p>
        </w:tc>
        <w:tc>
          <w:tcPr>
            <w:tcW w:w="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35,734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Engineering and product development expenses increased by $23.8 million, or 310%, For the three months ended June 30, 2021, compared to the same period in 2020. The increase was primarily due to an increase of $21.8 million in payroll and other personnel-related expenses driven by an increase in headcount, as well as a $1.8 million increase in spending on consultants and other engineering support services. As a percentage of total revenue, engineering and product development expenses decreased from 44% to 16%.</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Engineering and product development expenses increased by $35.7 million, or 243%, for the six months ended June 30, 2021, compared to the same period in 2020. The increase was primarily due to an increase of $32.8 million in payroll and other personnel-related expenses driven by an increase in headcount, as well as a $2.7 million increase in spending on consultants and other engineering support services. As a percentage of total revenue, engineering and product development expenses decreased from 18% to 16%.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gridSpan w:val="5"/>
            <w:vMerge w:val="continue"/>
          </w:tcPr>
          <w:p>
            <w:pPr>
              <w:spacing w:after="0"/>
              <w:rPr>
                <w:sz w:val="2"/>
                <w:szCs w:val="2"/>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General, administrative,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9,017</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26,141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20,677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46,160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i w:val="1"/>
                <w:iCs w:val="1"/>
                <w:color w:val="auto"/>
              </w:rPr>
              <w:t>%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administrative, and other expenses increased by $17.1 million, or 190%, in the three months ended June 30, 2021, compared to the same period in 2020. The increase was primarily due to an increase of $10.0 million in personnel-related costs as a result of increased headcount; an increase of $1.8 million in professional fees; an increase of $1.4 million in insurance costs; and an increase of $1.0 million in legal and compliance-related expenses. As a percentage of total revenue, general, administrative, and other expenses decreased from 52% to 13%.</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administrative, and other expenses increased by $25.5 million, or 123%, For the six months ended June 30, 2021, compared to the same period in 2020. The increase was primarily due to an increase of $14.2 million in personnel-related costs as a result of increased headcount; an increase of $3.1 million in insurance costs; an increase of $2.3 million in legal and compliance-related expenses; and an increase of $2.1 million in professional fees. As a percentage of total revenue, general, administrative, and other expenses decreased from 25% to 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w w:val="99"/>
              </w:rPr>
              <w:t>Other Income (Expense)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3"/>
            <w:vMerge w:val="restart"/>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42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w w:val="96"/>
              </w:rPr>
              <w:t>Change</w:t>
            </w: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Other income (expense) decreased by $5.3 million, or 100%, in the three months ended June 30, 2021, compared to the same period in 2020. The decrease was primarily due to the receipt of funds under the PPP loan totaling $5.3 million in the three months ended June 30, 2020.</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six months ended June 30, 2021, other income (expense) decreased by $10.7 million, or 196%, compared to the same period in 2020. The decrease was primarily due to the receipt of funds under the PPP loan totaling $5.3 million in the six months ended June 30, 2020 coupled with our voluntary repayment of proceeds received from the PPP loan during six months ended June 30, 2021. We used the loan to mitigate the impact of the COVID-19 pandemic on our business in Q2 2020 and fully complied with the forgiveness requirements, including maintaining full employment through the significant transaction volume decline. Our business experienced a strong recovery later in 2020 and continued growing in the most recent quarter, which brought us to a conclusion that the funds received as part of the program were no longer needed for their original intent and should be repaid. We recognized the loan principal repayment as a reduction to other income (expense) totaling $5.3 million.</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10"/>
          </w:tcPr>
          <w:p>
            <w:pPr>
              <w:spacing w:after="0"/>
              <w:rPr>
                <w:sz w:val="20"/>
                <w:szCs w:val="20"/>
                <w:color w:val="auto"/>
              </w:rPr>
            </w:pPr>
            <w:r>
              <w:rPr>
                <w:rFonts w:ascii="Arial" w:cs="Arial" w:eastAsia="Arial" w:hAnsi="Arial"/>
                <w:sz w:val="18"/>
                <w:szCs w:val="18"/>
                <w:b w:val="1"/>
                <w:bCs w:val="1"/>
                <w:i w:val="1"/>
                <w:iCs w:val="1"/>
                <w:color w:val="auto"/>
                <w:w w:val="96"/>
              </w:rPr>
              <w:t>Income (Expense) on Warrants and Other Non-operating Expenses, Net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vMerge w:val="restart"/>
          </w:tcPr>
          <w:p>
            <w:pPr>
              <w:jc w:val="center"/>
              <w:ind w:left="250"/>
              <w:spacing w:after="0"/>
              <w:rPr>
                <w:sz w:val="20"/>
                <w:szCs w:val="20"/>
                <w:color w:val="auto"/>
              </w:rPr>
            </w:pPr>
            <w:r>
              <w:rPr>
                <w:rFonts w:ascii="Arial" w:cs="Arial" w:eastAsia="Arial" w:hAnsi="Arial"/>
                <w:sz w:val="18"/>
                <w:szCs w:val="18"/>
                <w:b w:val="1"/>
                <w:bCs w:val="1"/>
                <w:color w:val="auto"/>
                <w:w w:val="90"/>
              </w:rPr>
              <w:t>Six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3"/>
            <w:vMerge w:val="restart"/>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w w:val="93"/>
              </w:rPr>
              <w:t>Change</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w w:val="93"/>
              </w:rPr>
              <w:t>Change</w:t>
            </w: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2"/>
                <w:szCs w:val="22"/>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5"/>
        </w:trPr>
        <w:tc>
          <w:tcPr>
            <w:tcW w:w="21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(expense) on</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warrants and other non-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  $</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271</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net</w:t>
            </w:r>
          </w:p>
        </w:tc>
        <w:tc>
          <w:tcPr>
            <w:tcW w:w="220" w:type="dxa"/>
            <w:vAlign w:val="bottom"/>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(expense) on warrants and other non-operating expenses, net decreased by $0.3 million, or 111%, in the six months ended June 30, 2021, compared to the same period in 2020. The decrease was primarily a result of a $0.3 million increase in the fair value of warrants in the three and six months ended June 30, 2020. Our warrants were reclassified to equity in the fourth quarter of 2020 and exercised in January 2021. We had no warrants outstanding as of June 30, 2021.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supplement our consolidated financial statements prepared and presented in accordance with GAAP, we use the non-GAAP financial measures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 address these limitations, we provide a reconciliation of Contribution Profit, Contribution Margin, Adjusted EBITDA, Adjusted EBITDA Margin, and Adjusted Net Income (Loss) and Adjusted Net Income (Loss) Per Share to loss from operations and net loss attributable to Upstart Holdings, Inc. common stockholders, respectively. We encourage investors and others to review our financial information in its entirety, not to rely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Contribution Profit and Contribution Margin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is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Contribution Profit and Contribution Margin have limitations as an analytical tool, and you should not consider in isolation or as a substitute for analysis of our results as reported under GAAP. Contribution Profit and Contribution Margin are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does not reflect all of our variable expenses and involves some judgment and discretion around what costs vary directly with loan volume. Other companies that present Contribution Profit and Contribution Margin calculate it differently and, therefore, similarly titled measures presented by other companies may not be directly comparable to ours.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presents a reconciliation of income from operations to Contribution Profit and Contribution Margin. We define Operating Margin as our income from operations divided by revenue from fees, net.</w:t>
      </w: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0" w:type="dxa"/>
            <w:vAlign w:val="bottom"/>
            <w:gridSpan w:val="5"/>
          </w:tcPr>
          <w:p>
            <w:pPr>
              <w:ind w:left="540"/>
              <w:spacing w:after="0" w:line="182" w:lineRule="exact"/>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5"/>
                <w:szCs w:val="15"/>
                <w:color w:val="auto"/>
              </w:rPr>
            </w:pPr>
          </w:p>
        </w:tc>
        <w:tc>
          <w:tcPr>
            <w:tcW w:w="208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187,297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81,318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303,467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36,294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(10,835)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51,868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w w:val="90"/>
              </w:rPr>
              <w:t>Sales and marketing, net of borrower acquisition costs</w:t>
            </w:r>
            <w:r>
              <w:rPr>
                <w:rFonts w:ascii="Arial" w:cs="Arial" w:eastAsia="Arial" w:hAnsi="Arial"/>
                <w:sz w:val="23"/>
                <w:szCs w:val="23"/>
                <w:color w:val="auto"/>
                <w:w w:val="90"/>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4,984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3,107</w:t>
            </w:r>
          </w:p>
        </w:tc>
        <w:tc>
          <w:tcPr>
            <w:tcW w:w="8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Customer operations, net of borrower verification and</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4,469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servicing costs</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31,431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14,685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50,419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20,677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46,160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(6,649)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96,670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29,916</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152,455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32 %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52 %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color w:val="auto"/>
              </w:rPr>
              <w:t>37 %</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303"/>
        </w:trPr>
        <w:tc>
          <w:tcPr>
            <w:tcW w:w="4120" w:type="dxa"/>
            <w:vAlign w:val="bottom"/>
          </w:tcPr>
          <w:p>
            <w:pPr>
              <w:spacing w:after="0"/>
              <w:rPr>
                <w:sz w:val="20"/>
                <w:szCs w:val="20"/>
                <w:color w:val="auto"/>
              </w:rPr>
            </w:pPr>
            <w:r>
              <w:rPr>
                <w:rFonts w:ascii="Arial" w:cs="Arial" w:eastAsia="Arial" w:hAnsi="Arial"/>
                <w:sz w:val="18"/>
                <w:szCs w:val="18"/>
                <w:color w:val="auto"/>
              </w:rPr>
              <w:t>_________</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60" w:lineRule="auto"/>
        <w:tabs>
          <w:tab w:leader="none" w:pos="4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Borrower acquisition costs were $3.6 million and $70.9 million for the three months ended June 30, 2020 and 2021, respectively, and were $38.3 million and $117.1 million for the six months ended June 30, 2020 and 2021,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76" w:lineRule="auto"/>
        <w:tabs>
          <w:tab w:leader="none" w:pos="4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Borrower verification and servicing costs were $5.5 million and $19.7 million for the three months ended June 30, 2020 and 2021, respectively, and were $13.2 million and $34.0 million for the six months ended June 30, 2020 and 2021, respectively. Borrower verification and servicing costs consist of payroll and other personnel-related expenses for personnel engaged in loan onboarding, verification and servicing, as well as servicing system costs. It excludes payroll and personnel-related expenses and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compensation for certain members of our customer operations team whose work is not directly attributable to onboarding and servicing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2" w:lineRule="exact"/>
        <w:rPr>
          <w:sz w:val="20"/>
          <w:szCs w:val="20"/>
          <w:color w:val="auto"/>
        </w:rPr>
      </w:pPr>
    </w:p>
    <w:p>
      <w:pPr>
        <w:jc w:val="both"/>
        <w:ind w:left="980" w:hanging="324"/>
        <w:spacing w:after="0" w:line="248"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EBITDA and Adjusted EBITDA Margin eliminates the impact of certain items such as stock-based compensation expense, warrant expense and acquisition-related costs that may obscure trends in the underlying performance of our business; and</w:t>
      </w:r>
    </w:p>
    <w:p>
      <w:pPr>
        <w:spacing w:after="0" w:line="38" w:lineRule="exact"/>
        <w:rPr>
          <w:rFonts w:ascii="Arial" w:cs="Arial" w:eastAsia="Arial" w:hAnsi="Arial"/>
          <w:sz w:val="17"/>
          <w:szCs w:val="17"/>
          <w:color w:val="auto"/>
        </w:rPr>
      </w:pPr>
    </w:p>
    <w:p>
      <w:pPr>
        <w:ind w:left="980" w:hanging="324"/>
        <w:spacing w:after="0" w:line="324" w:lineRule="auto"/>
        <w:tabs>
          <w:tab w:leader="none" w:pos="9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provides consistency and comparability with our past financial performance, and facilitates comparisons with other companies, many of which use similar non-GAAP financial measures to supplement their GAAP results.</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EBITDA and Adjusted EBITDA Margin has limitations as an analytical tool, and you should not consider these measures in isolation or as a substitute for analysis of our financial results as reported under GAAP. Some of these limitations are as follows:</w:t>
      </w:r>
    </w:p>
    <w:p>
      <w:pPr>
        <w:spacing w:after="0" w:line="62" w:lineRule="exact"/>
        <w:rPr>
          <w:sz w:val="20"/>
          <w:szCs w:val="20"/>
          <w:color w:val="auto"/>
        </w:rPr>
      </w:pPr>
    </w:p>
    <w:p>
      <w:pPr>
        <w:jc w:val="both"/>
        <w:ind w:left="980" w:hanging="324"/>
        <w:spacing w:after="0" w:line="248"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stock-based compensation expense, which has been, and will continue to be for the foreseeable future, a significant recurring expense for our business and an important part of our compensation strategy;</w:t>
      </w:r>
    </w:p>
    <w:p>
      <w:pPr>
        <w:spacing w:after="0" w:line="38" w:lineRule="exact"/>
        <w:rPr>
          <w:rFonts w:ascii="Arial" w:cs="Arial" w:eastAsia="Arial" w:hAnsi="Arial"/>
          <w:sz w:val="17"/>
          <w:szCs w:val="17"/>
          <w:color w:val="auto"/>
        </w:rPr>
      </w:pPr>
    </w:p>
    <w:p>
      <w:pPr>
        <w:jc w:val="both"/>
        <w:ind w:left="980" w:hanging="324"/>
        <w:spacing w:after="0" w:line="248"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and Adjusted EBITDA Margin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9"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income (loss) attributable to Upstart Holdings, Inc. common stockholders to Adjusted EBITDA and net income margin to Adjusted EBITDA Margin. We define Net Income Margin as net income (loss) attributable to Upstart Holdings, Inc. common stockholders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193,946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81,347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315,291</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w w:val="94"/>
              </w:rPr>
              <w:t>Net income (loss) attributable to Upstart Holdings, Inc.</w:t>
            </w:r>
          </w:p>
        </w:tc>
        <w:tc>
          <w:tcPr>
            <w:tcW w:w="40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37,284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common stockholders</w:t>
            </w: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Income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4,484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Income (expense) on warrants and other non-operating</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59,495</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80,494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right="20" w:hanging="492"/>
        <w:spacing w:after="0" w:line="255" w:lineRule="auto"/>
        <w:tabs>
          <w:tab w:leader="none" w:pos="4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fair value adjustments to our warrant liability for the three and six months ended June 30, 2020 and interest expense for the three and six months ended June 30, 2020 and 2021.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Net Income (Loss) Per Share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define Adjusted Net Income (Loss) as net income exclusive of stock-based compensation expense and acquisition-related costs.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30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Upstart Holdings, Inc.</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37,284</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stockholders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78,431</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 per Share: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76,674,129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14,641,333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75,160,037</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14,657,399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94,802,123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14,641,333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93,193,153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June 30, 2021. In December 2020, we completed our IPO which resulted in $167.4 million of proceeds, net of underwriting discounts and commissions, and before deducting deferred offering costs of $7.9 million. Deferred offering costs consisted primarily of incremental accounting, legal, and other fees related to the IPO.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2021 the UNI Credit Facility matured in which the outstanding principal balance of $5.5 million and accrued interest was due and paid in full, and we did not renew the UNI Credit Facility. In June 2021, we repaid in full the $15.0 million principal balance outstanding, plus accrued interest and prepayment fees, and terminated the Mezzanine Loan. As of June 30, 2021, our outstanding debt consists of borrowings from our warehouse credit facility, and amounts borrowed under a loan and security agreement to finance risk retention balances for a certain unconsolidated securitization we have sponsored, representing an aggregate principal balance of $6.1 million outstanding, none of which is due within the next 12 months.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w:t>
      </w:r>
      <w:r>
        <w:rPr>
          <w:rFonts w:ascii="Arial" w:cs="Arial" w:eastAsia="Arial" w:hAnsi="Arial"/>
          <w:sz w:val="18"/>
          <w:szCs w:val="18"/>
          <w:color w:val="auto"/>
        </w:rPr>
        <w:t>” in Part I, Item 1 of this Form 10-Q for further information.</w:t>
      </w:r>
    </w:p>
    <w:p>
      <w:pPr>
        <w:spacing w:after="0" w:line="2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2021, our primary source of liquidity was cash of $506.3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 $100.0 million through the special-purpose trust,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trust. Loans purchased by the trust are classified as held-for-sale and can be sold to third-party investors or in securitization transactions to generate additional liquidity. As of June 30, 2021, the amount borrowed under this credit facility was $2.7 million.</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entered into a warehouse credit facility with a third-party lender through our warehouse trust, which is a consolidated VIE. The warehouse credit facility is used to fund purchases of personal whole loans originated by certain bank partners on our platform; the assets of the warehouse trust secure the borrowings provided by the warehouse lender and are not available to settle claims of our general creditors. The warehouse credit facility was amended and restated in its entirety in May 2020 and further amended in June 2021. The warehouse credit facility, with a borrowing limit of $100.0 million, matures in June 2024 when repayment of any outstanding principal, together with any accrued interest and unpaid interest, is due and payable. As of June 30, 2021, we have borrowed $2.7 million under the warehouse credit facility and may continue to borrow under the warehouse credit facility until June 2023. Our warehouse credit facility bears floating interest rates, payable on a monthly basis, and contain certain financial covenants. Failure to comply with these covenants may result in an acceleration of payment on outstanding principal and accrued interest. As of December 31, 2020 and June 30, 2021, we were in compliance with the applicable covenants under the warehouse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Funding Loan</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obtained financing under a loan and security agreement to fund the purchase of securitization notes and residual certificates issued by certain of our consolidated VIEs in our sponsored securitization transactions. This purchase was made in the amount required to satisfy the requirements of U.S. risk retention regulations. The loan under this agreement bears interest at 4.33% per annum. Interest is paid using cash distributions received monthly on the related securitization notes and residual certificates held by this entity. As of June 30, 2021, the aggregate outstanding principal amount of the loan was $3.3 million. The borrowings are solely obligations of the related consolidated VIE and are not available to satisfy potential claims of our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during the years indicated:</w:t>
      </w:r>
    </w:p>
    <w:p>
      <w:pPr>
        <w:spacing w:after="0" w:line="34"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Six Months Ended</w:t>
      </w:r>
    </w:p>
    <w:p>
      <w:pPr>
        <w:jc w:val="center"/>
        <w:ind w:left="7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4445</wp:posOffset>
            </wp:positionV>
            <wp:extent cx="22542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(70,539)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135,896</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123,597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w w:val="92"/>
              </w:rPr>
              <w:t>(39,699)</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(37,396)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8"/>
              </w:rPr>
              <w:t>210,003</w:t>
            </w:r>
          </w:p>
        </w:tc>
      </w:tr>
      <w:tr>
        <w:trPr>
          <w:trHeight w:val="223"/>
        </w:trPr>
        <w:tc>
          <w:tcPr>
            <w:tcW w:w="7680" w:type="dxa"/>
            <w:vAlign w:val="bottom"/>
          </w:tcPr>
          <w:p>
            <w:pPr>
              <w:ind w:left="24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8"/>
              </w:rPr>
              <w:t>306,200</w:t>
            </w:r>
          </w:p>
        </w:tc>
      </w:tr>
      <w:tr>
        <w:trPr>
          <w:trHeight w:val="21"/>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bank partners and loan investors and interest income we receive for loans held on our balance sheet.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provided by operating activities was $135.9 million for the six months ended June 30, 2021, which primarily consisted of a $62.0 million increase in net operating assets and liabilities, net income before attribution to noncontrolling interests of $47.4 million, stock-based compensation of $29.8 million, and a change in fair value financial instruments of $4.2 million. The increase in net operating assets and liabilities was mainly related to a $57.2 million increase in net proceeds from loans held-for-sale, $31.4 million increase in payable to investors, and a $23.8 increase in accrued expenses and other liabilities, partially offset by $38.3 million of purchases of loans held-for-sale and $19.7 decrease in other assets. The change in fair value of financial instruments was primarily related to a $4.2 million decrease in the fair value of servicing liabilities, and $1.0 million increase in the fair value of loans, partially offset by a $1.3 million decrease in the fair value of servicing assets.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operating activities was $70.5 million for the six months ended June 30, 2020, which primarily consisted of a $83.9 million decrease in net operating assets and liabilities, partially offset by a change in fair value of financial instruments of $14.3 million and stock-based compensation of $4.5 million. The decrease in net operating assets and liabilities was mainly related to $98.6 million of purchases of loans held-for-sale, partially offset by $18.7 million decrease in payable to investors. The change in fair value of financial instruments was primarily related to a $17.2 million decrease in the fair value of loans, partially offset by a $5.5 million increase in the fair value of payable to securitization note holders and residual certificate 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used in investing activities was $39.7 million for the six months ended June 30, 2021 as a result of $42.5 million purchase of loans held-for-investment and cash paid for an acquisition, net of cash acquired, of $16.6 million, partially offset by $13.8 million principal payments received for notes receivable and repayments of residual certificates loans held-for-investment and $9.7 million net proceeds from sale of loans held-for-investment.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investing activities was $123.6 million for the six months ended June 30, 2020 as a result of $88.1 million of net proceeds from sale of loans held-for-investment and $24.0 million of payments received for loans held by consolidated securitizations.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$210.0 million for the six months ended June 30, 2021 as a result of $263.9 million proceeds from our secondary offering, which was partially offset by $62.5 million payment on borrowings.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$37.4 million for the six months ended June 30, 2020 as a result of $86.8 million in payment on borrowings and $26.1 million payment on securitization notes and certificates, which was partially offset by $76.0 million in net proceeds from borrowings.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commitments consist of obligations under our loan purchase agreements, debt obligations related to our warehouse credit facility and risk retention funding loan, purchase commitment,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office spaces. The following table summarizes our contractual obligations as of June 30, 2021 and the timing and effect that such commitments are expected to have on our liquidity and capital requirements in future periods:</w:t>
      </w: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5"/>
                <w:szCs w:val="15"/>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Less than 1 year</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1 to 3 years</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3 to 5 years</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Loan purchase obligations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retention funding loan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Purchase commitment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84,377</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jc w:val="both"/>
        <w:ind w:left="500" w:hanging="492"/>
        <w:spacing w:after="0" w:line="248" w:lineRule="auto"/>
        <w:tabs>
          <w:tab w:leader="none" w:pos="49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June 30, 2021, see “</w:t>
      </w:r>
      <w:r>
        <w:rPr>
          <w:rFonts w:ascii="Arial" w:cs="Arial" w:eastAsia="Arial" w:hAnsi="Arial"/>
          <w:sz w:val="16"/>
          <w:szCs w:val="16"/>
          <w:i w:val="1"/>
          <w:iCs w:val="1"/>
          <w:color w:val="auto"/>
        </w:rPr>
        <w:t>Note 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 “</w:t>
      </w:r>
      <w:r>
        <w:rPr>
          <w:rFonts w:ascii="Arial" w:cs="Arial" w:eastAsia="Arial" w:hAnsi="Arial"/>
          <w:sz w:val="16"/>
          <w:szCs w:val="16"/>
          <w:i w:val="1"/>
          <w:iCs w:val="1"/>
          <w:color w:val="auto"/>
        </w:rPr>
        <w:t>Note 12. Leases,</w:t>
      </w:r>
      <w:r>
        <w:rPr>
          <w:rFonts w:ascii="Arial" w:cs="Arial" w:eastAsia="Arial" w:hAnsi="Arial"/>
          <w:sz w:val="16"/>
          <w:szCs w:val="16"/>
          <w:color w:val="auto"/>
        </w:rPr>
        <w:t>” and “</w:t>
      </w:r>
      <w:r>
        <w:rPr>
          <w:rFonts w:ascii="Arial" w:cs="Arial" w:eastAsia="Arial" w:hAnsi="Arial"/>
          <w:sz w:val="16"/>
          <w:szCs w:val="16"/>
          <w:i w:val="1"/>
          <w:iCs w:val="1"/>
          <w:color w:val="auto"/>
        </w:rPr>
        <w:t>Note 13. Commitments and Contingencies</w:t>
      </w:r>
      <w:r>
        <w:rPr>
          <w:rFonts w:ascii="Arial" w:cs="Arial" w:eastAsia="Arial" w:hAnsi="Arial"/>
          <w:sz w:val="16"/>
          <w:szCs w:val="16"/>
          <w:color w:val="auto"/>
        </w:rPr>
        <w:t>,” respectively, in Part I, Item 1 of this Form 10-Q for further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retained at least 5% of the credit risk of the securities issued in these securitizations. We provide additional information regarding transactions with unconsolidated VIEs in “</w:t>
      </w:r>
      <w:r>
        <w:rPr>
          <w:rFonts w:ascii="Arial" w:cs="Arial" w:eastAsia="Arial" w:hAnsi="Arial"/>
          <w:sz w:val="16"/>
          <w:szCs w:val="16"/>
          <w:i w:val="1"/>
          <w:iCs w:val="1"/>
          <w:color w:val="auto"/>
        </w:rPr>
        <w:t>Note 3. Securitizations and Variable Interest Entities</w:t>
      </w:r>
      <w:r>
        <w:rPr>
          <w:rFonts w:ascii="Arial" w:cs="Arial" w:eastAsia="Arial" w:hAnsi="Arial"/>
          <w:sz w:val="16"/>
          <w:szCs w:val="16"/>
          <w:color w:val="auto"/>
        </w:rPr>
        <w:t>” in Part I, Item 1 of this Form 10-Q.</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significant accounting policies are described in Part II, Item 7, “</w:t>
      </w:r>
      <w:r>
        <w:rPr>
          <w:rFonts w:ascii="Arial" w:cs="Arial" w:eastAsia="Arial" w:hAnsi="Arial"/>
          <w:sz w:val="18"/>
          <w:szCs w:val="18"/>
          <w:i w:val="1"/>
          <w:iCs w:val="1"/>
          <w:color w:val="auto"/>
        </w:rPr>
        <w:t>Critical Accounting Policies and Estimate</w:t>
      </w:r>
      <w:r>
        <w:rPr>
          <w:rFonts w:ascii="Arial" w:cs="Arial" w:eastAsia="Arial" w:hAnsi="Arial"/>
          <w:sz w:val="18"/>
          <w:szCs w:val="18"/>
          <w:color w:val="auto"/>
        </w:rPr>
        <w:t>s” in our Annual Report on Form 10-K for the year ended December 31, 2020. There have been no material changes in the six months ended June 30, 2021 to these policies and estimates since our Annual Report on Form 10-K for the year ended December 31, 2020, except for the estimated fair value of Restricted Stock Units and Employee Stock Purchase Plan purchase rights and policies related to business combinations and goodwill and intangible assets as described in “</w:t>
      </w:r>
      <w:r>
        <w:rPr>
          <w:rFonts w:ascii="Arial" w:cs="Arial" w:eastAsia="Arial" w:hAnsi="Arial"/>
          <w:sz w:val="18"/>
          <w:szCs w:val="18"/>
          <w:i w:val="1"/>
          <w:iCs w:val="1"/>
          <w:color w:val="auto"/>
        </w:rPr>
        <w:t>Note 1. 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 and Significant Accounting Policie</w:t>
      </w:r>
      <w:r>
        <w:rPr>
          <w:rFonts w:ascii="Arial" w:cs="Arial" w:eastAsia="Arial" w:hAnsi="Arial"/>
          <w:sz w:val="18"/>
          <w:szCs w:val="18"/>
          <w:color w:val="auto"/>
        </w:rPr>
        <w:t>s” in Part I, Item 1 of this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in Part I, Item 1 of this Form 10-Q for recently adopted accounting pronouncements and recently issued accounting pronouncements not yet adopted as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Loans at Fair Value</w:t>
      </w:r>
      <w:r>
        <w:rPr>
          <w:rFonts w:ascii="Arial" w:cs="Arial" w:eastAsia="Arial" w:hAnsi="Arial"/>
          <w:sz w:val="17"/>
          <w:szCs w:val="17"/>
          <w:color w:val="auto"/>
        </w:rPr>
        <w:t>—As of December 31, 2020 and June 30, 2021, we were exposed to market discount rate risk on $78.5 million and $82.3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of loans held-for-investment and held-for-sale on our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2020 a hypothetical 100 basis point and 200 basis point increase in discount rate would result in a $1.0 million and $1.9 million decrease, respectively, in the fair value of these loans. As of June 30, 2021, a hypothetical 100 basis point and 200 basis point increase in discount rate would result in a $1.1 million and $2.2 million decrease, respectively, in the fair value of these loans.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Assets related to Securitization Transaction</w:t>
      </w:r>
      <w:r>
        <w:rPr>
          <w:rFonts w:ascii="Arial" w:cs="Arial" w:eastAsia="Arial" w:hAnsi="Arial"/>
          <w:sz w:val="17"/>
          <w:szCs w:val="17"/>
          <w:color w:val="auto"/>
        </w:rPr>
        <w:t>s—As of December 31, 2020 and June 30, 2021, we were exposed to discount rate risk on $19.1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$13.0 million, respectively of notes receivable and residual certificates. We assess the sensitivity of securitization notes and residual certificates by reviewing the average impact across all securitization transactions. As of December 31, 2020, a hypothetical 100 basis point and 200 basis point increase in discount rates would result in a decrease in fair value of these securities of 1.23% and 2.36%, respectively, on average across all securitizations. As of June 30, 2021, a hypothetical 100 basis point and 200 basis point increase in discount rates would result in a decrease in fair value of these securities of 0.83% and 1.66% respectively, on average across all securitizations.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2020 and June 30, 2021, we were exposed to credit risk on $78.5 million and $82.3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in held-for-investment and held-for-sale in our consolidated balance sheet. These loans bear fixed interest rates and are carried on our consolidated balance sheets at fair value. As of December 31, 2020, a hypothetical 10% and 20% increase in credit risk would result in a $1.3 million and $2.6 million decrease, respectively, in the fair value of loans held-for-investment (excluding loans held as collateral by consolidated securitizations). As of June 30, 2021, a hypothetical 10% and 20% increase in credit risk would result in a $1.4 million and $2.7 million decrease,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Assets related to Securitization Transactions</w:t>
      </w:r>
      <w:r>
        <w:rPr>
          <w:rFonts w:ascii="Arial" w:cs="Arial" w:eastAsia="Arial" w:hAnsi="Arial"/>
          <w:sz w:val="18"/>
          <w:szCs w:val="18"/>
          <w:color w:val="auto"/>
        </w:rPr>
        <w:t>— Transactions—As of December 31, 2020 and June 30, 2021, we were exposed to discount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on $19.1 million and $13.0 million, respectively of notes receivable and residual certificates.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17%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June 30, 2021, we are exposed to credit risk of $311.3 million and $617.5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Term Loan, Warehouse Credit Facility and Revolving Credit Facilit</w:t>
      </w:r>
      <w:r>
        <w:rPr>
          <w:rFonts w:ascii="Arial" w:cs="Arial" w:eastAsia="Arial" w:hAnsi="Arial"/>
          <w:sz w:val="16"/>
          <w:szCs w:val="16"/>
          <w:color w:val="auto"/>
        </w:rPr>
        <w:t>y—As of December 31, 2020, we were exposed to interest rate risk on $55.5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under the term loan, warehouse credit facility, and revolving credit facility arrangements, which bear floating interest rates. As of June 30, 2021, we were exposed to interest rate risk on $2.7 million under our warehouse credit facility, which bears a floating interest rate. Changes in interest rates may impact our cost of borrowing. From time to time, we enter into interest rate hedges in connection with our warehouse credit facilities.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or failure to manage market risks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management, with the participation and supervision of the Company’s Chief Executive Officer and Chief Financial Officer, have evaluated the effectiveness of the Company’s disclosure controls and procedures as defined in Rules 13a-15(e) and 15d-15(e) under the Securities Exchange Act of 1934, as amended (the “Exchange Act”),. Based on that evaluation, the Company’s Chief Executive Officer and Chief Financial Officer have concluded that, as of June 30, 2021, the Company’s disclosure controls and procedures were designed and function effectively to provide reasonable assurance that information required to be disclosed by the Company in reports filed or submitted under the Exchange Act is recorded, processed, summarized, and reported within the time periods specified in SEC rules and forms, and that such information is accumulated and communicated to our management, including the Company’s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June 30, 2021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material pending legal proceedings, please see “</w:t>
      </w:r>
      <w:r>
        <w:rPr>
          <w:rFonts w:ascii="Arial" w:cs="Arial" w:eastAsia="Arial" w:hAnsi="Arial"/>
          <w:sz w:val="18"/>
          <w:szCs w:val="18"/>
          <w:i w:val="1"/>
          <w:iCs w:val="1"/>
          <w:color w:val="auto"/>
        </w:rPr>
        <w:t>Note 13. Commitments and Contingencie</w:t>
      </w:r>
      <w:r>
        <w:rPr>
          <w:rFonts w:ascii="Arial" w:cs="Arial" w:eastAsia="Arial" w:hAnsi="Arial"/>
          <w:sz w:val="18"/>
          <w:szCs w:val="18"/>
          <w:color w:val="auto"/>
        </w:rPr>
        <w:t>s” in Part I, Item 1 of this Form 10-Q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risks that may affect our business, financial condition or results of operations include, but are not limited to, those relating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a rapidly growing company with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recent periods may not be indicative of future performance and such growth may slow over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62"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a limited history of operating with a Digital First workforce and the long-term impact on our business, financial condition and results of operations is uncertain.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incurred net losses in the past, and we may not be able to maintain or increase our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Cross River Bank and one other bank partner account for a substantial portion of the total number of loans facilitated by our platform and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sales and onboarding process of new bank partners could take longer than expected, leading to fluctuations or variability in expected revenues and results of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business may be adversely affected by economic conditions and other factors that we cannot control.</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evaluate and potentially consummate acquisitions or investments in complementary businesses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are unable to maintain a diverse and robust loan funding program, our growth prospects, business, financial condition and results of operations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by our AI lending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new and maintain existing bank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bank funding to help keep interest rates offered to borrowers competitive;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realize the anticipated benefits of our acquisitions of or investments in complementary businesses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and results of operations may be harmed.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 growth rate and financial performance in recent years may not be indicative of future performance and such growth may slow over time.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the six months ended June 30, 2020 and 2021, our revenue was $81.3 million, and $315.3 million, respectively, representing a period-over-period growth rate of 288%.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69% during the six months ended June 30, 2020 and increased to 71% during the six months ended June 30, 2021.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loan offering mix. As a result of these factors, our revenue growth rates may slow, and our financial performance may be adversely affected.</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In particular, the impact of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pandemic on the finances of borrowers on our platform has been profound, as many have been, and despite widespread vaccination efforts in the United States may continue to be, impacted by unemployment, reduced earnings and/or elevated economic disruption and insecurity. For example, a new Delta variant of COVID-19, which appears to be the most transmissible variant to date, has begun to spread in the United States. The impact of the Delta variant cannot be predicted at this time, and could depend on numerous factors, including vaccination rates among the population, the effectiveness of COVID-19 vaccines against the Delta variant and the response by governmental bodies and regulators.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temporary decreases in origination volumes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for increased losses for new and existing Upstart-powered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temporary reduction in the availability of loan funding from institutional investors and the capital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impact of the COVID-19 pandemic, we undertook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required all employees who were able to do so to work remotely through the end of the second quarter of 2021 and intend to continue to allow most employees the flexibility to work remotely going forward under our Digital First work model. It is possible that widespread remote work arrangements may have a negative impact on our business. See the risk factor titled “—We have a limited history of operating with a Digital First workforce and the long-term impact on our business, financial condition and results of operations is uncertain.”</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An extended period of economic disruption as a result of the COVID-19 pandemic could have a material negative impact on our business, results of operations, and financial condition, though the full extent and duration is uncertain. To the extent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continues to adversely affect our business and financial results, it is likely to also have the effect of heightening many of the other risks described in this “Risk Factors” section.</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have a limited history of operating with a Digital First workforce, and the long-term impact on our business, financial condition and results of operations is uncertain.</w:t>
      </w:r>
    </w:p>
    <w:p>
      <w:pPr>
        <w:spacing w:after="0" w:line="193"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In June 2021, we announced a new Digital First work model pursuant to which remote work with less time in the office will become the primary experience for most of our employees, and we expect that our workforce will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shift to a Digital First model could have a negative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Over the last several years, we have experienced rapid growth in our business and the Transaction Volume, Number of Loans on our AI lending platform, and we expect to continue to experience growth in the future. The Transaction Volume, Number of Loans on our platform increased from 96,090 in the six months ended June 30, 2020 to 456,610 in the six months ended June 30, 2021, representing a compound annual growth rate of 375%.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in the past, and we may not be able to maintain or increase our profitability in the future.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six months ended June 30, 2020 and 2021 we experienced net income (loss) of $(4.7) million and $47.4 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new bank partners and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bank partners and investors of our loan funding programs;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bank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and tightening of credit markets, including due to the ongoing economic impact of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has obscured this seasonality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six months ended June 30, 2021, approximately 96% of our revenue was generated from platform, referral and servicing fees that we receive from our bank partners.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Cross River Bank and one other bank partner account for a substantial portion of the total number of loans facilitated by our platform and our revenue.</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six months ended June 30, 2020 and 2021, CRB originated approximately 79% and 60%, respectively, of the Transaction Volume, Number of Loans. CRB also accounts for a large portion of our revenues. In the six months ended June 30, 2020 and 2021, fees received from CRB accounted for 70% and 62%,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six months ended June 30, 2021, one of our other bank partners originated approximately 32% of the Transaction Volume, Number of Loans. In the six months ended June 30, 2021, the fees received from this bank partner accounted for 23% of our total revenue.</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sales and onboarding process of new bank partners could take longer than expected, leading to fluctuations or variability in expected revenues and results of operations.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affected by economic conditions and other factors that we cannot control.</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response to the initial outbreak of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pre-pandemic levels in the near term. The additional unemployment benefits put in place pursuant to the Coronavirus Aid, Relief, and Economic Security Act (as amended), or the CARES Act, are set to expire on September 6, 2021, and there can be no assurance that Congress will extend such additional benefits. The increase in the unemployment rate and other adverse economic effects caused by the COVID-19 pandemic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9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 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we expanded the type of loan products offered on our platform to include auto loans, however the vast majority of loan originations facilitated through our platform are unsecured personal loans. The market for unsecured personal loans has grown rapidly in recent years, and it is unclear to what extent such market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 to grow, if at all. A wide variety of factors could impact the market for unsecured personal loans, including macroeconomic conditions, competition, regulatory developments and other developments in the credit market. For example, in 2020, FICO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bank partners and institutional investors to fund loans facilitated by our platform, which would adversely affect our business, financial condition and results of operations.</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2020, we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which may include credit cards, mortgages, student loans, small business loans, point-of-sale loans and HELOCs.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2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1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the first of which was published on April 14, 2021,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technology as applied to lending operations generally or as used in our applications more specifically. Any of the foregoing could negatively impact our business, financial condition and results of operations.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of borrowers’ confidential information that we store may harm our reputation, adversely affect our results of operations and expose us to liability.</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Digital First working environment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affect our ability to attract new borrowers, or subject us to third-party lawsuits, regulatory fines or other action or liability, which could adversely affect our business and results of operations.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vast majority of Upstart-powered loans are not secured by any collateral, guaranteed or insured by any third party or backed by any governmental authority. As a result, we are limited in our ability to collect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75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we recently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4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bank partners and investors from investing in loans facilitated by our platform.</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risks of natural disasters and other catastrophic events, and to interruption by man-made problems.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Although people in the United States began to receive vaccines in December 2020, a significant number of people have not yet been vaccinated and it is not clear whether or when a significant number of people will receive the vaccines. New variants of the virus that cause COVID-19 have been identified around the world and such variants may reduce the effectiveness of the COVID-19 vaccines. The presence of such variants in the United States may lead to a resurgence of COVID-19 cases and deaths. In the event that such a COVID-19 resurgence occurs, it could adversely impact the economy and negatively impact consumer confidence, and could negatively impact our operations and our platform,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 business, or otherwise cause operational failures.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unrest could cause disruptions in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continue to expend, significant resources, including accounting-related costs, and significant management oversight. Our current controls and any new controls that we develop may become inadequate because of changes in conditions in our business.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controls and internal control over financial reporting could materially and adversely affect our business, results of operations, and financial condition and could cause a decline in the trading price of our common stock. We will lose our “emerging growth company” status on the last date of our fiscal year ending December 31, 2021.</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For example, for each of the six months ended June 30, 2020 and 2021, 49%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in 2020, Credit Karma recently began directing more customer traffic to a program that hosts and aggregates the credit models of other loan providers directly on its platform for the purpose of giving credit offers. In November 2020, we experienced a reduction in the number of loan applicants directed to the Upstart platform by Credit Karma and a corresponding decrease in the number of loans originated on our platform. We have limited participation in this program, and we may experience additional reductions in traffic from Credit Karma in the future. If traffic from Credit Karma decreases again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able to offer certain functionality as part of our platform and service offerings, which could adversely affect our business, financial condition and results of operations.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Additionally, Maine recently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(effective on or around September 28, 2021, 90 days after adjournment of the current legislative session).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Further, other states may take different paths to promulgate similar “true lender” restrictions, and if not through a legislative path, impacted parties may have little to no advance notice of new restrictions and compliance obligations.</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loans facilitated through our platform for one or more bank partners were subject to successful challenge that the bank partner was not the “true lender,” such loans may be unenforceable, subject to rescission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otherwise impaired, we or other program participants may be subject to penalties, and/or our commercial relationships may suffer, each which would adversely affect our business and results of operations.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Additionally, on April 5, 2021, the Washington DC Attorney General filed a similar complaint against another online lender Opportunity Financial, LLC, alleging that it rather than a bank originated these loans and the loans were therefore in violation of Washington, DC usury laws. Similarly,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 No. GD-21-007229). There is an ongoing risk that government agencies and private plaintiffs will seek to challenge these types of relationships.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are also assessing the above-described law recently enacted in Maine to assess whether additional steps should be taken to facilitate compliance with that law.</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While these requirements will not immediately change with the incoming presidential administration, this new administration is expected to bring an increased focus on enforcement of federal consumer protection laws and appoint consumer-oriented regulators at federal agencies such as the CFPB, the FTC,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20" w:hanging="328"/>
        <w:spacing w:after="0" w:line="24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(including new federal requirements set to take effect November 30, 2021), and similar state debt collection laws, which provide guidelines and limitations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conduct of third-party debt collectors (and some limitation on creditors collecting their own debts) in connection with the collection of consumer debts;</w:t>
      </w:r>
    </w:p>
    <w:p>
      <w:pPr>
        <w:spacing w:after="0" w:line="63" w:lineRule="exact"/>
        <w:rPr>
          <w:sz w:val="20"/>
          <w:szCs w:val="20"/>
          <w:color w:val="auto"/>
        </w:rPr>
      </w:pPr>
    </w:p>
    <w:p>
      <w:pPr>
        <w:jc w:val="both"/>
        <w:ind w:left="660" w:hanging="328"/>
        <w:spacing w:after="0" w:line="275"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on March 23,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proper procedures. If we fail to effectively follow such procedures we may, among other things, be limited in our ability to secure the collateral associated with loans issued under our auto lending platform.</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Biden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Administration is expected to have new examination and enforcement priorities, and has not yet confirmed a permanent head of the agency.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new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Based upon [recent]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2022, with implementing regulations expected on or before July 1, 2022, and enforcement beginning July 1, 2023. Following the enactment of the CCPA, in 2021, Virginia enacted the Virginia Consumer Data Protection Act of 2021, or VCDPA, and Colorado enacted the Colorado Privacy Act, or CPA. Several other states are considering enacting similar legislation. Additionally, other U.S. states, such as Virginia,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expense associated with making our offerings, which would adversely affect our business, financial condition and results of operations.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80" w:lineRule="exact"/>
        <w:rPr>
          <w:sz w:val="20"/>
          <w:szCs w:val="20"/>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RISKS RELATED TO LOAN FUNDING AND INDEBTEDNESS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a diverse and robust loan funding program,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business depends on sourcing and maintaining a diverse and robust loan funding program to fund Upstart-powered loans that our bank partners are unable or unwilling to retain on their balance sheets. Our loan funding program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June 30, 2021, the number of repurchased Upstart-powered loans as a result of inaccurate representations and warranties represents less than 0.26%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unsecured senior corporate debt currently has no rating, and we have never issued unsecured debt securities in the capital markets. Asset-backed securities sponsored or co-sponsored by us are 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ratings of our asset-backed securities could negatively impact our business, financial condition and results of operations.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borrowings under our warehouse credit facility to fund certain aspects of our operations, and any inability to meet our obligations as they come due or to comply with various covenants could harm our business.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through our warehouse trust special purpose entities, have entered into a warehouse credit facility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our warehouse credit facility, we may borrow up to $100.0 million until June 2023, and any outstanding principal, together with any accrued and unpaid interest, are due and payable by the warehouse trust special purpose entity in June 2024. As of June 30, 2021, the amount borrowed under this credit facility was $2.7 million, and $6.5 million of aggregated fair value of loans purchased were pledged as collateral.</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loan products, enhance our AI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00" w:lineRule="exact"/>
        <w:rPr>
          <w:sz w:val="20"/>
          <w:szCs w:val="20"/>
          <w:color w:val="auto"/>
        </w:rPr>
      </w:pPr>
    </w:p>
    <w:p>
      <w:pPr>
        <w:spacing w:after="0" w:line="25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that could subject our business to higher tax liability.</w:t>
      </w:r>
    </w:p>
    <w:p>
      <w:pPr>
        <w:spacing w:after="0" w:line="19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in the Tax Act, as modified by the CARES Act, NOLs arising in taxable years beginning after December 31, 2017 and before January 1, 2021 may be carried back to each of the five taxable years preceding the taxable year of such loss, but NOLs arising in taxable years beginning after December 31, 2020 may not be carried back. Additionally, under the Tax Act, as modified by the CARES Act, NOLs from taxable years that began after December 31, 2017 may offset no more than 80% of current taxable income annually for taxable years beginning after December 31, 2020, but the 80% limitation on the use of NOLs from taxable years that began after December 31, 2017 does not apply for taxable income in taxable years beginning before January 1, 2021. NOLs arising in taxable years ending after December 31, 2017 can be carried forward indefinitely, but NOLs generated in taxable years ending before January 1, 2018 will continue to have a two-year carryback and twenty-year carryforward period.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Changes in tax laws could have a material adverse effect on our business, financial condition and results of operations. For example, the Tax Act contained significant changes to U.S. tax law, including a reduction in the corporate tax rate and a transition to a new territorial system of taxation. The primary impact of the Tax Act on our provision for income taxes was a reduction of the future tax benefits of our deferred tax assets as a result of the reduction in the corporate tax rate. The impact of the Tax Act may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the recent U.S Presidential and Congressional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our 622,373,134 shares of authorized but unissued common stock and rights relating to common stock for the consideration and on the terms and conditions established by our Board of Directors in its sole discretion, whether in connection with acquisitions or otherwise. We have reserved 10,249,442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 We will lose our “emerging growth company” status on the last day of our fiscal year ending December 31, 2021.</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retain qualified executive officers and qualified members of our Board of Directors, particularly to serve on our audit committee and compensation committee.</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Issuances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8, 2021, as partial consideration for our acquisition of Prodigy, we issued 82,201 shares of restricted common stock to certain Prodigy employees. The restricted common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issuance was made in reliance on the exemption from registration provided by Section 4(a)(2) of the Securities Act, as the transactions did not involve a public offering and the recipients of the securities in this transaction represented their intention to acquire the securities for investment only and not for sale in connection with any distribution thereof, and had adequate access to information about us, through their relationships with us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18, 2020, we closed our initial public offering. The offer and sale of all of the shares in the IPO were registered under the Securities Act pursuant to a registration statement on Form S-1 (File No. 333-249860), which was declared effective by the SEC on December 15, 2020. There has been no material change in the planned use of proceeds from the IPO as described in our final prospectus filed with the SEC on December 16, 2020 pursuant to Rule 424(b)(4)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we closed our follow-on offering. The offer and sale of all of the shares in the follow-on offering were registered under the Securities Act pursuant to a registration statement on Form S-1 (File No. 333-255073), which was declared effective by the SEC on April 8, 2021. There has been no material change in the planned use of proceeds from the follow-on offering as described in our final prospectus filed with the SEC on April 12, 2021 pursuant to Rule 424(b)(4)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Quarterly Report on Form 10-Q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0" w:type="dxa"/>
            <w:vAlign w:val="bottom"/>
            <w:gridSpan w:val="12"/>
          </w:tcPr>
          <w:p>
            <w:pPr>
              <w:ind w:left="260"/>
              <w:spacing w:after="0"/>
              <w:rPr>
                <w:sz w:val="20"/>
                <w:szCs w:val="20"/>
                <w:color w:val="auto"/>
              </w:rPr>
            </w:pPr>
            <w:r>
              <w:rPr>
                <w:rFonts w:ascii="Arial" w:cs="Arial" w:eastAsia="Arial" w:hAnsi="Arial"/>
                <w:sz w:val="18"/>
                <w:szCs w:val="18"/>
                <w:b w:val="1"/>
                <w:bCs w:val="1"/>
                <w:color w:val="212529"/>
              </w:rPr>
              <w:t>EXHIBIT INDEX</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240" w:type="dxa"/>
            <w:vAlign w:val="bottom"/>
            <w:gridSpan w:val="2"/>
          </w:tcPr>
          <w:p>
            <w:pPr>
              <w:jc w:val="center"/>
              <w:ind w:right="80"/>
              <w:spacing w:after="0" w:line="162" w:lineRule="exact"/>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gridSpan w:val="10"/>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80" w:type="dxa"/>
            <w:vAlign w:val="bottom"/>
            <w:vMerge w:val="restart"/>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vMerge w:val="restart"/>
          </w:tcPr>
          <w:p>
            <w:pPr>
              <w:spacing w:after="0"/>
              <w:rPr>
                <w:sz w:val="14"/>
                <w:szCs w:val="14"/>
                <w:color w:val="auto"/>
              </w:rPr>
            </w:pPr>
          </w:p>
        </w:tc>
        <w:tc>
          <w:tcPr>
            <w:tcW w:w="112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2"/>
              </w:rPr>
              <w:t>File No.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10"/>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40" w:type="dxa"/>
            <w:vAlign w:val="bottom"/>
            <w:gridSpan w:val="13"/>
            <w:shd w:val="clear" w:color="auto" w:fill="CCEEFF"/>
          </w:tcPr>
          <w:p>
            <w:pPr>
              <w:spacing w:after="0" w:line="196"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Prodigy Software, Inc. 2015 Stock Incentive Plan and related</w:t>
              </w:r>
            </w:hyperlink>
          </w:p>
        </w:tc>
        <w:tc>
          <w:tcPr>
            <w:tcW w:w="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S-8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333-255270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April 16, 2021</w:t>
            </w:r>
          </w:p>
        </w:tc>
        <w:tc>
          <w:tcPr>
            <w:tcW w:w="0" w:type="dxa"/>
            <w:vAlign w:val="bottom"/>
          </w:tcPr>
          <w:p>
            <w:pPr>
              <w:spacing w:after="0"/>
              <w:rPr>
                <w:sz w:val="1"/>
                <w:szCs w:val="1"/>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20" w:type="dxa"/>
            <w:vAlign w:val="bottom"/>
            <w:tcBorders>
              <w:top w:val="single" w:sz="8" w:color="0000FF"/>
            </w:tcBorders>
            <w:gridSpan w:val="10"/>
            <w:shd w:val="clear" w:color="auto" w:fill="CCEEFF"/>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form agreements</w:t>
              </w:r>
            </w:hyperlink>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3"/>
          </w:tcPr>
          <w:p>
            <w:pPr>
              <w:spacing w:after="0" w:line="202" w:lineRule="exact"/>
              <w:rPr>
                <w:rFonts w:ascii="Arial" w:cs="Arial" w:eastAsia="Arial" w:hAnsi="Arial"/>
                <w:sz w:val="18"/>
                <w:szCs w:val="18"/>
                <w:color w:val="0000FF"/>
              </w:rPr>
            </w:pPr>
            <w:hyperlink w:anchor="page129">
              <w:r>
                <w:rPr>
                  <w:rFonts w:ascii="Arial" w:cs="Arial" w:eastAsia="Arial" w:hAnsi="Arial"/>
                  <w:sz w:val="18"/>
                  <w:szCs w:val="18"/>
                  <w:color w:val="0000FF"/>
                </w:rPr>
                <w:t>Amendment No. 2, dated May 25, 2021, to the Third</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129">
              <w:r>
                <w:rPr>
                  <w:rFonts w:ascii="Arial" w:cs="Arial" w:eastAsia="Arial" w:hAnsi="Arial"/>
                  <w:sz w:val="18"/>
                  <w:szCs w:val="18"/>
                  <w:color w:val="0000FF"/>
                  <w:w w:val="89"/>
                </w:rPr>
                <w:t>Amended and Restated Loan Sale Agreement, dated</w:t>
              </w:r>
            </w:hyperlink>
          </w:p>
        </w:tc>
        <w:tc>
          <w:tcPr>
            <w:tcW w:w="20" w:type="dxa"/>
            <w:vAlign w:val="bottom"/>
            <w:tcBorders>
              <w:bottom w:val="single" w:sz="8" w:color="0000FF"/>
            </w:tcBorders>
          </w:tcPr>
          <w:p>
            <w:pPr>
              <w:spacing w:after="0"/>
              <w:rPr>
                <w:sz w:val="15"/>
                <w:szCs w:val="15"/>
                <w:color w:val="auto"/>
              </w:rPr>
            </w:pPr>
          </w:p>
        </w:tc>
        <w:tc>
          <w:tcPr>
            <w:tcW w:w="540" w:type="dxa"/>
            <w:vAlign w:val="bottom"/>
            <w:tcBorders>
              <w:bottom w:val="single" w:sz="8" w:color="0000FF"/>
            </w:tcBorders>
            <w:gridSpan w:val="4"/>
          </w:tcPr>
          <w:p>
            <w:pPr>
              <w:spacing w:after="0" w:line="182" w:lineRule="exact"/>
              <w:rPr>
                <w:rFonts w:ascii="Arial" w:cs="Arial" w:eastAsia="Arial" w:hAnsi="Arial"/>
                <w:sz w:val="18"/>
                <w:szCs w:val="18"/>
                <w:color w:val="0000FF"/>
                <w:w w:val="81"/>
              </w:rPr>
            </w:pPr>
            <w:hyperlink w:anchor="page129">
              <w:r>
                <w:rPr>
                  <w:rFonts w:ascii="Arial" w:cs="Arial" w:eastAsia="Arial" w:hAnsi="Arial"/>
                  <w:sz w:val="18"/>
                  <w:szCs w:val="18"/>
                  <w:color w:val="0000FF"/>
                  <w:w w:val="81"/>
                </w:rPr>
                <w:t>January</w:t>
              </w:r>
            </w:hyperlink>
          </w:p>
        </w:tc>
        <w:tc>
          <w:tcPr>
            <w:tcW w:w="26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13"/>
          </w:tcPr>
          <w:p>
            <w:pPr>
              <w:spacing w:after="0" w:line="182" w:lineRule="exact"/>
              <w:rPr>
                <w:rFonts w:ascii="Arial" w:cs="Arial" w:eastAsia="Arial" w:hAnsi="Arial"/>
                <w:sz w:val="18"/>
                <w:szCs w:val="18"/>
                <w:color w:val="0000FF"/>
                <w:w w:val="93"/>
              </w:rPr>
            </w:pPr>
            <w:hyperlink w:anchor="page129">
              <w:r>
                <w:rPr>
                  <w:rFonts w:ascii="Arial" w:cs="Arial" w:eastAsia="Arial" w:hAnsi="Arial"/>
                  <w:sz w:val="18"/>
                  <w:szCs w:val="18"/>
                  <w:color w:val="0000FF"/>
                  <w:w w:val="93"/>
                </w:rPr>
                <w:t>1, 2019, between Upstart Network, Inc. and Cross River Bank,</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129">
              <w:r>
                <w:rPr>
                  <w:rFonts w:ascii="Arial" w:cs="Arial" w:eastAsia="Arial" w:hAnsi="Arial"/>
                  <w:sz w:val="18"/>
                  <w:szCs w:val="18"/>
                  <w:color w:val="0000FF"/>
                </w:rPr>
                <w:t>as previously amended on November 25, 2020.</w:t>
              </w:r>
            </w:hyperlink>
          </w:p>
        </w:tc>
        <w:tc>
          <w:tcPr>
            <w:tcW w:w="1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132">
              <w:r>
                <w:rPr>
                  <w:rFonts w:ascii="Arial" w:cs="Arial" w:eastAsia="Arial" w:hAnsi="Arial"/>
                  <w:sz w:val="18"/>
                  <w:szCs w:val="18"/>
                  <w:color w:val="0000FF"/>
                  <w:w w:val="91"/>
                </w:rPr>
                <w:t>Amendment No. 3, dated May 25, 2021, to the Third</w:t>
              </w:r>
            </w:hyperlink>
          </w:p>
        </w:tc>
        <w:tc>
          <w:tcPr>
            <w:tcW w:w="800" w:type="dxa"/>
            <w:vAlign w:val="bottom"/>
            <w:tcBorders>
              <w:bottom w:val="single" w:sz="8" w:color="CCEEFF"/>
            </w:tcBorders>
            <w:gridSpan w:val="8"/>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80" w:type="dxa"/>
            <w:vAlign w:val="bottom"/>
            <w:tcBorders>
              <w:bottom w:val="single" w:sz="8" w:color="0000FF"/>
            </w:tcBorders>
            <w:gridSpan w:val="6"/>
            <w:shd w:val="clear" w:color="auto" w:fill="CCEEFF"/>
          </w:tcPr>
          <w:p>
            <w:pPr>
              <w:spacing w:after="0" w:line="182" w:lineRule="exact"/>
              <w:rPr>
                <w:rFonts w:ascii="Arial" w:cs="Arial" w:eastAsia="Arial" w:hAnsi="Arial"/>
                <w:sz w:val="18"/>
                <w:szCs w:val="18"/>
                <w:color w:val="0000FF"/>
                <w:w w:val="88"/>
              </w:rPr>
            </w:pPr>
            <w:hyperlink w:anchor="page132">
              <w:r>
                <w:rPr>
                  <w:rFonts w:ascii="Arial" w:cs="Arial" w:eastAsia="Arial" w:hAnsi="Arial"/>
                  <w:sz w:val="18"/>
                  <w:szCs w:val="18"/>
                  <w:color w:val="0000FF"/>
                  <w:w w:val="88"/>
                </w:rPr>
                <w:t>Amended and Restated Loan Program Agreement, dated</w:t>
              </w:r>
            </w:hyperlink>
          </w:p>
        </w:tc>
        <w:tc>
          <w:tcPr>
            <w:tcW w:w="560" w:type="dxa"/>
            <w:vAlign w:val="bottom"/>
            <w:tcBorders>
              <w:bottom w:val="single" w:sz="8" w:color="CCEEFF"/>
            </w:tcBorders>
            <w:gridSpan w:val="7"/>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40" w:type="dxa"/>
            <w:vAlign w:val="bottom"/>
            <w:gridSpan w:val="13"/>
            <w:shd w:val="clear" w:color="auto" w:fill="CCEEFF"/>
          </w:tcPr>
          <w:p>
            <w:pPr>
              <w:spacing w:after="0" w:line="182" w:lineRule="exact"/>
              <w:rPr>
                <w:rFonts w:ascii="Arial" w:cs="Arial" w:eastAsia="Arial" w:hAnsi="Arial"/>
                <w:sz w:val="18"/>
                <w:szCs w:val="18"/>
                <w:color w:val="0000FF"/>
                <w:w w:val="98"/>
              </w:rPr>
            </w:pPr>
            <w:hyperlink w:anchor="page132">
              <w:r>
                <w:rPr>
                  <w:rFonts w:ascii="Arial" w:cs="Arial" w:eastAsia="Arial" w:hAnsi="Arial"/>
                  <w:sz w:val="18"/>
                  <w:szCs w:val="18"/>
                  <w:color w:val="0000FF"/>
                  <w:w w:val="98"/>
                </w:rPr>
                <w:t>January 1, 2019, between Upstart Network, Inc. and Cross</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220" w:type="dxa"/>
            <w:vAlign w:val="bottom"/>
            <w:tcBorders>
              <w:top w:val="single" w:sz="8" w:color="0000FF"/>
              <w:bottom w:val="single" w:sz="8" w:color="0000FF"/>
            </w:tcBorders>
            <w:gridSpan w:val="7"/>
            <w:shd w:val="clear" w:color="auto" w:fill="CCEEFF"/>
          </w:tcPr>
          <w:p>
            <w:pPr>
              <w:spacing w:after="0" w:line="182" w:lineRule="exact"/>
              <w:rPr>
                <w:rFonts w:ascii="Arial" w:cs="Arial" w:eastAsia="Arial" w:hAnsi="Arial"/>
                <w:sz w:val="18"/>
                <w:szCs w:val="18"/>
                <w:color w:val="0000FF"/>
                <w:w w:val="89"/>
              </w:rPr>
            </w:pPr>
            <w:hyperlink w:anchor="page132">
              <w:r>
                <w:rPr>
                  <w:rFonts w:ascii="Arial" w:cs="Arial" w:eastAsia="Arial" w:hAnsi="Arial"/>
                  <w:sz w:val="18"/>
                  <w:szCs w:val="18"/>
                  <w:color w:val="0000FF"/>
                  <w:w w:val="89"/>
                </w:rPr>
                <w:t>River Bank, as previously amended on November 20, 2019</w:t>
              </w:r>
            </w:hyperlink>
          </w:p>
        </w:tc>
        <w:tc>
          <w:tcPr>
            <w:tcW w:w="60" w:type="dxa"/>
            <w:vAlign w:val="bottom"/>
            <w:tcBorders>
              <w:top w:val="single" w:sz="8" w:color="CCEEFF"/>
              <w:bottom w:val="single" w:sz="8" w:color="0000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80" w:type="dxa"/>
            <w:vAlign w:val="bottom"/>
            <w:gridSpan w:val="8"/>
            <w:shd w:val="clear" w:color="auto" w:fill="CCEEFF"/>
          </w:tcPr>
          <w:p>
            <w:pPr>
              <w:spacing w:after="0" w:line="182" w:lineRule="exact"/>
              <w:rPr>
                <w:rFonts w:ascii="Arial" w:cs="Arial" w:eastAsia="Arial" w:hAnsi="Arial"/>
                <w:sz w:val="18"/>
                <w:szCs w:val="18"/>
                <w:color w:val="0000FF"/>
              </w:rPr>
            </w:pPr>
            <w:hyperlink w:anchor="page132">
              <w:r>
                <w:rPr>
                  <w:rFonts w:ascii="Arial" w:cs="Arial" w:eastAsia="Arial" w:hAnsi="Arial"/>
                  <w:sz w:val="18"/>
                  <w:szCs w:val="18"/>
                  <w:color w:val="0000FF"/>
                </w:rPr>
                <w:t>and November 25, 2020.</w:t>
              </w:r>
            </w:hyperlink>
          </w:p>
        </w:tc>
        <w:tc>
          <w:tcPr>
            <w:tcW w:w="360" w:type="dxa"/>
            <w:vAlign w:val="bottom"/>
            <w:gridSpan w:val="5"/>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740" w:type="dxa"/>
            <w:vAlign w:val="bottom"/>
          </w:tcPr>
          <w:p>
            <w:pPr>
              <w:jc w:val="center"/>
              <w:ind w:right="990"/>
              <w:spacing w:after="0" w:line="162" w:lineRule="exact"/>
              <w:rPr>
                <w:sz w:val="20"/>
                <w:szCs w:val="20"/>
                <w:color w:val="auto"/>
              </w:rPr>
            </w:pPr>
            <w:r>
              <w:rPr>
                <w:rFonts w:ascii="Arial" w:cs="Arial" w:eastAsia="Arial" w:hAnsi="Arial"/>
                <w:sz w:val="18"/>
                <w:szCs w:val="18"/>
                <w:b w:val="1"/>
                <w:bCs w:val="1"/>
                <w:color w:val="auto"/>
                <w:w w:val="96"/>
              </w:rPr>
              <w:t>Exhibit</w:t>
            </w:r>
          </w:p>
        </w:tc>
        <w:tc>
          <w:tcPr>
            <w:tcW w:w="30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Description</w:t>
            </w:r>
          </w:p>
        </w:tc>
        <w:tc>
          <w:tcPr>
            <w:tcW w:w="18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Form</w:t>
            </w:r>
          </w:p>
        </w:tc>
        <w:tc>
          <w:tcPr>
            <w:tcW w:w="10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File No.</w:t>
            </w:r>
          </w:p>
        </w:tc>
        <w:tc>
          <w:tcPr>
            <w:tcW w:w="15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Exhibit</w:t>
            </w:r>
          </w:p>
        </w:tc>
        <w:tc>
          <w:tcPr>
            <w:tcW w:w="18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7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Number</w:t>
            </w:r>
          </w:p>
        </w:tc>
        <w:tc>
          <w:tcPr>
            <w:tcW w:w="306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9" w:right="339" w:bottom="1440" w:gutter="0" w:footer="0" w:header="0"/>
        </w:sectPr>
      </w:pPr>
    </w:p>
    <w:p>
      <w:pPr>
        <w:ind w:left="20"/>
        <w:spacing w:after="0"/>
        <w:rPr>
          <w:sz w:val="20"/>
          <w:szCs w:val="20"/>
          <w:color w:val="auto"/>
        </w:rPr>
      </w:pPr>
      <w:r>
        <w:rPr>
          <w:rFonts w:ascii="Arial" w:cs="Arial" w:eastAsia="Arial" w:hAnsi="Arial"/>
          <w:sz w:val="17"/>
          <w:szCs w:val="17"/>
          <w:color w:val="auto"/>
        </w:rPr>
        <w:t>31.1*</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31.2*</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Certification of Principal Executive Officer pursuant to</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36">
        <w:r>
          <w:rPr>
            <w:rFonts w:ascii="Arial" w:cs="Arial" w:eastAsia="Arial" w:hAnsi="Arial"/>
            <w:sz w:val="17"/>
            <w:szCs w:val="17"/>
            <w:u w:val="single" w:color="auto"/>
            <w:color w:val="0000FF"/>
          </w:rPr>
          <w:t>Exchange Act Rules 13a-14(a) and 15d-14(a), as adopted</w:t>
        </w:r>
      </w:hyperlink>
    </w:p>
    <w:p>
      <w:pPr>
        <w:spacing w:after="0" w:line="7" w:lineRule="exact"/>
        <w:rPr>
          <w:sz w:val="20"/>
          <w:szCs w:val="20"/>
          <w:color w:val="auto"/>
        </w:rPr>
      </w:pPr>
    </w:p>
    <w:p>
      <w:pPr>
        <w:spacing w:after="0"/>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27940</wp:posOffset>
            </wp:positionV>
            <wp:extent cx="7132320" cy="420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37" w:lineRule="exact"/>
        <w:rPr>
          <w:sz w:val="20"/>
          <w:szCs w:val="20"/>
          <w:color w:val="auto"/>
        </w:rPr>
      </w:pPr>
    </w:p>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Certification of Principal Financial Officer pursuant to</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37">
        <w:r>
          <w:rPr>
            <w:rFonts w:ascii="Arial" w:cs="Arial" w:eastAsia="Arial" w:hAnsi="Arial"/>
            <w:sz w:val="17"/>
            <w:szCs w:val="17"/>
            <w:u w:val="single" w:color="auto"/>
            <w:color w:val="0000FF"/>
          </w:rPr>
          <w:t>Exchange Act Rules 13a-14(a) and 15d-14(a), as adopted</w:t>
        </w:r>
      </w:hyperlink>
    </w:p>
    <w:p>
      <w:pPr>
        <w:spacing w:after="0" w:line="7" w:lineRule="exact"/>
        <w:rPr>
          <w:sz w:val="20"/>
          <w:szCs w:val="20"/>
          <w:color w:val="auto"/>
        </w:rPr>
      </w:pPr>
    </w:p>
    <w:p>
      <w:pPr>
        <w:spacing w:after="0"/>
        <w:rPr>
          <w:rFonts w:ascii="Arial" w:cs="Arial" w:eastAsia="Arial" w:hAnsi="Arial"/>
          <w:sz w:val="16"/>
          <w:szCs w:val="16"/>
          <w:u w:val="single" w:color="auto"/>
          <w:color w:val="0000FF"/>
        </w:rPr>
      </w:pPr>
      <w:hyperlink w:anchor="page137">
        <w:r>
          <w:rPr>
            <w:rFonts w:ascii="Arial" w:cs="Arial" w:eastAsia="Arial" w:hAnsi="Arial"/>
            <w:sz w:val="16"/>
            <w:szCs w:val="16"/>
            <w:u w:val="single" w:color="auto"/>
            <w:color w:val="0000FF"/>
          </w:rPr>
          <w:t>pursuant to Section 302 of the Sarbanes-Oxley Act of 2002.</w:t>
        </w:r>
      </w:hyperlink>
    </w:p>
    <w:p>
      <w:pPr>
        <w:spacing w:after="0" w:line="39" w:lineRule="exact"/>
        <w:rPr>
          <w:sz w:val="20"/>
          <w:szCs w:val="20"/>
          <w:color w:val="auto"/>
        </w:rPr>
      </w:pPr>
    </w:p>
    <w:p>
      <w:pPr>
        <w:spacing w:after="0"/>
        <w:rPr>
          <w:rFonts w:ascii="Arial" w:cs="Arial" w:eastAsia="Arial" w:hAnsi="Arial"/>
          <w:sz w:val="17"/>
          <w:szCs w:val="17"/>
          <w:u w:val="single" w:color="auto"/>
          <w:color w:val="0000FF"/>
        </w:rPr>
      </w:pPr>
      <w:hyperlink w:anchor="page138">
        <w:r>
          <w:rPr>
            <w:rFonts w:ascii="Arial" w:cs="Arial" w:eastAsia="Arial" w:hAnsi="Arial"/>
            <w:sz w:val="17"/>
            <w:szCs w:val="17"/>
            <w:u w:val="single" w:color="auto"/>
            <w:color w:val="0000FF"/>
          </w:rPr>
          <w:t>Certifications of Principal Executive Officer and Principal</w:t>
        </w:r>
      </w:hyperlink>
    </w:p>
    <w:p>
      <w:pPr>
        <w:spacing w:after="0" w:line="203" w:lineRule="auto"/>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Financial Officer pursuant to 18 U.S.C. Section 1350 as</w:t>
        </w:r>
      </w:hyperlink>
    </w:p>
    <w:p>
      <w:pPr>
        <w:spacing w:after="0" w:line="229" w:lineRule="auto"/>
        <w:rPr>
          <w:rFonts w:ascii="Arial" w:cs="Arial" w:eastAsia="Arial" w:hAnsi="Arial"/>
          <w:sz w:val="16"/>
          <w:szCs w:val="16"/>
          <w:u w:val="single" w:color="auto"/>
          <w:color w:val="0000FF"/>
        </w:rPr>
      </w:pPr>
      <w:hyperlink w:anchor="page138">
        <w:r>
          <w:rPr>
            <w:rFonts w:ascii="Arial" w:cs="Arial" w:eastAsia="Arial" w:hAnsi="Arial"/>
            <w:sz w:val="16"/>
            <w:szCs w:val="16"/>
            <w:u w:val="single" w:color="auto"/>
            <w:color w:val="0000FF"/>
          </w:rPr>
          <w:t>adopted pursuant to Section 906 of the Sarbanes-Oxley Act of</w:t>
        </w:r>
      </w:hyperlink>
    </w:p>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2002.</w:t>
        </w:r>
      </w:hyperlink>
    </w:p>
    <w:p>
      <w:pPr>
        <w:spacing w:after="0" w:line="27" w:lineRule="exact"/>
        <w:rPr>
          <w:sz w:val="20"/>
          <w:szCs w:val="20"/>
          <w:color w:val="auto"/>
        </w:rPr>
      </w:pPr>
    </w:p>
    <w:p>
      <w:pPr>
        <w:sectPr>
          <w:pgSz w:w="11900" w:h="16838" w:orient="portrait"/>
          <w:cols w:equalWidth="0" w:num="2">
            <w:col w:w="560" w:space="720"/>
            <w:col w:w="996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101.CAL*</w:t>
            </w:r>
          </w:p>
        </w:tc>
        <w:tc>
          <w:tcPr>
            <w:tcW w:w="102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shd w:val="clear" w:color="auto" w:fill="CCEEFF"/>
          </w:tcPr>
          <w:p>
            <w:pPr>
              <w:spacing w:after="0"/>
              <w:rPr>
                <w:sz w:val="19"/>
                <w:szCs w:val="19"/>
                <w:color w:val="auto"/>
              </w:rPr>
            </w:pP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Document</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10200" w:type="dxa"/>
            <w:vAlign w:val="bottom"/>
          </w:tcPr>
          <w:p>
            <w:pPr>
              <w:ind w:left="240"/>
              <w:spacing w:after="0" w:line="176" w:lineRule="exact"/>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tcPr>
          <w:p>
            <w:pPr>
              <w:spacing w:after="0"/>
              <w:rPr>
                <w:sz w:val="19"/>
                <w:szCs w:val="19"/>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Document</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101.PRE*</w:t>
            </w:r>
          </w:p>
        </w:tc>
        <w:tc>
          <w:tcPr>
            <w:tcW w:w="10200" w:type="dxa"/>
            <w:vAlign w:val="bottom"/>
          </w:tcPr>
          <w:p>
            <w:pPr>
              <w:ind w:left="240"/>
              <w:spacing w:after="0" w:line="176" w:lineRule="exact"/>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40" w:type="dxa"/>
            <w:vAlign w:val="bottom"/>
          </w:tcPr>
          <w:p>
            <w:pPr>
              <w:spacing w:after="0"/>
              <w:rPr>
                <w:sz w:val="20"/>
                <w:szCs w:val="20"/>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80" w:right="5620" w:hanging="1254"/>
        <w:spacing w:after="0" w:line="234" w:lineRule="auto"/>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12529"/>
        </w:rPr>
        <w:t>—————</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12529"/>
        </w:rPr>
        <w:t>*</w:t>
      </w:r>
      <w:r>
        <w:rPr>
          <w:sz w:val="20"/>
          <w:szCs w:val="20"/>
          <w:color w:val="auto"/>
        </w:rPr>
        <w:tab/>
      </w:r>
      <w:r>
        <w:rPr>
          <w:rFonts w:ascii="Arial" w:cs="Arial" w:eastAsia="Arial" w:hAnsi="Arial"/>
          <w:sz w:val="16"/>
          <w:szCs w:val="16"/>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60" w:lineRule="auto"/>
        <w:tabs>
          <w:tab w:leader="none" w:pos="276" w:val="left"/>
        </w:tabs>
        <w:numPr>
          <w:ilvl w:val="0"/>
          <w:numId w:val="60"/>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Quarterly Report on Form 10-Q has been signed below by the following persons on behalf of the registrant and in the capacities and on the dates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August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6460" w:type="dxa"/>
            <w:vAlign w:val="bottom"/>
            <w:gridSpan w:val="2"/>
          </w:tcPr>
          <w:p>
            <w:pPr>
              <w:ind w:left="1020"/>
              <w:spacing w:after="0"/>
              <w:rPr>
                <w:sz w:val="20"/>
                <w:szCs w:val="20"/>
                <w:color w:val="auto"/>
              </w:rPr>
            </w:pPr>
            <w:r>
              <w:rPr>
                <w:rFonts w:ascii="Arial" w:cs="Arial" w:eastAsia="Arial" w:hAnsi="Arial"/>
                <w:sz w:val="18"/>
                <w:szCs w:val="18"/>
                <w:b w:val="1"/>
                <w:bCs w:val="1"/>
                <w:color w:val="auto"/>
              </w:rPr>
              <w:t>Upstart Holdings, Inc</w:t>
            </w:r>
          </w:p>
        </w:tc>
      </w:tr>
      <w:tr>
        <w:trPr>
          <w:trHeight w:val="486"/>
        </w:trPr>
        <w:tc>
          <w:tcPr>
            <w:tcW w:w="2720" w:type="dxa"/>
            <w:vAlign w:val="bottom"/>
          </w:tcPr>
          <w:p>
            <w:pPr>
              <w:spacing w:after="0"/>
              <w:rPr>
                <w:sz w:val="20"/>
                <w:szCs w:val="20"/>
                <w:color w:val="auto"/>
              </w:rPr>
            </w:pPr>
            <w:r>
              <w:rPr>
                <w:rFonts w:ascii="Arial" w:cs="Arial" w:eastAsia="Arial" w:hAnsi="Arial"/>
                <w:sz w:val="18"/>
                <w:szCs w:val="18"/>
                <w:b w:val="1"/>
                <w:bCs w:val="1"/>
                <w:color w:val="auto"/>
              </w:rPr>
              <w:t>Date: August 12, 2021</w:t>
            </w:r>
          </w:p>
        </w:tc>
        <w:tc>
          <w:tcPr>
            <w:tcW w:w="1640" w:type="dxa"/>
            <w:vAlign w:val="bottom"/>
          </w:tcPr>
          <w:p>
            <w:pPr>
              <w:ind w:left="11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Dave Girouard</w:t>
            </w:r>
          </w:p>
        </w:tc>
      </w:tr>
      <w:tr>
        <w:trPr>
          <w:trHeight w:val="222"/>
        </w:trPr>
        <w:tc>
          <w:tcPr>
            <w:tcW w:w="2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Dave Girouard</w:t>
            </w:r>
          </w:p>
        </w:tc>
      </w:tr>
      <w:tr>
        <w:trPr>
          <w:trHeight w:val="230"/>
        </w:trPr>
        <w:tc>
          <w:tcPr>
            <w:tcW w:w="2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2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2720" w:type="dxa"/>
            <w:vAlign w:val="bottom"/>
          </w:tcPr>
          <w:p>
            <w:pPr>
              <w:spacing w:after="0"/>
              <w:rPr>
                <w:sz w:val="20"/>
                <w:szCs w:val="20"/>
                <w:color w:val="auto"/>
              </w:rPr>
            </w:pPr>
            <w:r>
              <w:rPr>
                <w:rFonts w:ascii="Arial" w:cs="Arial" w:eastAsia="Arial" w:hAnsi="Arial"/>
                <w:sz w:val="18"/>
                <w:szCs w:val="18"/>
                <w:b w:val="1"/>
                <w:bCs w:val="1"/>
                <w:color w:val="auto"/>
              </w:rPr>
              <w:t>Date: August 12, 2021</w:t>
            </w:r>
          </w:p>
        </w:tc>
        <w:tc>
          <w:tcPr>
            <w:tcW w:w="1640" w:type="dxa"/>
            <w:vAlign w:val="bottom"/>
          </w:tcPr>
          <w:p>
            <w:pPr>
              <w:ind w:left="11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Datta</w:t>
            </w:r>
          </w:p>
        </w:tc>
      </w:tr>
      <w:tr>
        <w:trPr>
          <w:trHeight w:val="222"/>
        </w:trPr>
        <w:tc>
          <w:tcPr>
            <w:tcW w:w="2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Sanjay Datta</w:t>
            </w:r>
          </w:p>
        </w:tc>
      </w:tr>
      <w:tr>
        <w:trPr>
          <w:trHeight w:val="229"/>
        </w:trPr>
        <w:tc>
          <w:tcPr>
            <w:tcW w:w="2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79"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Amendment No. 2 To Third Amended And Restated Loan Sale Agreement</w:t>
      </w:r>
    </w:p>
    <w:p>
      <w:pPr>
        <w:spacing w:after="0" w:line="24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This Amendment No. 2 to the Third Amended and Restated Loan Sale Agreement (this “</w:t>
      </w:r>
      <w:r>
        <w:rPr>
          <w:rFonts w:ascii="Arial" w:cs="Arial" w:eastAsia="Arial" w:hAnsi="Arial"/>
          <w:sz w:val="22"/>
          <w:szCs w:val="22"/>
          <w:i w:val="1"/>
          <w:iCs w:val="1"/>
          <w:color w:val="auto"/>
        </w:rPr>
        <w:t>Amendment</w:t>
      </w:r>
      <w:r>
        <w:rPr>
          <w:rFonts w:ascii="Arial" w:cs="Arial" w:eastAsia="Arial" w:hAnsi="Arial"/>
          <w:sz w:val="22"/>
          <w:szCs w:val="22"/>
          <w:color w:val="auto"/>
        </w:rPr>
        <w:t>”) is entered into as of May 25, 2021 by and between Upstart Network, Inc., a Delaware corporation (“</w:t>
      </w:r>
      <w:r>
        <w:rPr>
          <w:rFonts w:ascii="Arial" w:cs="Arial" w:eastAsia="Arial" w:hAnsi="Arial"/>
          <w:sz w:val="22"/>
          <w:szCs w:val="22"/>
          <w:i w:val="1"/>
          <w:iCs w:val="1"/>
          <w:color w:val="auto"/>
        </w:rPr>
        <w:t>Purchaser</w:t>
      </w:r>
      <w:r>
        <w:rPr>
          <w:rFonts w:ascii="Arial" w:cs="Arial" w:eastAsia="Arial" w:hAnsi="Arial"/>
          <w:sz w:val="22"/>
          <w:szCs w:val="22"/>
          <w:color w:val="auto"/>
        </w:rPr>
        <w:t>”) and Cross River Bank, a New Jersey state-chartered bank (“</w:t>
      </w:r>
      <w:r>
        <w:rPr>
          <w:rFonts w:ascii="Arial" w:cs="Arial" w:eastAsia="Arial" w:hAnsi="Arial"/>
          <w:sz w:val="22"/>
          <w:szCs w:val="22"/>
          <w:i w:val="1"/>
          <w:iCs w:val="1"/>
          <w:color w:val="auto"/>
        </w:rPr>
        <w:t>Bank</w:t>
      </w:r>
      <w:r>
        <w:rPr>
          <w:rFonts w:ascii="Arial" w:cs="Arial" w:eastAsia="Arial" w:hAnsi="Arial"/>
          <w:sz w:val="22"/>
          <w:szCs w:val="22"/>
          <w:color w:val="auto"/>
        </w:rPr>
        <w:t>”), and amends the Third Amended and Restated Loan Sale Agreement dated as of January 1, 2019 between Bank and Purchaser (as amended, restated, supplemented or otherwise modified from time to time, the “</w:t>
      </w:r>
      <w:r>
        <w:rPr>
          <w:rFonts w:ascii="Arial" w:cs="Arial" w:eastAsia="Arial" w:hAnsi="Arial"/>
          <w:sz w:val="22"/>
          <w:szCs w:val="22"/>
          <w:i w:val="1"/>
          <w:iCs w:val="1"/>
          <w:color w:val="auto"/>
        </w:rPr>
        <w:t>Loan Sale</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Whereas, Purchaser and Bank have entered into the Loan Sale Agreement to govern the sale and purchase of loans by Purchaser from Bank; and</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Whereas, Purchaser and Bank desire to amend the Loan Sale Agreement to provide for certain modifications to the terms thereof.</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Now, Therefore, in consideration of the foregoing premises, and other good and valuable consideration, the receipt and legal sufficiency of which are hereby acknowledged, the parties hereby agree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1. Defined Terms.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Capitalized terms used herein and not otherwise defined herein shall have the meanings attributed to such terms in the Loan Sale Agreement.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2. Effective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shall be effective as of the date first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3. Amendment.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definition of “Purchase Price”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to the Loan Sale Agreement is hereby amended as follows:</w:t>
      </w:r>
    </w:p>
    <w:p>
      <w:pPr>
        <w:spacing w:after="0" w:line="22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Purchase Price</w:t>
      </w:r>
      <w:r>
        <w:rPr>
          <w:rFonts w:ascii="Arial" w:cs="Arial" w:eastAsia="Arial" w:hAnsi="Arial"/>
          <w:sz w:val="22"/>
          <w:szCs w:val="22"/>
          <w:color w:val="auto"/>
        </w:rPr>
        <w:t xml:space="preserve">” means, for each Purchaser Loan, an amount equal to [***] of the sum of (1) the Outstanding Principal Balance and (2) Interim Interest earned during the holding period,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for each Purchased Auto Loan, the Purchase Price shall mean an amount equal to the sum of (i) [***]and (ii) [***] of the Interim Interest earned during the holding period; or any other amount as may be agreed by the parties.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Section 4. Effect On The Loan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8"/>
        <w:spacing w:after="0" w:line="246" w:lineRule="auto"/>
        <w:tabs>
          <w:tab w:leader="none" w:pos="346" w:val="left"/>
        </w:tabs>
        <w:numPr>
          <w:ilvl w:val="0"/>
          <w:numId w:val="61"/>
        </w:numPr>
        <w:rPr>
          <w:rFonts w:ascii="Arial" w:cs="Arial" w:eastAsia="Arial" w:hAnsi="Arial"/>
          <w:sz w:val="20"/>
          <w:szCs w:val="20"/>
          <w:color w:val="auto"/>
        </w:rPr>
      </w:pPr>
      <w:r>
        <w:rPr>
          <w:rFonts w:ascii="Arial" w:cs="Arial" w:eastAsia="Arial" w:hAnsi="Arial"/>
          <w:sz w:val="20"/>
          <w:szCs w:val="20"/>
          <w:color w:val="auto"/>
        </w:rPr>
        <w:t>Certain information has been excluded from this amendment because it is both (i) not material and (ii) would be competitively harmful if publicly disclosed.</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8"/>
        <w:spacing w:after="0" w:line="231" w:lineRule="auto"/>
        <w:tabs>
          <w:tab w:leader="none" w:pos="307" w:val="left"/>
        </w:tabs>
        <w:numPr>
          <w:ilvl w:val="0"/>
          <w:numId w:val="62"/>
        </w:numPr>
        <w:rPr>
          <w:rFonts w:ascii="Arial" w:cs="Arial" w:eastAsia="Arial" w:hAnsi="Arial"/>
          <w:sz w:val="22"/>
          <w:szCs w:val="22"/>
          <w:color w:val="auto"/>
        </w:rPr>
      </w:pPr>
      <w:r>
        <w:rPr>
          <w:rFonts w:ascii="Arial" w:cs="Arial" w:eastAsia="Arial" w:hAnsi="Arial"/>
          <w:sz w:val="22"/>
          <w:szCs w:val="22"/>
          <w:color w:val="auto"/>
        </w:rPr>
        <w:t>Upon this Amendment becoming effective, each reference to the “Agreement,” “hereunder,” “hereof,” “herein” or words of like import referring to the Loan Sale Agreement, shall mean and be a reference to the Loan Sale Agreement as modified by this Amendment.</w:t>
      </w:r>
    </w:p>
    <w:p>
      <w:pPr>
        <w:spacing w:after="0" w:line="201" w:lineRule="exact"/>
        <w:rPr>
          <w:rFonts w:ascii="Arial" w:cs="Arial" w:eastAsia="Arial" w:hAnsi="Arial"/>
          <w:sz w:val="22"/>
          <w:szCs w:val="22"/>
          <w:color w:val="auto"/>
        </w:rPr>
      </w:pPr>
    </w:p>
    <w:p>
      <w:pPr>
        <w:ind w:right="20" w:firstLine="8"/>
        <w:spacing w:after="0" w:line="239" w:lineRule="auto"/>
        <w:tabs>
          <w:tab w:leader="none" w:pos="333"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This Amendment is not intended to create, nor does it create and shall not be construed to create, a partnership or joint venture or any other common association for profit between Bank and Purchaser.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5. Execution In Counterparts.</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Section 6. Headings.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Section headings in this Amendment are included herein for convenience of reference only and shall not constitute a part of this Amendment for any other purposes.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7. Entire Agreement.</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Loan Sale Agreement, as amended herein, is ratified, approved and confirmed in each and every respect, and constitutes the entire agreement of the parties hereto with respect to the subject matter hereof and supersedes all other understandings, oral or written, with respect to the subject matter hereof. In the event of any conflict or inconsistency between the provisions of the Loan Sale Agreement and this Amendment, the provisions of this Amendment shall control and govern.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Section 8. Successors And Assigns.</w:t>
      </w:r>
    </w:p>
    <w:p>
      <w:pPr>
        <w:spacing w:after="0" w:line="220"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color w:val="auto"/>
        </w:rPr>
        <w:t>This Amendment shall be binding on and shall inure to the benefit of Purchaser and Bank and their respective successors and assigns.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9. Miscellaneous.</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The provisions contained in Section 18 (Governing Law; Jurisdiction) of the Loan Sale Agreement are incorporated herein by this reference and shall govern this Amendment.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414" w:right="339" w:bottom="1440" w:gutter="0" w:footer="0" w:header="0"/>
        </w:sectPr>
      </w:pPr>
    </w:p>
    <w:bookmarkStart w:id="130" w:name="page131"/>
    <w:bookmarkEnd w:id="130"/>
    <w:p>
      <w:pPr>
        <w:ind w:firstLine="648"/>
        <w:spacing w:after="0" w:line="239" w:lineRule="auto"/>
        <w:rPr>
          <w:sz w:val="20"/>
          <w:szCs w:val="20"/>
          <w:color w:val="auto"/>
        </w:rPr>
      </w:pPr>
      <w:r>
        <w:rPr>
          <w:rFonts w:ascii="Arial" w:cs="Arial" w:eastAsia="Arial" w:hAnsi="Arial"/>
          <w:sz w:val="22"/>
          <w:szCs w:val="22"/>
          <w:color w:val="auto"/>
        </w:rPr>
        <w:t>In Witness Whereof, the parties have caused this Amendment to be duly executed and delivered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UPSTART NETWORK, INC.</w:t>
      </w:r>
    </w:p>
    <w:p>
      <w:pPr>
        <w:spacing w:after="0" w:line="21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Coury</w:t>
      </w:r>
      <w:r>
        <w:rPr>
          <w:rFonts w:ascii="Arial" w:cs="Arial" w:eastAsia="Arial" w:hAnsi="Arial"/>
          <w:sz w:val="22"/>
          <w:szCs w:val="22"/>
          <w:color w:val="auto"/>
        </w:rPr>
        <w:t>_________________</w:t>
      </w:r>
    </w:p>
    <w:p>
      <w:pPr>
        <w:ind w:left="4460"/>
        <w:spacing w:after="0" w:line="217" w:lineRule="auto"/>
        <w:rPr>
          <w:sz w:val="20"/>
          <w:szCs w:val="20"/>
          <w:color w:val="auto"/>
        </w:rPr>
      </w:pPr>
      <w:r>
        <w:rPr>
          <w:rFonts w:ascii="Arial" w:cs="Arial" w:eastAsia="Arial" w:hAnsi="Arial"/>
          <w:sz w:val="22"/>
          <w:szCs w:val="22"/>
          <w:color w:val="auto"/>
        </w:rPr>
        <w:t>Name: Paul Coury</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Legal Counsel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CROSS RIVER BANK</w:t>
      </w: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Gilles Gade</w:t>
      </w:r>
      <w:r>
        <w:rPr>
          <w:rFonts w:ascii="Arial" w:cs="Arial" w:eastAsia="Arial" w:hAnsi="Arial"/>
          <w:sz w:val="22"/>
          <w:szCs w:val="22"/>
          <w:color w:val="auto"/>
        </w:rPr>
        <w:t>_________________</w:t>
      </w:r>
    </w:p>
    <w:p>
      <w:pPr>
        <w:ind w:left="4460"/>
        <w:spacing w:after="0" w:line="217" w:lineRule="auto"/>
        <w:rPr>
          <w:sz w:val="20"/>
          <w:szCs w:val="20"/>
          <w:color w:val="auto"/>
        </w:rPr>
      </w:pPr>
      <w:r>
        <w:rPr>
          <w:rFonts w:ascii="Arial" w:cs="Arial" w:eastAsia="Arial" w:hAnsi="Arial"/>
          <w:sz w:val="22"/>
          <w:szCs w:val="22"/>
          <w:color w:val="auto"/>
        </w:rPr>
        <w:t>Name: Gilles Gade</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Arlen Gelbard</w:t>
      </w:r>
      <w:r>
        <w:rPr>
          <w:rFonts w:ascii="Arial" w:cs="Arial" w:eastAsia="Arial" w:hAnsi="Arial"/>
          <w:sz w:val="22"/>
          <w:szCs w:val="22"/>
          <w:color w:val="auto"/>
        </w:rPr>
        <w:t>_______________</w:t>
      </w:r>
    </w:p>
    <w:p>
      <w:pPr>
        <w:ind w:left="4460"/>
        <w:spacing w:after="0" w:line="217" w:lineRule="auto"/>
        <w:rPr>
          <w:sz w:val="20"/>
          <w:szCs w:val="20"/>
          <w:color w:val="auto"/>
        </w:rPr>
      </w:pPr>
      <w:r>
        <w:rPr>
          <w:rFonts w:ascii="Arial" w:cs="Arial" w:eastAsia="Arial" w:hAnsi="Arial"/>
          <w:sz w:val="22"/>
          <w:szCs w:val="22"/>
          <w:color w:val="auto"/>
        </w:rPr>
        <w:t>Name: Arlen Gelbard</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EVP,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Signature Page To Amendment No. 2</w:t>
      </w:r>
    </w:p>
    <w:p>
      <w:pPr>
        <w:spacing w:after="0" w:line="6"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To Third Amended And Restated Loan Sale Agreement</w:t>
      </w:r>
      <w:r>
        <w:rPr>
          <w:rFonts w:ascii="Arial" w:cs="Arial" w:eastAsia="Arial" w:hAnsi="Arial"/>
          <w:sz w:val="19"/>
          <w:szCs w:val="19"/>
          <w:color w:val="auto"/>
        </w:rPr>
        <w:t>]</w:t>
      </w:r>
    </w:p>
    <w:p>
      <w:pPr>
        <w:sectPr>
          <w:pgSz w:w="11900" w:h="16838" w:orient="portrait"/>
          <w:cols w:equalWidth="0" w:num="1">
            <w:col w:w="11240"/>
          </w:cols>
          <w:pgMar w:left="320" w:top="141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Amendment No. 3 To Third Amended And Restated Loan Program Agreement</w:t>
      </w:r>
    </w:p>
    <w:p>
      <w:pPr>
        <w:spacing w:after="0" w:line="24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This Amendment No. 3 to the Third Amended and Restated Loan Program Agreement (this “</w:t>
      </w:r>
      <w:r>
        <w:rPr>
          <w:rFonts w:ascii="Arial" w:cs="Arial" w:eastAsia="Arial" w:hAnsi="Arial"/>
          <w:sz w:val="22"/>
          <w:szCs w:val="22"/>
          <w:i w:val="1"/>
          <w:iCs w:val="1"/>
          <w:color w:val="auto"/>
        </w:rPr>
        <w:t>Amendment</w:t>
      </w:r>
      <w:r>
        <w:rPr>
          <w:rFonts w:ascii="Arial" w:cs="Arial" w:eastAsia="Arial" w:hAnsi="Arial"/>
          <w:sz w:val="22"/>
          <w:szCs w:val="22"/>
          <w:color w:val="auto"/>
        </w:rPr>
        <w:t>”) is entered into as of May 25, 2021 by and between Upstart Network, Inc., a Delaware corporation (“</w:t>
      </w:r>
      <w:r>
        <w:rPr>
          <w:rFonts w:ascii="Arial" w:cs="Arial" w:eastAsia="Arial" w:hAnsi="Arial"/>
          <w:sz w:val="22"/>
          <w:szCs w:val="22"/>
          <w:i w:val="1"/>
          <w:iCs w:val="1"/>
          <w:color w:val="auto"/>
        </w:rPr>
        <w:t>UNI</w:t>
      </w:r>
      <w:r>
        <w:rPr>
          <w:rFonts w:ascii="Arial" w:cs="Arial" w:eastAsia="Arial" w:hAnsi="Arial"/>
          <w:sz w:val="22"/>
          <w:szCs w:val="22"/>
          <w:color w:val="auto"/>
        </w:rPr>
        <w:t>”) and Cross River Bank, a New Jersey state-chartered bank (“</w:t>
      </w:r>
      <w:r>
        <w:rPr>
          <w:rFonts w:ascii="Arial" w:cs="Arial" w:eastAsia="Arial" w:hAnsi="Arial"/>
          <w:sz w:val="22"/>
          <w:szCs w:val="22"/>
          <w:i w:val="1"/>
          <w:iCs w:val="1"/>
          <w:color w:val="auto"/>
        </w:rPr>
        <w:t>Bank</w:t>
      </w:r>
      <w:r>
        <w:rPr>
          <w:rFonts w:ascii="Arial" w:cs="Arial" w:eastAsia="Arial" w:hAnsi="Arial"/>
          <w:sz w:val="22"/>
          <w:szCs w:val="22"/>
          <w:color w:val="auto"/>
        </w:rPr>
        <w:t>”), and amends the Third Amended and Restated Loan Program Agreement dated as of January 1, 2019 between Bank and UNI (“</w:t>
      </w:r>
      <w:r>
        <w:rPr>
          <w:rFonts w:ascii="Arial" w:cs="Arial" w:eastAsia="Arial" w:hAnsi="Arial"/>
          <w:sz w:val="22"/>
          <w:szCs w:val="22"/>
          <w:i w:val="1"/>
          <w:iCs w:val="1"/>
          <w:color w:val="auto"/>
        </w:rPr>
        <w:t>Loan Program Agreement</w:t>
      </w:r>
      <w:r>
        <w:rPr>
          <w:rFonts w:ascii="Arial" w:cs="Arial" w:eastAsia="Arial" w:hAnsi="Arial"/>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Whereas, pursuant to that Loan Program Agreement, as amended by a certain Amendment No. 1 to the Third Amended and Restated Loan Program Agreement, dated as of November 20, 2019, and by a certain Amendment No. 1 to the Third Amended and Restated Loan Program Agreement, dated as of November 25, 2020 (the “</w:t>
      </w:r>
      <w:r>
        <w:rPr>
          <w:rFonts w:ascii="Arial" w:cs="Arial" w:eastAsia="Arial" w:hAnsi="Arial"/>
          <w:sz w:val="22"/>
          <w:szCs w:val="22"/>
          <w:i w:val="1"/>
          <w:iCs w:val="1"/>
          <w:color w:val="auto"/>
        </w:rPr>
        <w:t>2020 Amendment</w:t>
      </w:r>
      <w:r>
        <w:rPr>
          <w:rFonts w:ascii="Arial" w:cs="Arial" w:eastAsia="Arial" w:hAnsi="Arial"/>
          <w:sz w:val="22"/>
          <w:szCs w:val="22"/>
          <w:color w:val="auto"/>
        </w:rPr>
        <w:t>”), UNI is providing Bank with certain loan origination assistance services; and</w:t>
      </w:r>
    </w:p>
    <w:p>
      <w:pPr>
        <w:spacing w:after="0" w:line="20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Whereas, UNI and Bank desire to amend the Loan Program Agreement to provide for certain modifications to the terms thereof and resolve a numbering inconsistency in the 2020 Amendment.</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Now, Therefore, in consideration of the foregoing premises, and other good and valuable consideration, the receipt and legal sufficiency of which are hereby acknowledged, the parties hereby agree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1. Defined Terms.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Capitalized terms used herein and not otherwise defined herein shall have the meanings attributed to such terms in the Loan Program Agreement.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2. Effective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shall be effective as of the date first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3. Amendments.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of the Loan Program Agreement is amended and restated in its entirety to read as follows:</w:t>
      </w:r>
    </w:p>
    <w:p>
      <w:pPr>
        <w:sectPr>
          <w:pgSz w:w="11900" w:h="16838" w:orient="portrait"/>
          <w:cols w:equalWidth="0" w:num="1">
            <w:col w:w="11240"/>
          </w:cols>
          <w:pgMar w:left="320" w:top="1413" w:right="339" w:bottom="1440" w:gutter="0" w:footer="0" w:header="0"/>
        </w:sectPr>
      </w:pPr>
    </w:p>
    <w:bookmarkStart w:id="132" w:name="page133"/>
    <w:bookmarkEnd w:id="132"/>
    <w:p>
      <w:pPr>
        <w:jc w:val="cente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Fees and Eligible States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Origination Assistance Fees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The “Origination Assistance Fee” shall, for each Auto Loan, refer to the Auto Loan Origination Assistance Fee and, for each other Loan, refer to the Personal Loan Origination Assistance Fee.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Personal Loan Origination Assistance Fee shall be equal to the sum of two separate</w:t>
      </w:r>
    </w:p>
    <w:p>
      <w:pPr>
        <w:spacing w:after="0"/>
        <w:rPr>
          <w:sz w:val="20"/>
          <w:szCs w:val="20"/>
          <w:color w:val="auto"/>
        </w:rPr>
      </w:pPr>
      <w:r>
        <w:rPr>
          <w:rFonts w:ascii="Arial" w:cs="Arial" w:eastAsia="Arial" w:hAnsi="Arial"/>
          <w:sz w:val="19"/>
          <w:szCs w:val="19"/>
          <w:color w:val="auto"/>
        </w:rPr>
        <w:t>origination-related fees that are collected by Bank from the Borrower: (1) a “Platform Fee” and (2) a “Referral Services Fee.”</w:t>
      </w:r>
    </w:p>
    <w:p>
      <w:pPr>
        <w:spacing w:after="0" w:line="23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The Platform Fee for each Loan not constituting an Auto Loan shall be equal to [***] of the original principal balance of each such Loan, unless UNI and Bank have agreed to a lesser percentage in accordance with the Program Guidelines and as set forth in each Funding Statement, in which case the Platform Fee shall be equal to such lesser percentage mutually agreed to by the parties.</w:t>
      </w:r>
    </w:p>
    <w:p>
      <w:pPr>
        <w:spacing w:after="0" w:line="20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The Referral Services Fee for each Loan not constituting an Auto Loan, if any, shall be equal to [***] above the Platform Fee for such Loan that UNI and Bank have agreed to be passed through to the Borrower in accordance with the Program Guidelines for such Loan and as set forth in each Funding Statement.</w:t>
      </w:r>
    </w:p>
    <w:p>
      <w:pPr>
        <w:spacing w:after="0" w:line="20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The Auto Loan Origination Assistance Fee shall, for each Auto Loan, be equal to the sum of [***] of the original principal balance of the relevant Auto Loan, plus the amount [***] collected by Bank from Borrower; or any other amount as may be agreed by the parties.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Eligible States</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Each Loan and Auto Loan under the Program shall be made by Bank in the jurisdictions permitted under the Program Guidelines only.”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Section 3.2</w:t>
      </w:r>
      <w:r>
        <w:rPr>
          <w:rFonts w:ascii="Arial" w:cs="Arial" w:eastAsia="Arial" w:hAnsi="Arial"/>
          <w:sz w:val="19"/>
          <w:szCs w:val="19"/>
          <w:color w:val="auto"/>
        </w:rPr>
        <w:t>. Reference to the 2020 Amendment is amended by deleting “No. 1” and inserting “No. 2” in lieu thereof.</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Section 4. Effect On The Loan Program Agreement.</w:t>
      </w:r>
    </w:p>
    <w:p>
      <w:pPr>
        <w:spacing w:after="0" w:line="220" w:lineRule="exact"/>
        <w:rPr>
          <w:sz w:val="20"/>
          <w:szCs w:val="20"/>
          <w:color w:val="auto"/>
        </w:rPr>
      </w:pPr>
    </w:p>
    <w:p>
      <w:pPr>
        <w:jc w:val="both"/>
        <w:ind w:firstLine="8"/>
        <w:spacing w:after="0" w:line="231" w:lineRule="auto"/>
        <w:tabs>
          <w:tab w:leader="none" w:pos="307" w:val="left"/>
        </w:tabs>
        <w:numPr>
          <w:ilvl w:val="0"/>
          <w:numId w:val="63"/>
        </w:numPr>
        <w:rPr>
          <w:rFonts w:ascii="Arial" w:cs="Arial" w:eastAsia="Arial" w:hAnsi="Arial"/>
          <w:sz w:val="22"/>
          <w:szCs w:val="22"/>
          <w:color w:val="auto"/>
        </w:rPr>
      </w:pPr>
      <w:r>
        <w:rPr>
          <w:rFonts w:ascii="Arial" w:cs="Arial" w:eastAsia="Arial" w:hAnsi="Arial"/>
          <w:sz w:val="22"/>
          <w:szCs w:val="22"/>
          <w:color w:val="auto"/>
        </w:rPr>
        <w:t>Upon this Amendment becoming effective, each reference to the “Agreement,” “hereunder,” “hereof,” “herein” or words of like import referring to the Loan Program Agreement, shall mean and be a reference to the Loan Program Agreement as modified by this Amendment.</w:t>
      </w:r>
    </w:p>
    <w:p>
      <w:pPr>
        <w:spacing w:after="0" w:line="200" w:lineRule="exact"/>
        <w:rPr>
          <w:rFonts w:ascii="Arial" w:cs="Arial" w:eastAsia="Arial" w:hAnsi="Arial"/>
          <w:sz w:val="22"/>
          <w:szCs w:val="22"/>
          <w:color w:val="auto"/>
        </w:rPr>
      </w:pPr>
    </w:p>
    <w:p>
      <w:pPr>
        <w:spacing w:after="0" w:line="244" w:lineRule="exact"/>
        <w:rPr>
          <w:rFonts w:ascii="Arial" w:cs="Arial" w:eastAsia="Arial" w:hAnsi="Arial"/>
          <w:sz w:val="22"/>
          <w:szCs w:val="22"/>
          <w:color w:val="auto"/>
        </w:rPr>
      </w:pPr>
    </w:p>
    <w:p>
      <w:pPr>
        <w:ind w:right="20" w:firstLine="8"/>
        <w:spacing w:after="0" w:line="239" w:lineRule="auto"/>
        <w:tabs>
          <w:tab w:leader="none" w:pos="333"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Amendment is not intended to create, nor does it create and shall not be construed to create, a partnership or joint venture or any other common association for profit between Bank and UNI.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8"/>
        <w:spacing w:after="0" w:line="246" w:lineRule="auto"/>
        <w:tabs>
          <w:tab w:leader="none" w:pos="346" w:val="left"/>
        </w:tabs>
        <w:numPr>
          <w:ilvl w:val="0"/>
          <w:numId w:val="64"/>
        </w:numPr>
        <w:rPr>
          <w:rFonts w:ascii="Arial" w:cs="Arial" w:eastAsia="Arial" w:hAnsi="Arial"/>
          <w:sz w:val="20"/>
          <w:szCs w:val="20"/>
          <w:color w:val="auto"/>
        </w:rPr>
      </w:pPr>
      <w:r>
        <w:rPr>
          <w:rFonts w:ascii="Arial" w:cs="Arial" w:eastAsia="Arial" w:hAnsi="Arial"/>
          <w:sz w:val="20"/>
          <w:szCs w:val="20"/>
          <w:color w:val="auto"/>
        </w:rPr>
        <w:t>Certain information has been excluded from this amendment because it is both (i) not material and (ii) would be competitively harmful if publicly disclosed.</w:t>
      </w:r>
    </w:p>
    <w:p>
      <w:pPr>
        <w:sectPr>
          <w:pgSz w:w="11900" w:h="16838" w:orient="portrait"/>
          <w:cols w:equalWidth="0" w:num="1">
            <w:col w:w="11240"/>
          </w:cols>
          <w:pgMar w:left="320" w:top="1408" w:right="339" w:bottom="1440" w:gutter="0" w:footer="0" w:header="0"/>
        </w:sectPr>
      </w:pPr>
    </w:p>
    <w:bookmarkStart w:id="133" w:name="page134"/>
    <w:bookmarkEnd w:id="133"/>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Section 5. Execution In Counterparts.</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Section 6. Headings.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Section headings in this Amendment are included herein for convenience of reference only and shall not constitute a part of this Amendment for any other purposes.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7. Entire Agreement.</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Loan Program Agreement, as amended herein, is ratified, approved and confirmed in each and every respect, and constitutes the entire agreement of the parties hereto with respect to the subject matter hereof and supersedes all other understandings, oral or written, with respect to the subject matter hereof. In the event of any conflict or inconsistency between the provisions of the Loan Program Agreement and this Amendment, the provisions of this Amendment shall control and govern.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Section 8. Successors And Assigns.</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22"/>
          <w:szCs w:val="22"/>
          <w:color w:val="auto"/>
        </w:rPr>
        <w:t>This Amendment shall be binding on and shall inure to the benefit of UNI and Bank and their respective successors and assigns.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Section 9. Miscellaneous.</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The provisions contained in Section 10.3 (Governing Law; Arbitration) of the Loan Program Agreement are incorporated herein by this reference and shall govern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440" w:right="339" w:bottom="1440" w:gutter="0" w:footer="0" w:header="0"/>
        </w:sectPr>
      </w:pPr>
    </w:p>
    <w:bookmarkStart w:id="134" w:name="page135"/>
    <w:bookmarkEnd w:id="134"/>
    <w:p>
      <w:pPr>
        <w:ind w:firstLine="648"/>
        <w:spacing w:after="0" w:line="239" w:lineRule="auto"/>
        <w:rPr>
          <w:sz w:val="20"/>
          <w:szCs w:val="20"/>
          <w:color w:val="auto"/>
        </w:rPr>
      </w:pPr>
      <w:r>
        <w:rPr>
          <w:rFonts w:ascii="Arial" w:cs="Arial" w:eastAsia="Arial" w:hAnsi="Arial"/>
          <w:sz w:val="22"/>
          <w:szCs w:val="22"/>
          <w:color w:val="auto"/>
        </w:rPr>
        <w:t>In Witness Whereof, the parties have caused this Amendment to be duly executed and delivered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UPSTART NETWORK, INC.</w:t>
      </w: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Coury</w:t>
      </w:r>
      <w:r>
        <w:rPr>
          <w:rFonts w:ascii="Arial" w:cs="Arial" w:eastAsia="Arial" w:hAnsi="Arial"/>
          <w:sz w:val="22"/>
          <w:szCs w:val="22"/>
          <w:color w:val="auto"/>
        </w:rPr>
        <w:t>___________________</w:t>
      </w:r>
    </w:p>
    <w:p>
      <w:pPr>
        <w:ind w:left="4460"/>
        <w:spacing w:after="0" w:line="217" w:lineRule="auto"/>
        <w:rPr>
          <w:sz w:val="20"/>
          <w:szCs w:val="20"/>
          <w:color w:val="auto"/>
        </w:rPr>
      </w:pPr>
      <w:r>
        <w:rPr>
          <w:rFonts w:ascii="Arial" w:cs="Arial" w:eastAsia="Arial" w:hAnsi="Arial"/>
          <w:sz w:val="22"/>
          <w:szCs w:val="22"/>
          <w:color w:val="auto"/>
        </w:rPr>
        <w:t>Name: Paul Coury</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Legal Counsel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CROSS RIVER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Gilles Gade_</w:t>
      </w:r>
      <w:r>
        <w:rPr>
          <w:rFonts w:ascii="Arial" w:cs="Arial" w:eastAsia="Arial" w:hAnsi="Arial"/>
          <w:sz w:val="22"/>
          <w:szCs w:val="22"/>
          <w:color w:val="auto"/>
        </w:rPr>
        <w:t>__________________</w:t>
      </w:r>
    </w:p>
    <w:p>
      <w:pPr>
        <w:ind w:left="4460"/>
        <w:spacing w:after="0" w:line="217" w:lineRule="auto"/>
        <w:rPr>
          <w:sz w:val="20"/>
          <w:szCs w:val="20"/>
          <w:color w:val="auto"/>
        </w:rPr>
      </w:pPr>
      <w:r>
        <w:rPr>
          <w:rFonts w:ascii="Arial" w:cs="Arial" w:eastAsia="Arial" w:hAnsi="Arial"/>
          <w:sz w:val="22"/>
          <w:szCs w:val="22"/>
          <w:color w:val="auto"/>
        </w:rPr>
        <w:t>Name: Gilles Gade</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Arlen Gelbard</w:t>
      </w:r>
      <w:r>
        <w:rPr>
          <w:rFonts w:ascii="Arial" w:cs="Arial" w:eastAsia="Arial" w:hAnsi="Arial"/>
          <w:sz w:val="22"/>
          <w:szCs w:val="22"/>
          <w:color w:val="auto"/>
        </w:rPr>
        <w:t>_________________</w:t>
      </w:r>
    </w:p>
    <w:p>
      <w:pPr>
        <w:ind w:left="4460"/>
        <w:spacing w:after="0" w:line="217" w:lineRule="auto"/>
        <w:rPr>
          <w:sz w:val="20"/>
          <w:szCs w:val="20"/>
          <w:color w:val="auto"/>
        </w:rPr>
      </w:pPr>
      <w:r>
        <w:rPr>
          <w:rFonts w:ascii="Arial" w:cs="Arial" w:eastAsia="Arial" w:hAnsi="Arial"/>
          <w:sz w:val="22"/>
          <w:szCs w:val="22"/>
          <w:color w:val="auto"/>
        </w:rPr>
        <w:t>Name: Arlen Gelbard</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EVP,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Signature Page To Amendment No. 3 To Third Amended And Restated Loan Program Agreement</w:t>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Dave Girouard</w:t>
      </w:r>
    </w:p>
    <w:p>
      <w:pPr>
        <w:spacing w:after="0" w:line="92"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580" w:space="360"/>
            <w:col w:w="10300"/>
          </w:cols>
          <w:pgMar w:left="320" w:top="1093" w:right="3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434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Sanjay Datta</w:t>
      </w:r>
    </w:p>
    <w:p>
      <w:pPr>
        <w:spacing w:after="0" w:line="115" w:lineRule="exact"/>
        <w:rPr>
          <w:sz w:val="20"/>
          <w:szCs w:val="20"/>
          <w:color w:val="auto"/>
        </w:rPr>
      </w:pPr>
    </w:p>
    <w:p>
      <w:pPr>
        <w:sectPr>
          <w:pgSz w:w="11900" w:h="16838" w:orient="portrait"/>
          <w:cols w:equalWidth="0" w:num="2">
            <w:col w:w="660" w:space="280"/>
            <w:col w:w="10300"/>
          </w:cols>
          <w:pgMar w:left="320" w:top="1093" w:right="339" w:bottom="1440" w:gutter="0" w:footer="0" w:header="0"/>
          <w:type w:val="continuous"/>
        </w:sectPr>
      </w:pP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580" w:space="360"/>
            <w:col w:w="10300"/>
          </w:cols>
          <w:pgMar w:left="320" w:top="1093" w:right="3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Quarterly Report on Form 10-Q of Upstart Holdings, Inc. for the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August 12,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11"/>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Quarterly Report on Form 10-Q of Upstart Holdings, Inc. for the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54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Date: August 12, 2021</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37"/>
        </w:trPr>
        <w:tc>
          <w:tcPr>
            <w:tcW w:w="5480" w:type="dxa"/>
            <w:vAlign w:val="bottom"/>
            <w:shd w:val="clear" w:color="auto" w:fill="FEFEFE"/>
          </w:tcPr>
          <w:p>
            <w:pPr>
              <w:spacing w:after="0"/>
              <w:rPr>
                <w:sz w:val="3"/>
                <w:szCs w:val="3"/>
                <w:color w:val="auto"/>
              </w:rPr>
            </w:pPr>
          </w:p>
        </w:tc>
        <w:tc>
          <w:tcPr>
            <w:tcW w:w="760" w:type="dxa"/>
            <w:vAlign w:val="bottom"/>
            <w:shd w:val="clear" w:color="auto" w:fill="FEFEFE"/>
          </w:tcPr>
          <w:p>
            <w:pPr>
              <w:spacing w:after="0"/>
              <w:rPr>
                <w:sz w:val="3"/>
                <w:szCs w:val="3"/>
                <w:color w:val="auto"/>
              </w:rPr>
            </w:pPr>
          </w:p>
        </w:tc>
        <w:tc>
          <w:tcPr>
            <w:tcW w:w="4000" w:type="dxa"/>
            <w:vAlign w:val="bottom"/>
            <w:shd w:val="clear" w:color="auto" w:fill="FEFEFE"/>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2"/>
    </w:lvl>
  </w:abstractNum>
  <w:abstractNum w:abstractNumId="7">
    <w:nsid w:val="2D517796"/>
    <w:multiLevelType w:val="hybridMultilevel"/>
    <w:lvl w:ilvl="0">
      <w:lvlJc w:val="left"/>
      <w:lvlText w:val="%1."/>
      <w:numFmt w:val="decimal"/>
      <w:start w:val="3"/>
    </w:lvl>
  </w:abstractNum>
  <w:abstractNum w:abstractNumId="8">
    <w:nsid w:val="580BD78F"/>
    <w:multiLevelType w:val="hybridMultilevel"/>
    <w:lvl w:ilvl="0">
      <w:lvlJc w:val="left"/>
      <w:lvlText w:val="%1."/>
      <w:numFmt w:val="decimal"/>
      <w:start w:val="4"/>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2"/>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5"/>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6"/>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9"/>
    </w:lvl>
  </w:abstractNum>
  <w:abstractNum w:abstractNumId="26">
    <w:nsid w:val="579478FE"/>
    <w:multiLevelType w:val="hybridMultilevel"/>
    <w:lvl w:ilvl="0">
      <w:lvlJc w:val="left"/>
      <w:lvlText w:val="%1"/>
      <w:numFmt w:val="upperLetter"/>
      <w:start w:val="44"/>
    </w:lvl>
  </w:abstractNum>
  <w:abstractNum w:abstractNumId="27">
    <w:nsid w:val="749ABB43"/>
    <w:multiLevelType w:val="hybridMultilevel"/>
    <w:lvl w:ilvl="0">
      <w:lvlJc w:val="left"/>
      <w:lvlText w:val="%1."/>
      <w:numFmt w:val="decimal"/>
      <w:start w:val="11"/>
    </w:lvl>
  </w:abstractNum>
  <w:abstractNum w:abstractNumId="28">
    <w:nsid w:val="3DC240FB"/>
    <w:multiLevelType w:val="hybridMultilevel"/>
    <w:lvl w:ilvl="0">
      <w:lvlJc w:val="left"/>
      <w:lvlText w:val="%1."/>
      <w:numFmt w:val="decimal"/>
      <w:start w:val="12"/>
    </w:lvl>
  </w:abstractNum>
  <w:abstractNum w:abstractNumId="29">
    <w:nsid w:val="1BA026FA"/>
    <w:multiLevelType w:val="hybridMultilevel"/>
    <w:lvl w:ilvl="0">
      <w:lvlJc w:val="left"/>
      <w:lvlText w:val="%1."/>
      <w:numFmt w:val="decimal"/>
      <w:start w:val="13"/>
    </w:lvl>
  </w:abstractNum>
  <w:abstractNum w:abstractNumId="30">
    <w:nsid w:val="79A1DEAA"/>
    <w:multiLevelType w:val="hybridMultilevel"/>
    <w:lvl w:ilvl="0">
      <w:lvlJc w:val="left"/>
      <w:lvlText w:val="%1."/>
      <w:numFmt w:val="decimal"/>
      <w:start w:val="14"/>
    </w:lvl>
  </w:abstractNum>
  <w:abstractNum w:abstractNumId="31">
    <w:nsid w:val="75C6C33A"/>
    <w:multiLevelType w:val="hybridMultilevel"/>
    <w:lvl w:ilvl="0">
      <w:lvlJc w:val="left"/>
      <w:lvlText w:val="%1."/>
      <w:numFmt w:val="decimal"/>
      <w:start w:val="15"/>
    </w:lvl>
  </w:abstractNum>
  <w:abstractNum w:abstractNumId="32">
    <w:nsid w:val="12E685FB"/>
    <w:multiLevelType w:val="hybridMultilevel"/>
    <w:lvl w:ilvl="0">
      <w:lvlJc w:val="left"/>
      <w:lvlText w:val="%1."/>
      <w:numFmt w:val="decimal"/>
      <w:start w:val="16"/>
    </w:lvl>
  </w:abstractNum>
  <w:abstractNum w:abstractNumId="33">
    <w:nsid w:val="70C6A529"/>
    <w:multiLevelType w:val="hybridMultilevel"/>
    <w:lvl w:ilvl="0">
      <w:lvlJc w:val="left"/>
      <w:lvlText w:val="%1."/>
      <w:numFmt w:val="decimal"/>
      <w:start w:val="17"/>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04"/>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5"/>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54" Type="http://schemas.openxmlformats.org/officeDocument/2006/relationships/hyperlink" Target="https://www.sec.gov/Archives/edgar/data/1647639/000119312521118191/d165331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2021-08-13T05:27:55Z</dcterms:created>
  <dcterms:modified xsi:type="dcterms:W3CDTF">2021-08-13T05:27:55Z</dcterms:modified>
</cp:coreProperties>
</file>