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November 3, 2026</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Upstart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05" w:right="339" w:bottom="1440" w:gutter="0" w:footer="0" w:header="0"/>
        </w:sectPr>
      </w:pPr>
    </w:p>
    <w:p>
      <w:pPr>
        <w:spacing w:after="0" w:line="14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001-39797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46-4332431</w:t>
      </w:r>
    </w:p>
    <w:p>
      <w:pPr>
        <w:spacing w:after="0" w:line="67" w:lineRule="exact"/>
        <w:rPr>
          <w:sz w:val="24"/>
          <w:szCs w:val="24"/>
          <w:color w:val="auto"/>
        </w:rPr>
      </w:pPr>
    </w:p>
    <w:p>
      <w:pPr>
        <w:sectPr>
          <w:pgSz w:w="11900" w:h="16838" w:orient="portrait"/>
          <w:cols w:equalWidth="0" w:num="3">
            <w:col w:w="4520" w:space="720"/>
            <w:col w:w="2820" w:space="720"/>
            <w:col w:w="2460"/>
          </w:cols>
          <w:pgMar w:left="320" w:top="1105"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60" w:space="720"/>
            <w:col w:w="3320"/>
          </w:cols>
          <w:pgMar w:left="320" w:top="1105" w:right="339" w:bottom="1440" w:gutter="0" w:footer="0" w:header="0"/>
          <w:type w:val="continuous"/>
        </w:sectPr>
      </w:pP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220 Park Road, Suite 500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Burlingame, CA 94010</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(833) 212-2461</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5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Trading Symbol</w:t>
            </w:r>
          </w:p>
        </w:tc>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6"/>
        </w:trPr>
        <w:tc>
          <w:tcPr>
            <w:tcW w:w="140" w:type="dxa"/>
            <w:vAlign w:val="bottom"/>
          </w:tcPr>
          <w:p>
            <w:pPr>
              <w:spacing w:after="0"/>
              <w:rPr>
                <w:sz w:val="20"/>
                <w:szCs w:val="20"/>
                <w:color w:val="auto"/>
              </w:rPr>
            </w:pPr>
          </w:p>
        </w:tc>
        <w:tc>
          <w:tcPr>
            <w:tcW w:w="4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UPST</w:t>
            </w:r>
          </w:p>
        </w:tc>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r>
        <w:trPr>
          <w:trHeight w:val="1519"/>
        </w:trPr>
        <w:tc>
          <w:tcPr>
            <w:tcW w:w="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 w:name="page2"/>
    <w:bookmarkEnd w:id="1"/>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ind w:left="584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0"/>
          <w:szCs w:val="20"/>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 2026, Upstart Holdings, Inc. (“Upstart”) reported financial results for the fiscal quarter ended September 30, 2026. A copy of the press release is attached as Exhibit 99.1 to this report and is incorporated by reference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Exhibit 99.1 attached hereto, is furnished and shall not be deemed “filed” for purposes of Section 18 of the Securities Exchange Act of 1934, as amended, or otherwise subject to the liabilities of that section. The information shall not be deemed incorporated by reference into any other filing with the Securities and Exchange Commission made by Upstart regardless of any general incorporation language in such filing, except as shall be expressly set forth by specific reference in such filing.</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Upstart is making reference to non-GAAP financial information in both the press release and the conference call. A reconciliation of these non-GAAP financial measures to the comparable GAAP financial measures is contained in the attached press release.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2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6"/>
        </w:trPr>
        <w:tc>
          <w:tcPr>
            <w:tcW w:w="2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issued by Upstart Holdings, Inc. dated November 3, 2026</w:t>
            </w:r>
          </w:p>
        </w:tc>
        <w:tc>
          <w:tcPr>
            <w:tcW w:w="3300" w:type="dxa"/>
            <w:vAlign w:val="bottom"/>
          </w:tcPr>
          <w:p>
            <w:pPr>
              <w:spacing w:after="0"/>
              <w:rPr>
                <w:sz w:val="17"/>
                <w:szCs w:val="17"/>
                <w:color w:val="auto"/>
              </w:rPr>
            </w:pPr>
          </w:p>
        </w:tc>
      </w:tr>
      <w:tr>
        <w:trPr>
          <w:trHeight w:val="29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(Cover page XBRL tags are embedded within the Inline XBRL document)</w:t>
            </w:r>
          </w:p>
        </w:tc>
      </w:tr>
      <w:tr>
        <w:trPr>
          <w:trHeight w:val="1883"/>
        </w:trPr>
        <w:tc>
          <w:tcPr>
            <w:tcW w:w="2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b w:val="1"/>
          <w:bCs w:val="1"/>
          <w:color w:val="auto"/>
        </w:rPr>
        <w:t>Upstart Holdings, Inc.</w:t>
      </w:r>
    </w:p>
    <w:p>
      <w:pPr>
        <w:spacing w:after="0" w:line="57" w:lineRule="exact"/>
        <w:rPr>
          <w:sz w:val="20"/>
          <w:szCs w:val="20"/>
          <w:color w:val="auto"/>
        </w:rPr>
      </w:pPr>
    </w:p>
    <w:p>
      <w:pPr>
        <w:ind w:left="20"/>
        <w:spacing w:after="0"/>
        <w:tabs>
          <w:tab w:leader="none" w:pos="5780" w:val="left"/>
          <w:tab w:leader="none" w:pos="6480" w:val="left"/>
        </w:tabs>
        <w:rPr>
          <w:sz w:val="20"/>
          <w:szCs w:val="20"/>
          <w:color w:val="auto"/>
        </w:rPr>
      </w:pPr>
      <w:r>
        <w:rPr>
          <w:rFonts w:ascii="Times New Roman" w:cs="Times New Roman" w:eastAsia="Times New Roman" w:hAnsi="Times New Roman"/>
          <w:sz w:val="18"/>
          <w:szCs w:val="18"/>
          <w:color w:val="auto"/>
        </w:rPr>
        <w:t>Dated: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Blankmeyer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Andrea Blankmeyer</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008" w:right="359" w:bottom="1440" w:gutter="0" w:footer="0" w:header="0"/>
        </w:sectPr>
      </w:pPr>
    </w:p>
    <w:bookmarkStart w:id="3" w:name="page4"/>
    <w:bookmarkEnd w:id="3"/>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39700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Announces Third Quarter 2026 Results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BURLINGAME, Calif. – November 3, 2026 – </w:t>
      </w:r>
      <w:r>
        <w:rPr>
          <w:rFonts w:ascii="Times New Roman" w:cs="Times New Roman" w:eastAsia="Times New Roman" w:hAnsi="Times New Roman"/>
          <w:sz w:val="18"/>
          <w:szCs w:val="18"/>
          <w:color w:val="auto"/>
        </w:rPr>
        <w:t>Upstart Holdings, Inc. (NASDAQ: UPST), the leading artificial intelligence (AI) lending marketplace,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financial results for the quarter ended September 30, 2026. Upstart will host a conference call and webcast at 5:00 a.m. Pacific Time today. An earnings presentation and link to the webcast are available at ir.upstart.com.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“Macro comes and goes, but alpha compounds,” said Paul Gu, Co-founder and CEO of Upstart. “In Q3, our technology and marketing advances helped drive record Contribution Profit, our secured products reached positive Contribution Margin a quarter ahead of plan, and we supported platform growth with proportionately less equity capital. Macro is putting pressure on our near-term outlook, but the progress we’re making gives me more confidence than ever in Upstart’s long-term potential.”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p>
    <w:p>
      <w:pPr>
        <w:spacing w:after="0" w:line="11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Originations: </w:t>
      </w:r>
      <w:r>
        <w:rPr>
          <w:rFonts w:ascii="Times New Roman" w:cs="Times New Roman" w:eastAsia="Times New Roman" w:hAnsi="Times New Roman"/>
          <w:sz w:val="18"/>
          <w:szCs w:val="18"/>
          <w:color w:val="auto"/>
        </w:rPr>
        <w:t>$4.1 billion, up 44% year-over-year (“YoY”). A record 574,089 loans originated, up 34% YoY.</w:t>
      </w:r>
    </w:p>
    <w:p>
      <w:pPr>
        <w:spacing w:after="0" w:line="3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$371 million, up 34% YoY. Revenue from fees was a record $364 million, up 41% YoY.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$36.0 million, compared to $23.7 million in Q3 2025.</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$36.6 million, up 15% YoY from $31.8 million in Q3 2025. Diluted net income per share was $0.33, compared with $0.23 in Q3 2025.</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Contribution Profit: </w:t>
      </w:r>
      <w:r>
        <w:rPr>
          <w:rFonts w:ascii="Times New Roman" w:cs="Times New Roman" w:eastAsia="Times New Roman" w:hAnsi="Times New Roman"/>
          <w:sz w:val="18"/>
          <w:szCs w:val="18"/>
          <w:color w:val="auto"/>
        </w:rPr>
        <w:t>All-time high of $218 million, up 48% YoY. Contribution Margin was 60%, versus 57% in Q3 2025.</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$89.3 million, up 26% YoY from $71.2 million in Q3 2025. Adjusted EBITDA Margin was 24%, down from 26% in Q3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Product Category</w:t>
      </w:r>
      <w:r>
        <w:rPr>
          <w:rFonts w:ascii="Times New Roman" w:cs="Times New Roman" w:eastAsia="Times New Roman" w:hAnsi="Times New Roman"/>
          <w:sz w:val="23"/>
          <w:szCs w:val="23"/>
          <w:color w:val="auto"/>
          <w:vertAlign w:val="superscript"/>
        </w:rPr>
        <w:t>1</w:t>
      </w:r>
    </w:p>
    <w:p>
      <w:pPr>
        <w:spacing w:after="0" w:line="60" w:lineRule="exact"/>
        <w:rPr>
          <w:sz w:val="20"/>
          <w:szCs w:val="20"/>
          <w:color w:val="auto"/>
        </w:rPr>
      </w:pPr>
    </w:p>
    <w:p>
      <w:pPr>
        <w:ind w:left="340" w:hanging="332"/>
        <w:spacing w:after="0" w:line="263" w:lineRule="auto"/>
        <w:tabs>
          <w:tab w:leader="none" w:pos="3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Unsecured: </w:t>
      </w:r>
      <w:r>
        <w:rPr>
          <w:rFonts w:ascii="Times New Roman" w:cs="Times New Roman" w:eastAsia="Times New Roman" w:hAnsi="Times New Roman"/>
          <w:sz w:val="18"/>
          <w:szCs w:val="18"/>
          <w:color w:val="auto"/>
        </w:rPr>
        <w:t>Revenue from fees was $330 million, up 30% YoY. Contribution Profit was $212 million, up 35% YoY, while Contribution Margin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64%, up 2 percentage points from 62% in both Q3 2025 and Q2 2026.</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Secured (Auto and Home): </w:t>
      </w:r>
      <w:r>
        <w:rPr>
          <w:rFonts w:ascii="Times New Roman" w:cs="Times New Roman" w:eastAsia="Times New Roman" w:hAnsi="Times New Roman"/>
          <w:sz w:val="18"/>
          <w:szCs w:val="18"/>
          <w:color w:val="auto"/>
        </w:rPr>
        <w:t>Combined Contribution Margin was positive 17%, up from negative 179% in Q3 2025 and up 52 percentage points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35% in Q2 2026. This category reached positive Contribution Margin one quarter ahead of target.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full-year 2026, Upstart expects:</w:t>
      </w:r>
    </w:p>
    <w:p>
      <w:pPr>
        <w:spacing w:after="0" w:line="11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From Fees </w:t>
      </w:r>
      <w:r>
        <w:rPr>
          <w:rFonts w:ascii="Times New Roman" w:cs="Times New Roman" w:eastAsia="Times New Roman" w:hAnsi="Times New Roman"/>
          <w:sz w:val="18"/>
          <w:szCs w:val="18"/>
          <w:color w:val="auto"/>
        </w:rPr>
        <w:t>of approximately $1.32 billion</w:t>
      </w:r>
    </w:p>
    <w:p>
      <w:pPr>
        <w:spacing w:after="0" w:line="3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of approximately $1.35 billion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 of Total Revenue) </w:t>
      </w:r>
      <w:r>
        <w:rPr>
          <w:rFonts w:ascii="Times New Roman" w:cs="Times New Roman" w:eastAsia="Times New Roman" w:hAnsi="Times New Roman"/>
          <w:sz w:val="18"/>
          <w:szCs w:val="18"/>
          <w:color w:val="auto"/>
        </w:rPr>
        <w:t>of approximately $260 million (19%)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3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Live Conference Call and Webcast at 5:00 a.m. PT / 8:00 a.m. ET on November 3, 2026. </w:t>
      </w:r>
      <w:r>
        <w:rPr>
          <w:rFonts w:ascii="Times New Roman" w:cs="Times New Roman" w:eastAsia="Times New Roman" w:hAnsi="Times New Roman"/>
          <w:sz w:val="18"/>
          <w:szCs w:val="18"/>
          <w:color w:val="auto"/>
        </w:rPr>
        <w:t>To access the call in the United States and Canada: 800-</w:t>
      </w:r>
    </w:p>
    <w:p>
      <w:pPr>
        <w:spacing w:after="0" w:line="9" w:lineRule="exact"/>
        <w:rPr>
          <w:rFonts w:ascii="Times New Roman" w:cs="Times New Roman" w:eastAsia="Times New Roman" w:hAnsi="Times New Roman"/>
          <w:sz w:val="18"/>
          <w:szCs w:val="18"/>
          <w:color w:val="auto"/>
        </w:rPr>
      </w:pPr>
    </w:p>
    <w:p>
      <w:pPr>
        <w:ind w:left="3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330-6710, conference code 9806820. To access the call outside of the United States and Canada: +1 312-471-1353, conference code 9806820. A webcast is available at ir.upstart.com.</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Event Replay: </w:t>
      </w:r>
      <w:r>
        <w:rPr>
          <w:rFonts w:ascii="Times New Roman" w:cs="Times New Roman" w:eastAsia="Times New Roman" w:hAnsi="Times New Roman"/>
          <w:sz w:val="18"/>
          <w:szCs w:val="18"/>
          <w:color w:val="auto"/>
        </w:rPr>
        <w:t>A webcast of the event will be archived for one year at ir.upstart.com.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50" w:lineRule="exact"/>
        <w:rPr>
          <w:sz w:val="20"/>
          <w:szCs w:val="20"/>
          <w:color w:val="auto"/>
        </w:rPr>
      </w:pPr>
    </w:p>
    <w:p>
      <w:pPr>
        <w:ind w:firstLine="8"/>
        <w:spacing w:after="0" w:line="230" w:lineRule="auto"/>
        <w:tabs>
          <w:tab w:leader="none" w:pos="10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disaggregation does not represent the Company’s operating segments under U.S. GAAP. While Unsecured Lending is a reportable segment, Secured Products include two operating segments, Auto Lending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Upstart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Upstart (NASDAQ: UPST) is the leading AI lending marketplace, connecting millions of consumers to more than 100 banks and credit unions that leverage Upstart’s AI models and cloud applications to deliver superior credit products. With Upstart AI, lenders can approve more borrowers at lower rates while delivering the exceptional digital-first experience customers demand. More than 90% of loans are fully automated, with no human intervention by Upstart. Founded in 2012, Upstart’s platform includes personal loans, automotive loans, home equity lines of credit, and Upstart’s new Cash Line product, a revolving line of credit. Upstart is based in Burlingame, California.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Sonya Banerjee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ir@upstart.com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press@upstart.com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including, but not limited to, statements regarding our outlook for the full-year of 2026 and beyond. These statements may include words such as “anticipate”, “becoming”, “believe”, “can have”, “continue”, “could”, “estimate”, “expect”, “intend”, “likely”, “look forward”, “may”, “ongoing,” “plan”, “potential”, “predict”, “project”, “should”, “target”, “will”, “would,” or the negative of these terms or other words and terms of similar meaning in connection with any discussion of the timing or nature of future operating or financial performance or other events that do not relate strictly to historical or current facts. Forward-looking statements give our current expectations and projections relating to our financial condition; macroeconomic factors; plans; objectives; product development; growth opportunities and the sustainability of our business and market position; assumptions; risks; future performance; business; investments; and results of operations, including revenue (including revenue from fees and net interest income (loss)), contribution margin, net income (loss), Adjusted EBITDA, basic weighted-average share count, and diluted weighted-average share count. Forward-looking statements are based on information available at the time those statements are made or management’s good faith beliefs and assumptions as of that time with respect to future events, including assumptions regarding macroeconomic conditions, credit performance, funding availability, and competitive dynamics, and are subject to risks and uncertainties that could cause actual performance or results to differ materially from those expressed in, or suggested by, the forward-looking statements. Forward-looking statements should not be read as a guarantee of future performance or results. Neither we nor any other person assumes responsibility for the accuracy and completeness of any of these forward-looking statements. We undertake no obligation to update or revise any forward-looking statement as a result of new information, future events or otherwise, except as otherwise required by law.</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 information about factors that could affect our results of operations and risks and uncertainties are provided in our public filings with the Securities and Exchange Commission (the “SEC”), including “Risk Factors” in our most recent Annual Report on Form 10-K and Quarterly Reports on Form 10-Q, copies of which may be obtained by visiting our investor relations website at ir.upstart.com or the SEC’s website at www.sec.gov. These risks and uncertainties include, but are not limited to, our ability to manage the adverse effects of macroeconomic conditions and disruptions in the banking sector and credit markets, including inflation and related changes in interest rates and monetary policy; our ability to access sufficient loan funding, including through securitizations, committed capital and other co-investment arrangements, whole loan sales, and warehouse credit facilities; the effectiveness of our credit decisioning models and risk management efforts, including reflecting the impact of macroeconomic conditions on borrowers' credit risk; our ability to retain existing, and attract new, lending partners; our future growth prospects and financial performance; our ability to manage risks associated with the loans on our balance sheet; our ability to improve and expand our platform and products; and our ability to operate successfully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highly-regulated industry. Moreover, we operate in very competitive and rapidly changing environments, and new risks may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Additional information will be available in other future reports that we file with the SEC from time to time, which could cause actual results to vary from expectations.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 and Non-GAAP Financial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Beginning in the second quarter of 2026, we refer to the metrics “Transaction Volume, Dollars” and “Transaction Volume, Number of Loans” as “Originations, Dollars” and “Originations, Number of Loans,” respectively, to reflect management’s internal terminology. We define </w:t>
      </w:r>
      <w:r>
        <w:rPr>
          <w:rFonts w:ascii="Times New Roman" w:cs="Times New Roman" w:eastAsia="Times New Roman" w:hAnsi="Times New Roman"/>
          <w:sz w:val="18"/>
          <w:szCs w:val="18"/>
          <w:b w:val="1"/>
          <w:bCs w:val="1"/>
          <w:color w:val="auto"/>
        </w:rPr>
        <w:t>Originations, Dollars</w:t>
      </w:r>
      <w:r>
        <w:rPr>
          <w:rFonts w:ascii="Times New Roman" w:cs="Times New Roman" w:eastAsia="Times New Roman" w:hAnsi="Times New Roman"/>
          <w:sz w:val="18"/>
          <w:szCs w:val="18"/>
          <w:color w:val="auto"/>
        </w:rPr>
        <w:t xml:space="preserve"> as the aggregate of: (i) the total principal of loan originations for personal loans, small dollar loans, and auto loans, (ii) committed amounts for HELOCs, and (iii) drawn amounts for unsecured revolving credit lines (Cash Line), in each case facilitated on our marketplace during the periods presented. We define </w:t>
      </w:r>
      <w:r>
        <w:rPr>
          <w:rFonts w:ascii="Times New Roman" w:cs="Times New Roman" w:eastAsia="Times New Roman" w:hAnsi="Times New Roman"/>
          <w:sz w:val="18"/>
          <w:szCs w:val="18"/>
          <w:b w:val="1"/>
          <w:bCs w:val="1"/>
          <w:color w:val="auto"/>
        </w:rPr>
        <w:t>Originations, Number of Loans</w:t>
      </w:r>
      <w:r>
        <w:rPr>
          <w:rFonts w:ascii="Times New Roman" w:cs="Times New Roman" w:eastAsia="Times New Roman" w:hAnsi="Times New Roman"/>
          <w:sz w:val="18"/>
          <w:szCs w:val="18"/>
          <w:color w:val="auto"/>
        </w:rPr>
        <w:t xml:space="preserve"> as the total number of such originations, commitments, and draws, as applicable, facilitated on our marketplace during the periods presented. We believe these metrics are good proxies for our overall scale and reach as a marketplace.</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define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as the Originations,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 Cash Line is excluded because those borrowers may make multiple draws after the line has been initially approved, and those subsequent draws do not represent additional conversions.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define </w:t>
      </w:r>
      <w:r>
        <w:rPr>
          <w:rFonts w:ascii="Times New Roman" w:cs="Times New Roman" w:eastAsia="Times New Roman" w:hAnsi="Times New Roman"/>
          <w:sz w:val="18"/>
          <w:szCs w:val="18"/>
          <w:b w:val="1"/>
          <w:bCs w:val="1"/>
          <w:color w:val="auto"/>
        </w:rPr>
        <w:t>Percentage of Loans Fully Automated</w:t>
      </w:r>
      <w:r>
        <w:rPr>
          <w:rFonts w:ascii="Times New Roman" w:cs="Times New Roman" w:eastAsia="Times New Roman" w:hAnsi="Times New Roman"/>
          <w:sz w:val="18"/>
          <w:szCs w:val="18"/>
          <w:color w:val="auto"/>
        </w:rPr>
        <w:t xml:space="preserve"> as the total number of loans in a given period originated end-to-end with no human involvement required by the Company divided by the Originations, Number of Loans in the same period. Cash Line is excluded because those borrowers may make multiple draws after the line has been initially approved, and those subsequent draws do not represent additional automation. Under this definition, “originated end-to-end” means (i) from initial rate request to final funding for personal loans, including small dollar loans, and (ii) from initial rate request to loan approval for auto loans and HELOCs, due to certain jurisdictions’ local requirements and external dependencies that require human action prior to funding.</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To derive </w:t>
      </w:r>
      <w:r>
        <w:rPr>
          <w:rFonts w:ascii="Times New Roman" w:cs="Times New Roman" w:eastAsia="Times New Roman" w:hAnsi="Times New Roman"/>
          <w:sz w:val="18"/>
          <w:szCs w:val="18"/>
          <w:b w:val="1"/>
          <w:bCs w:val="1"/>
          <w:color w:val="auto"/>
        </w:rPr>
        <w:t>Contribution Profit</w:t>
      </w:r>
      <w:r>
        <w:rPr>
          <w:rFonts w:ascii="Times New Roman" w:cs="Times New Roman" w:eastAsia="Times New Roman" w:hAnsi="Times New Roman"/>
          <w:sz w:val="18"/>
          <w:szCs w:val="18"/>
          <w:color w:val="auto"/>
        </w:rPr>
        <w:t xml:space="preserve">, we subtract the sum of borrower acquisition costs as well as borrower verification and servicing costs from revenue from fees, net. To calculate </w:t>
      </w:r>
      <w:r>
        <w:rPr>
          <w:rFonts w:ascii="Times New Roman" w:cs="Times New Roman" w:eastAsia="Times New Roman" w:hAnsi="Times New Roman"/>
          <w:sz w:val="18"/>
          <w:szCs w:val="18"/>
          <w:b w:val="1"/>
          <w:bCs w:val="1"/>
          <w:color w:val="auto"/>
        </w:rPr>
        <w:t>Contribution Margin</w:t>
      </w:r>
      <w:r>
        <w:rPr>
          <w:rFonts w:ascii="Times New Roman" w:cs="Times New Roman" w:eastAsia="Times New Roman" w:hAnsi="Times New Roman"/>
          <w:sz w:val="18"/>
          <w:szCs w:val="18"/>
          <w:color w:val="auto"/>
        </w:rPr>
        <w:t xml:space="preserve"> we divide Contribution Profit by revenue from fees, net.</w:t>
      </w:r>
    </w:p>
    <w:p>
      <w:pPr>
        <w:spacing w:after="0" w:line="18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 xml:space="preserve">We calculate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as net income (loss) adjusted to exclude stock-based compensation expense and certain payroll tax expenses, depreciation and amortization, expense on convertible notes, provision for income taxes, gain on debt extinguishment, net gain on lease modification and reorganization expenses, as applicable. We calculate </w:t>
      </w: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18"/>
          <w:szCs w:val="18"/>
          <w:color w:val="auto"/>
        </w:rPr>
        <w:t xml:space="preserve"> as Adjusted EBITDA divided by total revenue. Adjusted EBITDA and Adjusted EBITDA Margin include interest expense from warehouse and risk retention facilities which is incurred in the course of earning corresponding interest income.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Reconciliation tables of the most comparable GAAP financial measures to the non-GAAP financial measures used in this press release are included below. Upstart has not reconciled the forward-looking non-GAAP measures to comparable forward-looking GAAP measures because of the potential variability and uncertainty of incurring these costs and expenses in the future. Accordingly, a reconciliation is not available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461,484</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666,984</w:t>
            </w:r>
          </w:p>
        </w:tc>
        <w:tc>
          <w:tcPr>
            <w:tcW w:w="0" w:type="dxa"/>
            <w:vAlign w:val="bottom"/>
          </w:tcPr>
          <w:p>
            <w:pPr>
              <w:spacing w:after="0"/>
              <w:rPr>
                <w:sz w:val="1"/>
                <w:szCs w:val="1"/>
                <w:color w:val="auto"/>
              </w:rPr>
            </w:pPr>
          </w:p>
        </w:tc>
      </w:tr>
      <w:tr>
        <w:trPr>
          <w:trHeight w:val="297"/>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940,747</w:t>
            </w: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0" w:type="dxa"/>
            <w:vAlign w:val="bottom"/>
          </w:tcPr>
          <w:p>
            <w:pPr>
              <w:spacing w:after="0"/>
              <w:rPr>
                <w:sz w:val="1"/>
                <w:szCs w:val="1"/>
                <w:color w:val="auto"/>
              </w:rPr>
            </w:pPr>
          </w:p>
        </w:tc>
      </w:tr>
      <w:tr>
        <w:trPr>
          <w:trHeight w:val="257"/>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56,921</w:t>
            </w: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0" w:type="dxa"/>
            <w:vAlign w:val="bottom"/>
          </w:tcPr>
          <w:p>
            <w:pPr>
              <w:spacing w:after="0"/>
              <w:rPr>
                <w:sz w:val="1"/>
                <w:szCs w:val="1"/>
                <w:color w:val="auto"/>
              </w:rPr>
            </w:pPr>
          </w:p>
        </w:tc>
      </w:tr>
      <w:tr>
        <w:trPr>
          <w:trHeight w:val="257"/>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Line of credit receivable (at fair value)</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110,110</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144,613</w:t>
            </w:r>
          </w:p>
        </w:tc>
        <w:tc>
          <w:tcPr>
            <w:tcW w:w="0" w:type="dxa"/>
            <w:vAlign w:val="bottom"/>
          </w:tcPr>
          <w:p>
            <w:pPr>
              <w:spacing w:after="0"/>
              <w:rPr>
                <w:sz w:val="1"/>
                <w:szCs w:val="1"/>
                <w:color w:val="auto"/>
              </w:rPr>
            </w:pPr>
          </w:p>
        </w:tc>
      </w:tr>
      <w:tr>
        <w:trPr>
          <w:trHeight w:val="257"/>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84"/>
        </w:trPr>
        <w:tc>
          <w:tcPr>
            <w:tcW w:w="78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assets (includes $41,166 and $68,051 at fair value as of December 31, 2025 and September 30,</w:t>
            </w:r>
          </w:p>
        </w:tc>
        <w:tc>
          <w:tcPr>
            <w:tcW w:w="2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157,971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185,342</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2026, respectively)</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786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166,729</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2,027,322</w:t>
            </w:r>
          </w:p>
        </w:tc>
        <w:tc>
          <w:tcPr>
            <w:tcW w:w="0" w:type="dxa"/>
            <w:vAlign w:val="bottom"/>
          </w:tcPr>
          <w:p>
            <w:pPr>
              <w:spacing w:after="0"/>
              <w:rPr>
                <w:sz w:val="1"/>
                <w:szCs w:val="1"/>
                <w:color w:val="auto"/>
              </w:rPr>
            </w:pPr>
          </w:p>
        </w:tc>
      </w:tr>
      <w:tr>
        <w:trPr>
          <w:trHeight w:val="257"/>
        </w:trPr>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Accrued expenses and other liabilities (includes $15,219 and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$34,506</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fair value as of December 31,</w:t>
            </w:r>
          </w:p>
        </w:tc>
        <w:tc>
          <w:tcPr>
            <w:tcW w:w="20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171,075</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 and September 30, 2026,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60,991</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86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2,451,622</w:t>
            </w:r>
          </w:p>
        </w:tc>
        <w:tc>
          <w:tcPr>
            <w:tcW w:w="0" w:type="dxa"/>
            <w:vAlign w:val="bottom"/>
          </w:tcPr>
          <w:p>
            <w:pPr>
              <w:spacing w:after="0"/>
              <w:rPr>
                <w:sz w:val="1"/>
                <w:szCs w:val="1"/>
                <w:color w:val="auto"/>
              </w:rPr>
            </w:pPr>
          </w:p>
        </w:tc>
      </w:tr>
      <w:tr>
        <w:trPr>
          <w:trHeight w:val="236"/>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86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$0.0001 par value; 700,000,000 shares authorized; 98,033,361 and 98,906,930 shares</w:t>
            </w:r>
          </w:p>
        </w:tc>
        <w:tc>
          <w:tcPr>
            <w:tcW w:w="2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2025 and September 30, 2026, respectively</w:t>
            </w:r>
          </w:p>
        </w:tc>
        <w:tc>
          <w:tcPr>
            <w:tcW w:w="20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1,198,495</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(311,085)</w:t>
            </w:r>
          </w:p>
        </w:tc>
        <w:tc>
          <w:tcPr>
            <w:tcW w:w="0" w:type="dxa"/>
            <w:vAlign w:val="bottom"/>
          </w:tcPr>
          <w:p>
            <w:pPr>
              <w:spacing w:after="0"/>
              <w:rPr>
                <w:sz w:val="1"/>
                <w:szCs w:val="1"/>
                <w:color w:val="auto"/>
              </w:rPr>
            </w:pPr>
          </w:p>
        </w:tc>
      </w:tr>
      <w:tr>
        <w:trPr>
          <w:trHeight w:val="250"/>
        </w:trPr>
        <w:tc>
          <w:tcPr>
            <w:tcW w:w="7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798,815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887,420</w:t>
            </w:r>
          </w:p>
        </w:tc>
        <w:tc>
          <w:tcPr>
            <w:tcW w:w="0" w:type="dxa"/>
            <w:vAlign w:val="bottom"/>
          </w:tcPr>
          <w:p>
            <w:pPr>
              <w:spacing w:after="0"/>
              <w:rPr>
                <w:sz w:val="1"/>
                <w:szCs w:val="1"/>
                <w:color w:val="auto"/>
              </w:rPr>
            </w:pPr>
          </w:p>
        </w:tc>
      </w:tr>
      <w:tr>
        <w:trPr>
          <w:trHeight w:val="40"/>
        </w:trPr>
        <w:tc>
          <w:tcPr>
            <w:tcW w:w="46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786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3,339,042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6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right="20" w:hanging="492"/>
        <w:spacing w:after="0" w:line="259" w:lineRule="auto"/>
        <w:tabs>
          <w:tab w:leader="none" w:pos="4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$53.8 million and $28.9 million of loans, at fair value, contributed as collateral for the consolidated securitization as of December 31, 2025 and September 30,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8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40"/>
        </w:trPr>
        <w:tc>
          <w:tcPr>
            <w:tcW w:w="45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364,030</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989,112</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169,673</w:t>
            </w:r>
          </w:p>
        </w:tc>
        <w:tc>
          <w:tcPr>
            <w:tcW w:w="0" w:type="dxa"/>
            <w:vAlign w:val="bottom"/>
          </w:tcPr>
          <w:p>
            <w:pPr>
              <w:spacing w:after="0"/>
              <w:rPr>
                <w:sz w:val="1"/>
                <w:szCs w:val="1"/>
                <w:color w:val="auto"/>
              </w:rPr>
            </w:pPr>
          </w:p>
        </w:tc>
      </w:tr>
      <w:tr>
        <w:trPr>
          <w:trHeight w:val="297"/>
        </w:trPr>
        <w:tc>
          <w:tcPr>
            <w:tcW w:w="4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Fair value and other adjustments, net</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38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277,105</w:t>
            </w: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370,522</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747,767</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1,043,444</w:t>
            </w:r>
          </w:p>
        </w:tc>
        <w:tc>
          <w:tcPr>
            <w:tcW w:w="0" w:type="dxa"/>
            <w:vAlign w:val="bottom"/>
          </w:tcPr>
          <w:p>
            <w:pPr>
              <w:spacing w:after="0"/>
              <w:rPr>
                <w:sz w:val="1"/>
                <w:szCs w:val="1"/>
                <w:color w:val="auto"/>
              </w:rPr>
            </w:pPr>
          </w:p>
        </w:tc>
      </w:tr>
      <w:tr>
        <w:trPr>
          <w:trHeight w:val="41"/>
        </w:trPr>
        <w:tc>
          <w:tcPr>
            <w:tcW w:w="45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321,047</w:t>
            </w:r>
          </w:p>
        </w:tc>
        <w:tc>
          <w:tcPr>
            <w:tcW w:w="0" w:type="dxa"/>
            <w:vAlign w:val="bottom"/>
          </w:tcPr>
          <w:p>
            <w:pPr>
              <w:spacing w:after="0"/>
              <w:rPr>
                <w:sz w:val="1"/>
                <w:szCs w:val="1"/>
                <w:color w:val="auto"/>
              </w:rPr>
            </w:pPr>
          </w:p>
        </w:tc>
      </w:tr>
      <w:tr>
        <w:trPr>
          <w:trHeight w:val="41"/>
        </w:trPr>
        <w:tc>
          <w:tcPr>
            <w:tcW w:w="4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179,753</w:t>
            </w:r>
          </w:p>
        </w:tc>
        <w:tc>
          <w:tcPr>
            <w:tcW w:w="0" w:type="dxa"/>
            <w:vAlign w:val="bottom"/>
          </w:tcPr>
          <w:p>
            <w:pPr>
              <w:spacing w:after="0"/>
              <w:rPr>
                <w:sz w:val="1"/>
                <w:szCs w:val="1"/>
                <w:color w:val="auto"/>
              </w:rPr>
            </w:pPr>
          </w:p>
        </w:tc>
      </w:tr>
      <w:tr>
        <w:trPr>
          <w:trHeight w:val="257"/>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266,624</w:t>
            </w: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232,900</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253,439</w:t>
            </w: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334,523</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724,055</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1,000,324</w:t>
            </w:r>
          </w:p>
        </w:tc>
        <w:tc>
          <w:tcPr>
            <w:tcW w:w="0" w:type="dxa"/>
            <w:vAlign w:val="bottom"/>
          </w:tcPr>
          <w:p>
            <w:pPr>
              <w:spacing w:after="0"/>
              <w:rPr>
                <w:sz w:val="1"/>
                <w:szCs w:val="1"/>
                <w:color w:val="auto"/>
              </w:rPr>
            </w:pPr>
          </w:p>
        </w:tc>
      </w:tr>
      <w:tr>
        <w:trPr>
          <w:trHeight w:val="40"/>
        </w:trPr>
        <w:tc>
          <w:tcPr>
            <w:tcW w:w="45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46,471</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96,682,774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97,998,632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95,503,380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97,162,308</w:t>
            </w: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income per share, basic</w:t>
            </w:r>
          </w:p>
        </w:tc>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109,724,669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125,411,247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105,921,585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109,828,530</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net income per share, diluted</w:t>
            </w: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revenue from fees disaggregated by type of service for the periods presented: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8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r>
      <w:tr>
        <w:trPr>
          <w:trHeight w:val="40"/>
        </w:trPr>
        <w:tc>
          <w:tcPr>
            <w:tcW w:w="45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0"/>
        </w:trPr>
        <w:tc>
          <w:tcPr>
            <w:tcW w:w="4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41"/>
        </w:trPr>
        <w:tc>
          <w:tcPr>
            <w:tcW w:w="45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5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216,882</w:t>
            </w:r>
          </w:p>
        </w:tc>
        <w:tc>
          <w:tcPr>
            <w:tcW w:w="8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283,139</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570,702</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791,823</w:t>
            </w:r>
          </w:p>
        </w:tc>
      </w:tr>
      <w:tr>
        <w:trPr>
          <w:trHeight w:val="41"/>
        </w:trPr>
        <w:tc>
          <w:tcPr>
            <w:tcW w:w="4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4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173,726</w:t>
            </w:r>
          </w:p>
        </w:tc>
      </w:tr>
      <w:tr>
        <w:trPr>
          <w:trHeight w:val="297"/>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 sales fees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23,563</w:t>
            </w:r>
          </w:p>
        </w:tc>
      </w:tr>
      <w:tr>
        <w:trPr>
          <w:trHeight w:val="30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989,112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0" w:right="20" w:hanging="492"/>
        <w:spacing w:after="0" w:line="271"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2026, loan sales fees, which were previously included within servicing and other fees, net, are presented as a separate component of revenue from fees, net. Amounts for the three months ended March 31, 2026 have been reclassified to conform to the current-period presentation.</w:t>
      </w:r>
    </w:p>
    <w:p>
      <w:pPr>
        <w:jc w:val="both"/>
        <w:ind w:left="500" w:hanging="492"/>
        <w:spacing w:after="0" w:line="254"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three and nine months ended September 30, 2026, interest income and interest expense include dividend income earned on certain cash accounts and expense on convertible senior notes, respectively, which were previously included in other income, net. Refer to </w:t>
      </w:r>
      <w:r>
        <w:rPr>
          <w:rFonts w:ascii="Times New Roman" w:cs="Times New Roman" w:eastAsia="Times New Roman" w:hAnsi="Times New Roman"/>
          <w:sz w:val="14"/>
          <w:szCs w:val="14"/>
          <w:i w:val="1"/>
          <w:iCs w:val="1"/>
          <w:color w:val="auto"/>
        </w:rPr>
        <w:t>“Note 1. Description of Business and Significant Accounting Policies”</w:t>
      </w:r>
      <w:r>
        <w:rPr>
          <w:rFonts w:ascii="Times New Roman" w:cs="Times New Roman" w:eastAsia="Times New Roman" w:hAnsi="Times New Roman"/>
          <w:sz w:val="14"/>
          <w:szCs w:val="14"/>
          <w:color w:val="auto"/>
        </w:rPr>
        <w:t xml:space="preserve"> in our Quarterly Report on Form 10-Q for the quarter ended September 30, 2026 for details.</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components of fair value and other adjustments, net for the periods presented: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8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40"/>
        </w:trPr>
        <w:tc>
          <w:tcPr>
            <w:tcW w:w="48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 value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00" w:type="dxa"/>
            <w:vAlign w:val="bottom"/>
          </w:tcPr>
          <w:p>
            <w:pPr>
              <w:spacing w:after="0"/>
              <w:rPr>
                <w:sz w:val="18"/>
                <w:szCs w:val="18"/>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100" w:type="dxa"/>
            <w:vAlign w:val="bottom"/>
          </w:tcPr>
          <w:p>
            <w:pPr>
              <w:spacing w:after="0"/>
              <w:rPr>
                <w:sz w:val="18"/>
                <w:szCs w:val="18"/>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(55,749)</w:t>
            </w:r>
          </w:p>
        </w:tc>
        <w:tc>
          <w:tcPr>
            <w:tcW w:w="100" w:type="dxa"/>
            <w:vAlign w:val="bottom"/>
          </w:tcPr>
          <w:p>
            <w:pPr>
              <w:spacing w:after="0"/>
              <w:rPr>
                <w:sz w:val="18"/>
                <w:szCs w:val="18"/>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0" w:type="dxa"/>
            <w:vAlign w:val="bottom"/>
          </w:tcPr>
          <w:p>
            <w:pPr>
              <w:spacing w:after="0"/>
              <w:rPr>
                <w:sz w:val="1"/>
                <w:szCs w:val="1"/>
                <w:color w:val="auto"/>
              </w:rPr>
            </w:pPr>
          </w:p>
        </w:tc>
      </w:tr>
      <w:tr>
        <w:trPr>
          <w:trHeight w:val="234"/>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net</w:t>
            </w:r>
          </w:p>
        </w:tc>
        <w:tc>
          <w:tcPr>
            <w:tcW w:w="3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 and realized losses on beneficial</w:t>
            </w:r>
          </w:p>
        </w:tc>
        <w:tc>
          <w:tcPr>
            <w:tcW w:w="340" w:type="dxa"/>
            <w:vAlign w:val="bottom"/>
            <w:shd w:val="clear" w:color="auto" w:fill="CCEEFF"/>
          </w:tcPr>
          <w:p>
            <w:pPr>
              <w:spacing w:after="0"/>
              <w:rPr>
                <w:sz w:val="22"/>
                <w:szCs w:val="2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net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Realized gain (loss) on sale of loans,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0" w:type="dxa"/>
            <w:vAlign w:val="bottom"/>
          </w:tcPr>
          <w:p>
            <w:pPr>
              <w:spacing w:after="0"/>
              <w:rPr>
                <w:sz w:val="1"/>
                <w:szCs w:val="1"/>
                <w:color w:val="auto"/>
              </w:rPr>
            </w:pPr>
          </w:p>
        </w:tc>
      </w:tr>
      <w:tr>
        <w:trPr>
          <w:trHeight w:val="31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36830</wp:posOffset>
            </wp:positionV>
            <wp:extent cx="2185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41"/>
        </w:trPr>
        <w:tc>
          <w:tcPr>
            <w:tcW w:w="78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5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46,471</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110,989</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119,232</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(37,481)</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premium amortization</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and originations of loans held-for-sale</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(6,410,254)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(9,721,430)</w:t>
            </w:r>
          </w:p>
        </w:tc>
      </w:tr>
      <w:tr>
        <w:trPr>
          <w:trHeight w:val="25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5,994,691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9,038,098</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142,001</w:t>
            </w:r>
          </w:p>
        </w:tc>
      </w:tr>
      <w:tr>
        <w:trPr>
          <w:trHeight w:val="25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of beneficial interest liabilities, net</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5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beneficial interest assets (derivatives)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of beneficial interest assets (derivatives)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5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5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r>
      <w:tr>
        <w:trPr>
          <w:trHeight w:val="40"/>
        </w:trPr>
        <w:tc>
          <w:tcPr>
            <w:tcW w:w="78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90"/>
        </w:trPr>
        <w:tc>
          <w:tcPr>
            <w:tcW w:w="7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(256,277)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(289,681)</w:t>
            </w:r>
          </w:p>
        </w:tc>
      </w:tr>
      <w:tr>
        <w:trPr>
          <w:trHeight w:val="237"/>
        </w:trPr>
        <w:tc>
          <w:tcPr>
            <w:tcW w:w="78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(666,049)</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(870,246)</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628,324</w:t>
            </w:r>
          </w:p>
        </w:tc>
      </w:tr>
      <w:tr>
        <w:trPr>
          <w:trHeight w:val="256"/>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221,996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244,315</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 certificates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45,456</w:t>
            </w:r>
          </w:p>
        </w:tc>
      </w:tr>
      <w:tr>
        <w:trPr>
          <w:trHeight w:val="256"/>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settlements of beneficial interest assets (hybrid instruments)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beneficial interest assets (hybrid instruments)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191,038</w:t>
            </w:r>
          </w:p>
        </w:tc>
      </w:tr>
      <w:tr>
        <w:trPr>
          <w:trHeight w:val="256"/>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line of credit receivable</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56"/>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w:t>
            </w:r>
          </w:p>
        </w:tc>
      </w:tr>
      <w:tr>
        <w:trPr>
          <w:trHeight w:val="250"/>
        </w:trPr>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(308,909)</w:t>
            </w: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212,144</w:t>
            </w:r>
          </w:p>
        </w:tc>
      </w:tr>
      <w:tr>
        <w:trPr>
          <w:trHeight w:val="41"/>
        </w:trPr>
        <w:tc>
          <w:tcPr>
            <w:tcW w:w="78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6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7" w:right="339" w:bottom="673"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36830</wp:posOffset>
            </wp:positionV>
            <wp:extent cx="218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41"/>
        </w:trPr>
        <w:tc>
          <w:tcPr>
            <w:tcW w:w="78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212,848</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771,672</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convertible notes issuance, net of debt issuance costs paid to lender</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678,270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to third parties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(511,831)</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and repayments of convertible notes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(66,544)</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7"/>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capped calls, net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(54,636)</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w:t>
            </w:r>
          </w:p>
        </w:tc>
      </w:tr>
      <w:tr>
        <w:trPr>
          <w:trHeight w:val="41"/>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59,070</w:t>
            </w:r>
          </w:p>
        </w:tc>
      </w:tr>
      <w:tr>
        <w:trPr>
          <w:trHeight w:val="29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proceeds related to stock-based award activities</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304"/>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Repurchases of stock</w:t>
            </w:r>
          </w:p>
        </w:tc>
        <w:tc>
          <w:tcPr>
            <w:tcW w:w="3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(100,057)</w:t>
            </w:r>
          </w:p>
        </w:tc>
      </w:tr>
      <w:tr>
        <w:trPr>
          <w:trHeight w:val="250"/>
        </w:trPr>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425,828</w:t>
            </w: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148,993</w:t>
            </w:r>
          </w:p>
        </w:tc>
      </w:tr>
      <w:tr>
        <w:trPr>
          <w:trHeight w:val="40"/>
        </w:trPr>
        <w:tc>
          <w:tcPr>
            <w:tcW w:w="78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7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71,456</w:t>
            </w:r>
          </w:p>
        </w:tc>
      </w:tr>
      <w:tr>
        <w:trPr>
          <w:trHeight w:val="25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
        </w:trPr>
        <w:tc>
          <w:tcPr>
            <w:tcW w:w="7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1,057,012</w:t>
            </w:r>
          </w:p>
        </w:tc>
      </w:tr>
      <w:tr>
        <w:trPr>
          <w:trHeight w:val="28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836,905</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1,128,468</w:t>
            </w: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ratios, or as noted)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4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4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Originations, Dollars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2,854,296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4,117,800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7,808,302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11,790,116</w:t>
            </w:r>
          </w:p>
        </w:tc>
      </w:tr>
      <w:tr>
        <w:trPr>
          <w:trHeight w:val="29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Originations, Number of Loans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428,056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574,089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1,041,361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1,557,459</w:t>
            </w:r>
          </w:p>
        </w:tc>
      </w:tr>
      <w:tr>
        <w:trPr>
          <w:trHeight w:val="29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4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40"/>
        </w:trPr>
        <w:tc>
          <w:tcPr>
            <w:tcW w:w="4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4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147,406</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217,970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390,321</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548,375</w:t>
            </w:r>
          </w:p>
        </w:tc>
      </w:tr>
      <w:tr>
        <w:trPr>
          <w:trHeight w:val="41"/>
        </w:trPr>
        <w:tc>
          <w:tcPr>
            <w:tcW w:w="4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4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71,162</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89,332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166,792</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206,706</w:t>
            </w:r>
          </w:p>
        </w:tc>
      </w:tr>
      <w:tr>
        <w:trPr>
          <w:trHeight w:val="41"/>
        </w:trPr>
        <w:tc>
          <w:tcPr>
            <w:tcW w:w="4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7"/>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ind w:left="480" w:hanging="472"/>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Originations, Number of Loans is shown in ones for the periods presented.</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7"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fourth quarter of 2025, we revised the definition and underlying calculation methodology of Conversion Rate. Prior period figures have been recast to conform to the new definition and methodology. For additional information regarding this change, see “Key Operating and Non-GAAP Financial Metrics” in our Annual Report on Form 10-K for the year ended December 31, 2025. In addition, we intend to discontinue reporting this metric beginning in the first quarter of 2027. See “Key Operating and Non-GAAP Financial Metrics” in our Quarterly Report on Form 10-Q for the quarter ended September 30, 2026 for additional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disaggregated information for Originations, Dollars and Originations, Number of Loans for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9"/>
                <w:szCs w:val="19"/>
                <w:color w:val="auto"/>
              </w:rPr>
            </w:pPr>
          </w:p>
        </w:tc>
        <w:tc>
          <w:tcPr>
            <w:tcW w:w="31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40"/>
        </w:trPr>
        <w:tc>
          <w:tcPr>
            <w:tcW w:w="40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Originations, Dollars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Unsecured Lending</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2,654,301</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3,531,378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7,317,926</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10,208,908</w:t>
            </w: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199,995</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586,422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490,376</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1,581,208</w:t>
            </w:r>
          </w:p>
        </w:tc>
        <w:tc>
          <w:tcPr>
            <w:tcW w:w="0" w:type="dxa"/>
            <w:vAlign w:val="bottom"/>
          </w:tcPr>
          <w:p>
            <w:pPr>
              <w:spacing w:after="0"/>
              <w:rPr>
                <w:sz w:val="1"/>
                <w:szCs w:val="1"/>
                <w:color w:val="auto"/>
              </w:rPr>
            </w:pPr>
          </w:p>
        </w:tc>
      </w:tr>
      <w:tr>
        <w:trPr>
          <w:trHeight w:val="28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2,854,296</w:t>
            </w:r>
          </w:p>
        </w:tc>
        <w:tc>
          <w:tcPr>
            <w:tcW w:w="100" w:type="dxa"/>
            <w:vAlign w:val="bottom"/>
          </w:tcPr>
          <w:p>
            <w:pPr>
              <w:spacing w:after="0"/>
              <w:rPr>
                <w:sz w:val="24"/>
                <w:szCs w:val="24"/>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4,117,800</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7,808,302</w:t>
            </w:r>
          </w:p>
        </w:tc>
        <w:tc>
          <w:tcPr>
            <w:tcW w:w="100" w:type="dxa"/>
            <w:vAlign w:val="bottom"/>
          </w:tcPr>
          <w:p>
            <w:pPr>
              <w:spacing w:after="0"/>
              <w:rPr>
                <w:sz w:val="24"/>
                <w:szCs w:val="24"/>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11,790,116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Originations, Number of Loans</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Unsecured Lending</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420,089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1,023,713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1,495,460</w:t>
            </w:r>
          </w:p>
        </w:tc>
        <w:tc>
          <w:tcPr>
            <w:tcW w:w="0" w:type="dxa"/>
            <w:vAlign w:val="bottom"/>
          </w:tcPr>
          <w:p>
            <w:pPr>
              <w:spacing w:after="0"/>
              <w:rPr>
                <w:sz w:val="1"/>
                <w:szCs w:val="1"/>
                <w:color w:val="auto"/>
              </w:rPr>
            </w:pPr>
          </w:p>
        </w:tc>
      </w:tr>
      <w:tr>
        <w:trPr>
          <w:trHeight w:val="297"/>
        </w:trPr>
        <w:tc>
          <w:tcPr>
            <w:tcW w:w="4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61,999</w:t>
            </w:r>
          </w:p>
        </w:tc>
        <w:tc>
          <w:tcPr>
            <w:tcW w:w="0" w:type="dxa"/>
            <w:vAlign w:val="bottom"/>
          </w:tcPr>
          <w:p>
            <w:pPr>
              <w:spacing w:after="0"/>
              <w:rPr>
                <w:sz w:val="1"/>
                <w:szCs w:val="1"/>
                <w:color w:val="auto"/>
              </w:rPr>
            </w:pPr>
          </w:p>
        </w:tc>
      </w:tr>
      <w:tr>
        <w:trPr>
          <w:trHeight w:val="30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428,056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1,041,361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1,557,459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8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00" w:right="20" w:hanging="492"/>
        <w:spacing w:after="0" w:line="259"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14. Segment Information</w:t>
      </w:r>
      <w:r>
        <w:rPr>
          <w:rFonts w:ascii="Times New Roman" w:cs="Times New Roman" w:eastAsia="Times New Roman" w:hAnsi="Times New Roman"/>
          <w:sz w:val="14"/>
          <w:szCs w:val="14"/>
          <w:color w:val="auto"/>
        </w:rPr>
        <w:t>” in our Quarterly Report on Form 10-Q for the quarter ended September 30, 2026 for additional information regarding our Unsecured Lending segment and related Contribution Profit.</w:t>
      </w: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Lending and Other operating segments, which did not meet the separate reporting or aggregation criteria under GAAP.</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Originations, Number of Loans, is shown in ones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ratios, or as noted)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financial information, including Contribution Profit, for our Unsecured Lending segment: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0"/>
                <w:szCs w:val="20"/>
                <w:color w:val="auto"/>
              </w:rPr>
            </w:pPr>
          </w:p>
        </w:tc>
        <w:tc>
          <w:tcPr>
            <w:tcW w:w="28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Lending</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253,192</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329,939</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672,254</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921,634</w:t>
            </w: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(61,771)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(76,280)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(241,371)</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(34,445)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(41,522)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(118,924)</w:t>
            </w:r>
          </w:p>
        </w:tc>
        <w:tc>
          <w:tcPr>
            <w:tcW w:w="0" w:type="dxa"/>
            <w:vAlign w:val="bottom"/>
          </w:tcPr>
          <w:p>
            <w:pPr>
              <w:spacing w:after="0"/>
              <w:rPr>
                <w:sz w:val="1"/>
                <w:szCs w:val="1"/>
                <w:color w:val="auto"/>
              </w:rPr>
            </w:pPr>
          </w:p>
        </w:tc>
      </w:tr>
      <w:tr>
        <w:trPr>
          <w:trHeight w:val="3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 for Unsecured Lending</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156,976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212,137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561,339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2026, we renamed our Personal Lending operating segment to Unsecured Lending. The name change was administrative in nature and had no impact to the segment results or our condensed consolidated financial statements.</w:t>
      </w:r>
    </w:p>
    <w:p>
      <w:pPr>
        <w:ind w:left="500" w:hanging="492"/>
        <w:spacing w:after="0" w:line="261"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62"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Contribution Profit to Net income before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8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 - Unsecured Lending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561,339</w:t>
            </w:r>
          </w:p>
        </w:tc>
        <w:tc>
          <w:tcPr>
            <w:tcW w:w="0" w:type="dxa"/>
            <w:vAlign w:val="bottom"/>
          </w:tcPr>
          <w:p>
            <w:pPr>
              <w:spacing w:after="0"/>
              <w:rPr>
                <w:sz w:val="1"/>
                <w:szCs w:val="1"/>
                <w:color w:val="auto"/>
              </w:rPr>
            </w:pPr>
          </w:p>
        </w:tc>
      </w:tr>
      <w:tr>
        <w:trPr>
          <w:trHeight w:val="25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Contribution Profit/(Loss) - Other Segments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0" w:type="dxa"/>
            <w:vAlign w:val="bottom"/>
          </w:tcPr>
          <w:p>
            <w:pPr>
              <w:spacing w:after="0"/>
              <w:rPr>
                <w:sz w:val="1"/>
                <w:szCs w:val="1"/>
                <w:color w:val="auto"/>
              </w:rPr>
            </w:pPr>
          </w:p>
        </w:tc>
      </w:tr>
      <w:tr>
        <w:trPr>
          <w:trHeight w:val="297"/>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(35,309)</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Customer operations, net of borrower verification and</w:t>
            </w:r>
          </w:p>
        </w:tc>
        <w:tc>
          <w:tcPr>
            <w:tcW w:w="340" w:type="dxa"/>
            <w:vAlign w:val="bottom"/>
            <w:shd w:val="clear" w:color="auto" w:fill="CCEEFF"/>
          </w:tcPr>
          <w:p>
            <w:pPr>
              <w:spacing w:after="0"/>
              <w:rPr>
                <w:sz w:val="22"/>
                <w:szCs w:val="2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servicing costs</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(266,624)</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(232,900)</w:t>
            </w:r>
          </w:p>
        </w:tc>
        <w:tc>
          <w:tcPr>
            <w:tcW w:w="0" w:type="dxa"/>
            <w:vAlign w:val="bottom"/>
          </w:tcPr>
          <w:p>
            <w:pPr>
              <w:spacing w:after="0"/>
              <w:rPr>
                <w:sz w:val="1"/>
                <w:szCs w:val="1"/>
                <w:color w:val="auto"/>
              </w:rPr>
            </w:pPr>
          </w:p>
        </w:tc>
      </w:tr>
      <w:tr>
        <w:trPr>
          <w:trHeight w:val="257"/>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w:t>
            </w:r>
          </w:p>
        </w:tc>
        <w:tc>
          <w:tcPr>
            <w:tcW w:w="34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0" w:type="dxa"/>
            <w:vAlign w:val="bottom"/>
          </w:tcPr>
          <w:p>
            <w:pPr>
              <w:spacing w:after="0"/>
              <w:rPr>
                <w:sz w:val="1"/>
                <w:szCs w:val="1"/>
                <w:color w:val="auto"/>
              </w:rPr>
            </w:pPr>
          </w:p>
        </w:tc>
      </w:tr>
      <w:tr>
        <w:trPr>
          <w:trHeight w:val="243"/>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57"/>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8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Lending and Other operating segments, which did not meet the separate reporting or aggregation criteria under GAAP.</w:t>
      </w:r>
    </w:p>
    <w:p>
      <w:pPr>
        <w:spacing w:after="0" w:line="11" w:lineRule="exact"/>
        <w:rPr>
          <w:rFonts w:ascii="Times New Roman" w:cs="Times New Roman" w:eastAsia="Times New Roman" w:hAnsi="Times New Roman"/>
          <w:sz w:val="14"/>
          <w:szCs w:val="14"/>
          <w:color w:val="auto"/>
        </w:rPr>
      </w:pPr>
    </w:p>
    <w:p>
      <w:pPr>
        <w:ind w:left="500" w:hanging="492"/>
        <w:spacing w:after="0" w:line="251" w:lineRule="auto"/>
        <w:tabs>
          <w:tab w:leader="none" w:pos="49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$67.3 million and $91.2 million for the three months ended September 30, 2025 and 2026, respectively, and were $176.8 million and $285.7 million for the nine months ended September 30, 2025 and 2026, respectively.</w:t>
      </w:r>
    </w:p>
    <w:p>
      <w:pPr>
        <w:ind w:left="500" w:hanging="492"/>
        <w:spacing w:after="0" w:line="283" w:lineRule="auto"/>
        <w:tabs>
          <w:tab w:leader="none" w:pos="49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$43.9 million and $54.9 million for the three months ended September 30, 2025 and 2026, respectively, and were $117.7 million and $155.0 million for the nine months ended September 30, 2025 and 2026,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ratios, or as noted)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1"/>
                <w:szCs w:val="21"/>
                <w:color w:val="auto"/>
              </w:rPr>
            </w:pPr>
          </w:p>
        </w:tc>
        <w:tc>
          <w:tcPr>
            <w:tcW w:w="29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40"/>
        </w:trPr>
        <w:tc>
          <w:tcPr>
            <w:tcW w:w="45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258,539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364,030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989,112</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23,666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9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34,160</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35,309</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 net of borrower verification and</w:t>
            </w:r>
          </w:p>
        </w:tc>
        <w:tc>
          <w:tcPr>
            <w:tcW w:w="36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24,754</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costs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4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64,026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266,624</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76,452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232,900</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w:t>
            </w:r>
          </w:p>
        </w:tc>
        <w:tc>
          <w:tcPr>
            <w:tcW w:w="360" w:type="dxa"/>
            <w:vAlign w:val="bottom"/>
          </w:tcPr>
          <w:p>
            <w:pPr>
              <w:spacing w:after="0"/>
              <w:rPr>
                <w:sz w:val="22"/>
                <w:szCs w:val="22"/>
                <w:color w:val="auto"/>
              </w:rPr>
            </w:pPr>
          </w:p>
        </w:tc>
        <w:tc>
          <w:tcPr>
            <w:tcW w:w="12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(54,332)</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147,406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217,970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390,321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548,375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5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34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$67.3 million and $91.2 million for the three months ended September 30, 2025 and 2026, respectively, and were $176.8 million and $285.7 million for the nine months ended September 30, 2025 and 2026, respectively.</w:t>
      </w:r>
    </w:p>
    <w:p>
      <w:pPr>
        <w:ind w:left="500" w:hanging="492"/>
        <w:spacing w:after="0" w:line="283"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$43.9 million and $54.9 million for the three months ended September 30, 2025 and 2026, respectively, and were $117.7 million and $155.0 million for the nine months ended September 30, 2025 and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ratios, or as noted)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9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41"/>
        </w:trPr>
        <w:tc>
          <w:tcPr>
            <w:tcW w:w="45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277,105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370,522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747,767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1,043,444</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31,805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46,471</w:t>
            </w:r>
          </w:p>
        </w:tc>
        <w:tc>
          <w:tcPr>
            <w:tcW w:w="0" w:type="dxa"/>
            <w:vAlign w:val="bottom"/>
          </w:tcPr>
          <w:p>
            <w:pPr>
              <w:spacing w:after="0"/>
              <w:rPr>
                <w:sz w:val="1"/>
                <w:szCs w:val="1"/>
                <w:color w:val="auto"/>
              </w:rPr>
            </w:pPr>
          </w:p>
        </w:tc>
      </w:tr>
      <w:tr>
        <w:trPr>
          <w:trHeight w:val="41"/>
        </w:trPr>
        <w:tc>
          <w:tcPr>
            <w:tcW w:w="4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 Margin</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35,404</w:t>
            </w:r>
          </w:p>
        </w:tc>
        <w:tc>
          <w:tcPr>
            <w:tcW w:w="100" w:type="dxa"/>
            <w:vAlign w:val="bottom"/>
            <w:shd w:val="clear" w:color="auto" w:fill="CCEEFF"/>
          </w:tcPr>
          <w:p>
            <w:pPr>
              <w:spacing w:after="0"/>
              <w:rPr>
                <w:sz w:val="22"/>
                <w:szCs w:val="22"/>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40,945</w:t>
            </w:r>
          </w:p>
        </w:tc>
        <w:tc>
          <w:tcPr>
            <w:tcW w:w="100" w:type="dxa"/>
            <w:vAlign w:val="bottom"/>
            <w:shd w:val="clear" w:color="auto" w:fill="CCEEFF"/>
          </w:tcPr>
          <w:p>
            <w:pPr>
              <w:spacing w:after="0"/>
              <w:rPr>
                <w:sz w:val="22"/>
                <w:szCs w:val="2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105,681</w:t>
            </w:r>
          </w:p>
        </w:tc>
        <w:tc>
          <w:tcPr>
            <w:tcW w:w="100" w:type="dxa"/>
            <w:vAlign w:val="bottom"/>
            <w:shd w:val="clear" w:color="auto" w:fill="CCEEFF"/>
          </w:tcPr>
          <w:p>
            <w:pPr>
              <w:spacing w:after="0"/>
              <w:rPr>
                <w:sz w:val="22"/>
                <w:szCs w:val="22"/>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122,938</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360" w:type="dxa"/>
            <w:vAlign w:val="bottom"/>
            <w:vMerge w:val="continue"/>
            <w:shd w:val="clear" w:color="auto" w:fill="CCEEFF"/>
          </w:tcPr>
          <w:p>
            <w:pPr>
              <w:spacing w:after="0"/>
              <w:rPr>
                <w:sz w:val="23"/>
                <w:szCs w:val="23"/>
                <w:color w:val="auto"/>
              </w:rPr>
            </w:pPr>
          </w:p>
        </w:tc>
        <w:tc>
          <w:tcPr>
            <w:tcW w:w="124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vMerge w:val="continue"/>
            <w:shd w:val="clear" w:color="auto" w:fill="CCEEFF"/>
          </w:tcPr>
          <w:p>
            <w:pPr>
              <w:spacing w:after="0"/>
              <w:rPr>
                <w:sz w:val="23"/>
                <w:szCs w:val="23"/>
                <w:color w:val="auto"/>
              </w:rPr>
            </w:pPr>
          </w:p>
        </w:tc>
        <w:tc>
          <w:tcPr>
            <w:tcW w:w="104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vMerge w:val="continue"/>
            <w:shd w:val="clear" w:color="auto" w:fill="CCEEFF"/>
          </w:tcPr>
          <w:p>
            <w:pPr>
              <w:spacing w:after="0"/>
              <w:rPr>
                <w:sz w:val="23"/>
                <w:szCs w:val="23"/>
                <w:color w:val="auto"/>
              </w:rPr>
            </w:pPr>
          </w:p>
        </w:tc>
        <w:tc>
          <w:tcPr>
            <w:tcW w:w="124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vMerge w:val="continue"/>
            <w:shd w:val="clear" w:color="auto" w:fill="CCEEFF"/>
          </w:tcPr>
          <w:p>
            <w:pPr>
              <w:spacing w:after="0"/>
              <w:rPr>
                <w:sz w:val="23"/>
                <w:szCs w:val="23"/>
                <w:color w:val="auto"/>
              </w:rPr>
            </w:pPr>
          </w:p>
        </w:tc>
        <w:tc>
          <w:tcPr>
            <w:tcW w:w="10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19,103</w:t>
            </w: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expenses</w:t>
            </w:r>
          </w:p>
        </w:tc>
        <w:tc>
          <w:tcPr>
            <w:tcW w:w="3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5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15,153</w:t>
            </w: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40"/>
        </w:trPr>
        <w:tc>
          <w:tcPr>
            <w:tcW w:w="45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71,162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89,332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166,792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206,706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34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58"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2026-11-03T07:16:05Z</dcterms:created>
  <dcterms:modified xsi:type="dcterms:W3CDTF">2026-11-03T07:16:05Z</dcterms:modified>
</cp:coreProperties>
</file>