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FORM 10-K</w:t>
      </w:r>
    </w:p>
    <w:p>
      <w:pPr>
        <w:spacing w:after="0" w:line="3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(Mark One)</w:t>
      </w:r>
    </w:p>
    <w:p>
      <w:pPr>
        <w:sectPr>
          <w:pgSz w:w="11900" w:h="16838" w:orient="portrait"/>
          <w:cols w:equalWidth="0" w:num="1">
            <w:col w:w="11180"/>
          </w:cols>
          <w:pgMar w:left="320" w:top="1440" w:right="399" w:bottom="1440" w:gutter="0" w:footer="0" w:header="0"/>
        </w:sectPr>
      </w:pPr>
    </w:p>
    <w:p>
      <w:pPr>
        <w:spacing w:after="0" w:line="24" w:lineRule="exact"/>
        <w:rPr>
          <w:sz w:val="24"/>
          <w:szCs w:val="24"/>
          <w:color w:val="auto"/>
        </w:rPr>
      </w:pPr>
    </w:p>
    <w:p>
      <w:pPr>
        <w:jc w:val="center"/>
        <w:ind w:right="2060"/>
        <w:spacing w:after="0"/>
        <w:rPr>
          <w:sz w:val="20"/>
          <w:szCs w:val="20"/>
          <w:color w:val="auto"/>
        </w:rPr>
      </w:pPr>
      <w:r>
        <w:rPr>
          <w:rFonts w:ascii="Arial" w:cs="Arial" w:eastAsia="Arial" w:hAnsi="Arial"/>
          <w:sz w:val="28"/>
          <w:szCs w:val="28"/>
          <w:color w:val="auto"/>
        </w:rPr>
        <w:t>x</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2260" w:hanging="2776"/>
        <w:spacing w:after="0" w:line="279" w:lineRule="auto"/>
        <w:rPr>
          <w:sz w:val="20"/>
          <w:szCs w:val="20"/>
          <w:color w:val="auto"/>
        </w:rPr>
      </w:pPr>
      <w:r>
        <w:rPr>
          <w:rFonts w:ascii="Arial" w:cs="Arial" w:eastAsia="Arial" w:hAnsi="Arial"/>
          <w:sz w:val="16"/>
          <w:szCs w:val="16"/>
          <w:color w:val="auto"/>
        </w:rPr>
        <w:t>ANNUAL REPORT PURSUANT TO SECTION 13 OR 15(d) OF THE SECURITIES EXCHANGE ACT OF 1934 For the fiscal year ended December 31, 2020</w:t>
      </w:r>
    </w:p>
    <w:p>
      <w:pPr>
        <w:ind w:left="1340"/>
        <w:spacing w:after="0"/>
        <w:rPr>
          <w:sz w:val="20"/>
          <w:szCs w:val="20"/>
          <w:color w:val="auto"/>
        </w:rPr>
      </w:pPr>
      <w:r>
        <w:rPr>
          <w:rFonts w:ascii="Arial" w:cs="Arial" w:eastAsia="Arial" w:hAnsi="Arial"/>
          <w:sz w:val="16"/>
          <w:szCs w:val="16"/>
          <w:b w:val="1"/>
          <w:bCs w:val="1"/>
          <w:color w:val="auto"/>
        </w:rPr>
        <w:t>OR</w:t>
      </w:r>
    </w:p>
    <w:p>
      <w:pPr>
        <w:spacing w:after="0" w:line="28" w:lineRule="exact"/>
        <w:rPr>
          <w:sz w:val="24"/>
          <w:szCs w:val="24"/>
          <w:color w:val="auto"/>
        </w:rPr>
      </w:pPr>
    </w:p>
    <w:p>
      <w:pPr>
        <w:sectPr>
          <w:pgSz w:w="11900" w:h="16838" w:orient="portrait"/>
          <w:cols w:equalWidth="0" w:num="2">
            <w:col w:w="3440" w:space="720"/>
            <w:col w:w="7020"/>
          </w:cols>
          <w:pgMar w:left="320" w:top="1440" w:right="399" w:bottom="1440" w:gutter="0" w:footer="0" w:header="0"/>
          <w:type w:val="continuous"/>
        </w:sectPr>
      </w:pPr>
    </w:p>
    <w:p>
      <w:pPr>
        <w:jc w:val="center"/>
        <w:ind w:left="600"/>
        <w:spacing w:after="0"/>
        <w:rPr>
          <w:sz w:val="20"/>
          <w:szCs w:val="20"/>
          <w:color w:val="auto"/>
        </w:rPr>
      </w:pPr>
      <w:r>
        <w:rPr>
          <w:rFonts w:ascii="Arial" w:cs="Arial" w:eastAsia="Arial" w:hAnsi="Arial"/>
          <w:sz w:val="28"/>
          <w:szCs w:val="28"/>
          <w:color w:val="auto"/>
        </w:rPr>
        <w:t>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5"/>
          <w:szCs w:val="15"/>
          <w:color w:val="auto"/>
        </w:rPr>
        <w:t>TRANSITION REPORT PURSUANT TO SECTION 13 OR 15(d) OF THE SECURITIES EXCHANGE ACT OF 1934</w:t>
      </w:r>
    </w:p>
    <w:p>
      <w:pPr>
        <w:spacing w:after="0" w:line="220" w:lineRule="exact"/>
        <w:rPr>
          <w:sz w:val="24"/>
          <w:szCs w:val="24"/>
          <w:color w:val="auto"/>
        </w:rPr>
      </w:pPr>
    </w:p>
    <w:p>
      <w:pPr>
        <w:sectPr>
          <w:pgSz w:w="11900" w:h="16838" w:orient="portrait"/>
          <w:cols w:equalWidth="0" w:num="2">
            <w:col w:w="760" w:space="620"/>
            <w:col w:w="9800"/>
          </w:cols>
          <w:pgMar w:left="320" w:top="1440" w:right="399" w:bottom="1440" w:gutter="0" w:footer="0" w:header="0"/>
          <w:type w:val="continuous"/>
        </w:sectPr>
      </w:pPr>
    </w:p>
    <w:p>
      <w:pPr>
        <w:spacing w:after="0" w:line="14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For the transition period from</w:t>
      </w:r>
      <w:r>
        <w:rPr>
          <w:rFonts w:ascii="Arial" w:cs="Arial" w:eastAsia="Arial" w:hAnsi="Arial"/>
          <w:sz w:val="16"/>
          <w:szCs w:val="16"/>
          <w:b w:val="1"/>
          <w:bCs w:val="1"/>
          <w:u w:val="single" w:color="auto"/>
          <w:color w:val="auto"/>
        </w:rPr>
        <w:t>_________</w:t>
      </w:r>
      <w:r>
        <w:rPr>
          <w:rFonts w:ascii="Arial" w:cs="Arial" w:eastAsia="Arial" w:hAnsi="Arial"/>
          <w:sz w:val="16"/>
          <w:szCs w:val="16"/>
          <w:b w:val="1"/>
          <w:bCs w:val="1"/>
          <w:color w:val="auto"/>
        </w:rPr>
        <w:t xml:space="preserve">to </w:t>
      </w:r>
      <w:r>
        <w:rPr>
          <w:rFonts w:ascii="Arial" w:cs="Arial" w:eastAsia="Arial" w:hAnsi="Arial"/>
          <w:sz w:val="16"/>
          <w:szCs w:val="16"/>
          <w:b w:val="1"/>
          <w:bCs w:val="1"/>
          <w:u w:val="single" w:color="auto"/>
          <w:color w:val="auto"/>
        </w:rPr>
        <w:t>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001-39797</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Upstart Holdings, Inc.</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53"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Arial" w:cs="Arial" w:eastAsia="Arial" w:hAnsi="Arial"/>
                <w:sz w:val="16"/>
                <w:szCs w:val="16"/>
                <w:b w:val="1"/>
                <w:bCs w:val="1"/>
                <w:color w:val="auto"/>
                <w:w w:val="91"/>
              </w:rPr>
              <w:t>Delaware</w:t>
            </w:r>
          </w:p>
        </w:tc>
        <w:tc>
          <w:tcPr>
            <w:tcW w:w="326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Arial" w:cs="Arial" w:eastAsia="Arial" w:hAnsi="Arial"/>
                <w:sz w:val="16"/>
                <w:szCs w:val="16"/>
                <w:color w:val="auto"/>
                <w:w w:val="93"/>
              </w:rPr>
              <w:t>(State or other jurisdiction of</w:t>
            </w:r>
          </w:p>
        </w:tc>
        <w:tc>
          <w:tcPr>
            <w:tcW w:w="3260" w:type="dxa"/>
            <w:vAlign w:val="bottom"/>
          </w:tcPr>
          <w:p>
            <w:pPr>
              <w:jc w:val="center"/>
              <w:ind w:left="1979"/>
              <w:spacing w:after="0" w:line="162" w:lineRule="exact"/>
              <w:rPr>
                <w:sz w:val="20"/>
                <w:szCs w:val="20"/>
                <w:color w:val="auto"/>
              </w:rPr>
            </w:pPr>
            <w:r>
              <w:rPr>
                <w:rFonts w:ascii="Arial" w:cs="Arial" w:eastAsia="Arial" w:hAnsi="Arial"/>
                <w:sz w:val="16"/>
                <w:szCs w:val="16"/>
                <w:color w:val="auto"/>
                <w:w w:val="95"/>
              </w:rPr>
              <w:t>(I.R.S. Employer</w:t>
            </w:r>
          </w:p>
        </w:tc>
      </w:tr>
      <w:tr>
        <w:trPr>
          <w:trHeight w:val="206"/>
        </w:trPr>
        <w:tc>
          <w:tcPr>
            <w:tcW w:w="4020" w:type="dxa"/>
            <w:vAlign w:val="bottom"/>
          </w:tcPr>
          <w:p>
            <w:pPr>
              <w:jc w:val="center"/>
              <w:ind w:right="1979"/>
              <w:spacing w:after="0"/>
              <w:rPr>
                <w:sz w:val="20"/>
                <w:szCs w:val="20"/>
                <w:color w:val="auto"/>
              </w:rPr>
            </w:pPr>
            <w:r>
              <w:rPr>
                <w:rFonts w:ascii="Arial" w:cs="Arial" w:eastAsia="Arial" w:hAnsi="Arial"/>
                <w:sz w:val="16"/>
                <w:szCs w:val="16"/>
                <w:color w:val="auto"/>
                <w:w w:val="94"/>
              </w:rPr>
              <w:t>incorporation or organization)</w:t>
            </w:r>
          </w:p>
        </w:tc>
        <w:tc>
          <w:tcPr>
            <w:tcW w:w="3260" w:type="dxa"/>
            <w:vAlign w:val="bottom"/>
          </w:tcPr>
          <w:p>
            <w:pPr>
              <w:jc w:val="center"/>
              <w:ind w:left="1979"/>
              <w:spacing w:after="0"/>
              <w:rPr>
                <w:sz w:val="20"/>
                <w:szCs w:val="20"/>
                <w:color w:val="auto"/>
              </w:rPr>
            </w:pPr>
            <w:r>
              <w:rPr>
                <w:rFonts w:ascii="Arial" w:cs="Arial" w:eastAsia="Arial" w:hAnsi="Arial"/>
                <w:sz w:val="16"/>
                <w:szCs w:val="16"/>
                <w:color w:val="auto"/>
                <w:w w:val="96"/>
              </w:rPr>
              <w:t>Identification No.)</w:t>
            </w:r>
          </w:p>
        </w:tc>
      </w:tr>
    </w:tbl>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Upstart Holdings,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2950 S. Delaware Street, Suite 300</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San Mateo, California 94403</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(650) 204-1000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18"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8"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color w:val="auto"/>
                <w:w w:val="93"/>
              </w:rPr>
              <w:t>Title of each class:</w:t>
            </w:r>
          </w:p>
        </w:tc>
        <w:tc>
          <w:tcPr>
            <w:tcW w:w="2620" w:type="dxa"/>
            <w:vAlign w:val="bottom"/>
            <w:gridSpan w:val="3"/>
          </w:tcPr>
          <w:p>
            <w:pPr>
              <w:jc w:val="center"/>
              <w:ind w:right="540"/>
              <w:spacing w:after="0"/>
              <w:rPr>
                <w:sz w:val="20"/>
                <w:szCs w:val="20"/>
                <w:color w:val="auto"/>
              </w:rPr>
            </w:pPr>
            <w:r>
              <w:rPr>
                <w:rFonts w:ascii="Arial" w:cs="Arial" w:eastAsia="Arial" w:hAnsi="Arial"/>
                <w:sz w:val="14"/>
                <w:szCs w:val="14"/>
                <w:color w:val="auto"/>
                <w:w w:val="93"/>
              </w:rPr>
              <w:t>Trading Symbol</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98"/>
        </w:trPr>
        <w:tc>
          <w:tcPr>
            <w:tcW w:w="31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par value $0.0001 per share</w:t>
            </w:r>
          </w:p>
        </w:tc>
        <w:tc>
          <w:tcPr>
            <w:tcW w:w="580" w:type="dxa"/>
            <w:vAlign w:val="bottom"/>
          </w:tcPr>
          <w:p>
            <w:pPr>
              <w:spacing w:after="0"/>
              <w:rPr>
                <w:sz w:val="17"/>
                <w:szCs w:val="17"/>
                <w:color w:val="auto"/>
              </w:rPr>
            </w:pPr>
          </w:p>
        </w:tc>
        <w:tc>
          <w:tcPr>
            <w:tcW w:w="20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UPST</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20"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64"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92" w:lineRule="exact"/>
        <w:rPr>
          <w:sz w:val="24"/>
          <w:szCs w:val="24"/>
          <w:color w:val="auto"/>
        </w:rPr>
      </w:pPr>
    </w:p>
    <w:p>
      <w:pPr>
        <w:ind w:right="16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5"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1440" w:right="399" w:bottom="1440" w:gutter="0" w:footer="0" w:header="0"/>
          <w:type w:val="continuous"/>
        </w:sectPr>
      </w:pPr>
    </w:p>
    <w:bookmarkStart w:id="1" w:name="page2"/>
    <w:bookmarkEnd w:id="1"/>
    <w:p>
      <w:pPr>
        <w:ind w:right="5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85" w:lineRule="exact"/>
        <w:rPr>
          <w:sz w:val="20"/>
          <w:szCs w:val="20"/>
          <w:color w:val="auto"/>
        </w:r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1"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As of March 1, 2021 there were 73,621,390 shares of the registrant’s common stock outstanding.</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Portions of the registrant’s Definitive Proxy Statement for the Registrant’s 2021 Annual Meeting of Stockholders are incorporated by reference into Part III of this Annual Report on Form 10-K to the extent stated herein. Such Definitive Proxy Statement will be filed with the Securities and Exchange Commission within 120 days after the end of the registrant’s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1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2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2"/>
              </w:rPr>
              <w:t>Upstart Holdings,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20" w:type="dxa"/>
            <w:vAlign w:val="bottom"/>
            <w:gridSpan w:val="8"/>
          </w:tcPr>
          <w:p>
            <w:pPr>
              <w:jc w:val="center"/>
              <w:ind w:right="3820"/>
              <w:spacing w:after="0"/>
              <w:rPr>
                <w:sz w:val="20"/>
                <w:szCs w:val="20"/>
                <w:color w:val="auto"/>
              </w:rPr>
            </w:pPr>
            <w:r>
              <w:rPr>
                <w:rFonts w:ascii="Arial" w:cs="Arial" w:eastAsia="Arial" w:hAnsi="Arial"/>
                <w:sz w:val="18"/>
                <w:szCs w:val="18"/>
                <w:b w:val="1"/>
                <w:bCs w:val="1"/>
                <w:color w:val="auto"/>
              </w:rPr>
              <w:t>FORM 10-K</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2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6"/>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Risk Factors</w:t>
              </w:r>
            </w:hyperlink>
          </w:p>
        </w:tc>
        <w:tc>
          <w:tcPr>
            <w:tcW w:w="8540" w:type="dxa"/>
            <w:vAlign w:val="bottom"/>
            <w:gridSpan w:val="1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77">
              <w:r>
                <w:rPr>
                  <w:rFonts w:ascii="Arial" w:cs="Arial" w:eastAsia="Arial" w:hAnsi="Arial"/>
                  <w:sz w:val="18"/>
                  <w:szCs w:val="18"/>
                  <w:color w:val="0000FF"/>
                  <w:w w:val="90"/>
                </w:rPr>
                <w:t>Unresolved Staff Comments</w:t>
              </w:r>
            </w:hyperlink>
          </w:p>
        </w:tc>
        <w:tc>
          <w:tcPr>
            <w:tcW w:w="7400" w:type="dxa"/>
            <w:vAlign w:val="bottom"/>
            <w:gridSpan w:val="11"/>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78">
              <w:r>
                <w:rPr>
                  <w:rFonts w:ascii="Arial" w:cs="Arial" w:eastAsia="Arial" w:hAnsi="Arial"/>
                  <w:sz w:val="18"/>
                  <w:szCs w:val="18"/>
                  <w:color w:val="0000FF"/>
                  <w:w w:val="87"/>
                </w:rPr>
                <w:t>Properties</w:t>
              </w:r>
            </w:hyperlink>
          </w:p>
        </w:tc>
        <w:tc>
          <w:tcPr>
            <w:tcW w:w="8720" w:type="dxa"/>
            <w:vAlign w:val="bottom"/>
            <w:gridSpan w:val="18"/>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Mine Safety Disclosures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519"/>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19"/>
          </w:tcPr>
          <w:p>
            <w:pPr>
              <w:spacing w:after="0" w:line="190"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Market for Registrant’s Common Equity, Related Stockholder Matters and Issuer Purchases of Equity Securities</w:t>
              </w:r>
            </w:hyperlink>
          </w:p>
        </w:tc>
        <w:tc>
          <w:tcPr>
            <w:tcW w:w="1380" w:type="dxa"/>
            <w:vAlign w:val="bottom"/>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Selected Financial Data</w:t>
              </w:r>
            </w:hyperlink>
          </w:p>
        </w:tc>
        <w:tc>
          <w:tcPr>
            <w:tcW w:w="7740" w:type="dxa"/>
            <w:vAlign w:val="bottom"/>
            <w:gridSpan w:val="1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454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Management's Discussion and Analysis of Financial Condition</w:t>
              </w:r>
            </w:hyperlink>
          </w:p>
        </w:tc>
        <w:tc>
          <w:tcPr>
            <w:tcW w:w="492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7A.</w:t>
            </w:r>
          </w:p>
        </w:tc>
        <w:tc>
          <w:tcPr>
            <w:tcW w:w="9460" w:type="dxa"/>
            <w:vAlign w:val="bottom"/>
            <w:gridSpan w:val="20"/>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107">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2"/>
          </w:tcPr>
          <w:p>
            <w:pPr>
              <w:spacing w:after="0"/>
              <w:rPr>
                <w:sz w:val="18"/>
                <w:szCs w:val="18"/>
                <w:color w:val="auto"/>
              </w:rPr>
            </w:pPr>
          </w:p>
        </w:tc>
        <w:tc>
          <w:tcPr>
            <w:tcW w:w="5100" w:type="dxa"/>
            <w:vAlign w:val="bottom"/>
            <w:gridSpan w:val="6"/>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9460" w:type="dxa"/>
            <w:vAlign w:val="bottom"/>
            <w:gridSpan w:val="20"/>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Changes in and Disagreements with Accountants on Accounting and Financial Disclosure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164">
              <w:r>
                <w:rPr>
                  <w:rFonts w:ascii="Arial" w:cs="Arial" w:eastAsia="Arial" w:hAnsi="Arial"/>
                  <w:sz w:val="18"/>
                  <w:szCs w:val="18"/>
                  <w:color w:val="0000FF"/>
                  <w:w w:val="88"/>
                </w:rPr>
                <w:t>Controls and Procedures</w:t>
              </w:r>
            </w:hyperlink>
          </w:p>
        </w:tc>
        <w:tc>
          <w:tcPr>
            <w:tcW w:w="4700" w:type="dxa"/>
            <w:vAlign w:val="bottom"/>
            <w:tcBorders>
              <w:top w:val="single" w:sz="8" w:color="0000FF"/>
            </w:tcBorders>
            <w:gridSpan w:val="10"/>
          </w:tcPr>
          <w:p>
            <w:pPr>
              <w:spacing w:after="0"/>
              <w:rPr>
                <w:sz w:val="18"/>
                <w:szCs w:val="18"/>
                <w:color w:val="auto"/>
              </w:rPr>
            </w:pPr>
          </w:p>
        </w:tc>
        <w:tc>
          <w:tcPr>
            <w:tcW w:w="2980" w:type="dxa"/>
            <w:vAlign w:val="bottom"/>
            <w:gridSpan w:val="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9B.</w:t>
            </w:r>
          </w:p>
        </w:tc>
        <w:tc>
          <w:tcPr>
            <w:tcW w:w="9460" w:type="dxa"/>
            <w:vAlign w:val="bottom"/>
            <w:gridSpan w:val="20"/>
          </w:tcPr>
          <w:p>
            <w:pPr>
              <w:spacing w:after="0"/>
              <w:rPr>
                <w:rFonts w:ascii="Arial" w:cs="Arial" w:eastAsia="Arial" w:hAnsi="Arial"/>
                <w:sz w:val="18"/>
                <w:szCs w:val="18"/>
                <w:color w:val="0000FF"/>
              </w:rPr>
            </w:pPr>
            <w:hyperlink w:anchor="page165">
              <w:r>
                <w:rPr>
                  <w:rFonts w:ascii="Arial" w:cs="Arial" w:eastAsia="Arial" w:hAnsi="Arial"/>
                  <w:sz w:val="18"/>
                  <w:szCs w:val="18"/>
                  <w:color w:val="0000FF"/>
                </w:rPr>
                <w:t>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519"/>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3"/>
          </w:tcPr>
          <w:p>
            <w:pPr>
              <w:spacing w:after="0" w:line="190" w:lineRule="exact"/>
              <w:rPr>
                <w:rFonts w:ascii="Arial" w:cs="Arial" w:eastAsia="Arial" w:hAnsi="Arial"/>
                <w:sz w:val="18"/>
                <w:szCs w:val="18"/>
                <w:color w:val="0000FF"/>
                <w:w w:val="90"/>
              </w:rPr>
            </w:pPr>
            <w:hyperlink w:anchor="page165">
              <w:r>
                <w:rPr>
                  <w:rFonts w:ascii="Arial" w:cs="Arial" w:eastAsia="Arial" w:hAnsi="Arial"/>
                  <w:sz w:val="18"/>
                  <w:szCs w:val="18"/>
                  <w:color w:val="0000FF"/>
                  <w:w w:val="90"/>
                </w:rPr>
                <w:t>Directors, Executive Officers and Corporate Governance</w:t>
              </w:r>
            </w:hyperlink>
          </w:p>
        </w:tc>
        <w:tc>
          <w:tcPr>
            <w:tcW w:w="5360" w:type="dxa"/>
            <w:vAlign w:val="bottom"/>
            <w:gridSpan w:val="7"/>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65">
              <w:r>
                <w:rPr>
                  <w:rFonts w:ascii="Arial" w:cs="Arial" w:eastAsia="Arial" w:hAnsi="Arial"/>
                  <w:sz w:val="18"/>
                  <w:szCs w:val="18"/>
                  <w:color w:val="0000FF"/>
                  <w:w w:val="90"/>
                </w:rPr>
                <w:t>Executive Compensation</w:t>
              </w:r>
            </w:hyperlink>
          </w:p>
        </w:tc>
        <w:tc>
          <w:tcPr>
            <w:tcW w:w="7640" w:type="dxa"/>
            <w:vAlign w:val="bottom"/>
            <w:gridSpan w:val="1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165">
              <w:r>
                <w:rPr>
                  <w:rFonts w:ascii="Arial" w:cs="Arial" w:eastAsia="Arial" w:hAnsi="Arial"/>
                  <w:sz w:val="18"/>
                  <w:szCs w:val="18"/>
                  <w:color w:val="0000FF"/>
                  <w:w w:val="90"/>
                </w:rPr>
                <w:t>Security Ownership of Certain Beneficial Owners and Management and Related Stockholder Matters</w:t>
              </w:r>
            </w:hyperlink>
          </w:p>
        </w:tc>
        <w:tc>
          <w:tcPr>
            <w:tcW w:w="21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65">
              <w:r>
                <w:rPr>
                  <w:rFonts w:ascii="Arial" w:cs="Arial" w:eastAsia="Arial" w:hAnsi="Arial"/>
                  <w:sz w:val="18"/>
                  <w:szCs w:val="18"/>
                  <w:color w:val="0000FF"/>
                  <w:w w:val="89"/>
                </w:rPr>
                <w:t>Certain Relationships and Related Transactions, and Director Independence</w:t>
              </w:r>
            </w:hyperlink>
          </w:p>
        </w:tc>
        <w:tc>
          <w:tcPr>
            <w:tcW w:w="400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14.</w:t>
            </w:r>
          </w:p>
        </w:tc>
        <w:tc>
          <w:tcPr>
            <w:tcW w:w="9460" w:type="dxa"/>
            <w:vAlign w:val="bottom"/>
            <w:gridSpan w:val="20"/>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Principal Accountant Fees and Services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519"/>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FF"/>
            </w:tcBorders>
            <w:gridSpan w:val="11"/>
          </w:tcPr>
          <w:p>
            <w:pPr>
              <w:spacing w:after="0" w:line="190" w:lineRule="exact"/>
              <w:rPr>
                <w:rFonts w:ascii="Arial" w:cs="Arial" w:eastAsia="Arial" w:hAnsi="Arial"/>
                <w:sz w:val="18"/>
                <w:szCs w:val="18"/>
                <w:color w:val="0000FF"/>
                <w:w w:val="90"/>
              </w:rPr>
            </w:pPr>
            <w:hyperlink w:anchor="page166">
              <w:r>
                <w:rPr>
                  <w:rFonts w:ascii="Arial" w:cs="Arial" w:eastAsia="Arial" w:hAnsi="Arial"/>
                  <w:sz w:val="18"/>
                  <w:szCs w:val="18"/>
                  <w:color w:val="0000FF"/>
                  <w:w w:val="90"/>
                </w:rPr>
                <w:t>Exhibits and Financial Statement Schedule</w:t>
              </w:r>
            </w:hyperlink>
          </w:p>
        </w:tc>
        <w:tc>
          <w:tcPr>
            <w:tcW w:w="6360" w:type="dxa"/>
            <w:vAlign w:val="bottom"/>
            <w:gridSpan w:val="9"/>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69">
              <w:r>
                <w:rPr>
                  <w:rFonts w:ascii="Arial" w:cs="Arial" w:eastAsia="Arial" w:hAnsi="Arial"/>
                  <w:sz w:val="18"/>
                  <w:szCs w:val="18"/>
                  <w:color w:val="0000FF"/>
                  <w:w w:val="92"/>
                </w:rPr>
                <w:t>Form 10-K Summary</w:t>
              </w:r>
            </w:hyperlink>
          </w:p>
        </w:tc>
        <w:tc>
          <w:tcPr>
            <w:tcW w:w="7900" w:type="dxa"/>
            <w:vAlign w:val="bottom"/>
            <w:gridSpan w:val="15"/>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4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Annual Report on Form 10-K include statements about:</w:t>
      </w:r>
    </w:p>
    <w:p>
      <w:pPr>
        <w:spacing w:after="0" w:line="125" w:lineRule="exact"/>
        <w:rPr>
          <w:sz w:val="20"/>
          <w:szCs w:val="20"/>
          <w:color w:val="auto"/>
        </w:rPr>
      </w:pPr>
    </w:p>
    <w:p>
      <w:pPr>
        <w:ind w:left="660" w:right="40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our operating expenses, our ability to determine reserves and our ability to remain profitable;</w:t>
      </w:r>
    </w:p>
    <w:p>
      <w:pPr>
        <w:spacing w:after="0" w:line="8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 and our expectations that improvements in our AI models can lead to higher approval rates and lower interest rates;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increase the volume of loans facilitated by our AI lending platform;</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maintain a diversified loan funding strategy, including bank partnerships and whole loan sales and securitization transactions;</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competitive interest rates offered to borrowers on our platform, while enabling our bank partners to achieve an adequate return over their cost of funding;</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build our brand and protect our reputation from negative publicity;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increase the effectiveness of our marketing strategies, including our direct consumer marketing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business and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and management of future growth, including expanding the number of potential borrowers;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adjust our proprietary AI models, products and services in a timely manner in response to changing macroeconomic conditions and fluctuations in the credit market;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compliance with applicable local, state and federal laws;</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and successfully adapt to complex and evolving regulatory environments, including regulation of artificial intelligence and machine learning technology;</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regulatory support of our approach to AI-based lending, including our ongoing discussions with the Consumer Financial Protection Bureau, or CFPB;</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against increasingly sophisticated fraudulent borrowing and online theft;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service loans and the ability of third-party collection agents, to pursue collection of delinquent and defaulted loans;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compete with companies that are currently in, or may in the future enter, the markets in which we operate;</w:t>
      </w:r>
    </w:p>
    <w:p>
      <w:pPr>
        <w:spacing w:after="0" w:line="144"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new and evolving markets and our ability enter into new markets and introduce new products and services, such as our recent introduction of auto loans;</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secure and maintain the confidentiality of the information received, accessed, stored, provided and used across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4" w:name="page5"/>
    <w:bookmarkEnd w:id="4"/>
    <w:p>
      <w:pPr>
        <w:spacing w:after="0" w:line="13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obtain and maintain funding and liquidity to support continued growth and general corporate purposes;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integrate and retain qualified employees;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and expand the capabilities of our operations teams, outsourcing relationships and other business operations;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outstanding litigation and regulatory investigations;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mission is to enable effortless credit based on true risk.</w:t>
      </w:r>
    </w:p>
    <w:p>
      <w:pPr>
        <w:spacing w:after="0" w:line="239" w:lineRule="exact"/>
        <w:rPr>
          <w:sz w:val="20"/>
          <w:szCs w:val="20"/>
          <w:color w:val="auto"/>
        </w:rPr>
      </w:pPr>
    </w:p>
    <w:p>
      <w:pPr>
        <w:jc w:val="both"/>
        <w:ind w:firstLine="551"/>
        <w:spacing w:after="0" w:line="301" w:lineRule="auto"/>
        <w:rPr>
          <w:sz w:val="20"/>
          <w:szCs w:val="20"/>
          <w:color w:val="auto"/>
        </w:rPr>
      </w:pPr>
      <w:r>
        <w:rPr>
          <w:rFonts w:ascii="Arial" w:cs="Arial" w:eastAsia="Arial" w:hAnsi="Arial"/>
          <w:sz w:val="16"/>
          <w:szCs w:val="16"/>
          <w:color w:val="auto"/>
        </w:rPr>
        <w:t>We are a leading, cloud-based AI lending platform.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w:t>
      </w:r>
    </w:p>
    <w:p>
      <w:pPr>
        <w:spacing w:after="0" w:line="184"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p>
    <w:p>
      <w:pPr>
        <w:spacing w:after="0" w:line="215" w:lineRule="exact"/>
        <w:rPr>
          <w:sz w:val="20"/>
          <w:szCs w:val="20"/>
          <w:color w:val="auto"/>
        </w:rPr>
      </w:pPr>
    </w:p>
    <w:p>
      <w:pPr>
        <w:jc w:val="both"/>
        <w:ind w:firstLine="713"/>
        <w:spacing w:after="0" w:line="296" w:lineRule="auto"/>
        <w:rPr>
          <w:sz w:val="20"/>
          <w:szCs w:val="20"/>
          <w:color w:val="auto"/>
        </w:rPr>
      </w:pPr>
      <w:r>
        <w:rPr>
          <w:rFonts w:ascii="Arial" w:cs="Arial" w:eastAsia="Arial" w:hAnsi="Arial"/>
          <w:sz w:val="16"/>
          <w:szCs w:val="16"/>
          <w:color w:val="auto"/>
        </w:rPr>
        <w:t>We leverage the power of AI to more accurately quantify the true risk of a loan. Our AI models have been continuously upgraded, trained and refined for more than eight years. We have discrete AI models that target fee optimization, income fraud, acquisition targeting, loan stacking, prepayment prediction, identity fraud and time-delimited default prediction. Our models incorporate more than 1,000 variables and benefit from a rapidly growing training dataset that currently contains more than 10.5 million repayment events. The network effects generated by our constantly improving AI models provide a significant competitive advantage—more training data leads to higher approval rates and lower interest rates at the same loss rate.</w:t>
      </w:r>
    </w:p>
    <w:p>
      <w:pPr>
        <w:spacing w:after="0" w:line="18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216" w:lineRule="exact"/>
        <w:rPr>
          <w:sz w:val="20"/>
          <w:szCs w:val="20"/>
          <w:color w:val="auto"/>
        </w:rPr>
      </w:pPr>
    </w:p>
    <w:p>
      <w:pPr>
        <w:jc w:val="both"/>
        <w:ind w:right="20" w:firstLine="551"/>
        <w:spacing w:after="0" w:line="277" w:lineRule="auto"/>
        <w:rPr>
          <w:sz w:val="20"/>
          <w:szCs w:val="20"/>
          <w:color w:val="auto"/>
        </w:rPr>
      </w:pPr>
      <w:r>
        <w:rPr>
          <w:rFonts w:ascii="Arial" w:cs="Arial" w:eastAsia="Arial" w:hAnsi="Arial"/>
          <w:sz w:val="18"/>
          <w:szCs w:val="18"/>
          <w:color w:val="auto"/>
        </w:rPr>
        <w:t>Consumers can discover Upstart-powered loans in one of two ways: either via Upstart.com or through a bank-branded product on our bank partners’ own websites.</w:t>
      </w:r>
    </w:p>
    <w:p>
      <w:pPr>
        <w:spacing w:after="0" w:line="197" w:lineRule="exact"/>
        <w:rPr>
          <w:sz w:val="20"/>
          <w:szCs w:val="20"/>
          <w:color w:val="auto"/>
        </w:rPr>
      </w:pPr>
    </w:p>
    <w:p>
      <w:pPr>
        <w:jc w:val="both"/>
        <w:ind w:firstLine="551"/>
        <w:spacing w:after="0" w:line="289" w:lineRule="auto"/>
        <w:rPr>
          <w:sz w:val="20"/>
          <w:szCs w:val="20"/>
          <w:color w:val="auto"/>
        </w:rPr>
      </w:pPr>
      <w:r>
        <w:rPr>
          <w:rFonts w:ascii="Arial" w:cs="Arial" w:eastAsia="Arial" w:hAnsi="Arial"/>
          <w:sz w:val="16"/>
          <w:szCs w:val="16"/>
          <w:color w:val="auto"/>
        </w:rPr>
        <w:t>Loans issued through our platform can be retained by our originating bank partners, distributed to our broad base of institutional investors and buyers that invest in Upstart-powered loans or funded by Upstart’s balance sheet. In the year ended December 31, 2020, 21% of the loans funded through our platform were retained by the originating bank and 77% of loans were purchased by institutional investors through our loan funding programs. Our institutional investors and buyers that participate in our loan funding programs invest in Upstart-powered loans through whole loan purchases, purchases of pass-through certificates and investments in asset-backed securitizations. A large fraction of the whole loans sold to institutional investors under our loan funding programs are originated by Cross River Bank, or CRB. In the year ended December 31, 2020, CRB originated 67% of the loans facilitated on our platform and fees received from CRB accounted for 63% of our total revenue. Our current agreement with CRB began on January 1, 2019 and has an initial four year term, with a renewal term for an additional two years following the initial four year term. We enter into nonexclusive agreements with our whole loan purchasers and each of the grantor trust entities in our asset-backed securitizations, pursuant to which we provide loan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6" w:name="page7"/>
    <w:bookmarkEnd w:id="6"/>
    <w:p>
      <w:pPr>
        <w:jc w:val="both"/>
        <w:ind w:firstLine="551"/>
        <w:spacing w:after="0" w:line="296" w:lineRule="auto"/>
        <w:rPr>
          <w:sz w:val="20"/>
          <w:szCs w:val="20"/>
          <w:color w:val="auto"/>
        </w:rPr>
      </w:pPr>
      <w:r>
        <w:rPr>
          <w:rFonts w:ascii="Arial" w:cs="Arial" w:eastAsia="Arial" w:hAnsi="Arial"/>
          <w:sz w:val="16"/>
          <w:szCs w:val="16"/>
          <w:color w:val="auto"/>
        </w:rPr>
        <w:t>Our revenue is primarily comprised of fees paid by banks. We charge banks referral fees for each loan referred through Upstart.com and originated by a bank partner, platform fees for each loan originated, regardless of its source, and loan servicing fees as consumers repay their loans. Our agreements with our bank partners are nonexclusive, generally have 12-month terms that automatically renew, subject to certain early termination provisions and minimum fee amounts, and do not include any minimum origination obligation or origination limits. As a usage-based platform, we target positive unit economics on each transaction, resulting in a cash efficient business model that features both high growth rates and profitability.</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AI Lending Platform</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AI models are central to our value proposition and unique position in the industry. Our models incorporate more than 1,000 variables, which are analogous to the columns in a spreadsheet. They have been trained by more than 10.5 million repayment events, analogous to rows of data in a spreadsheet.</w:t>
      </w:r>
    </w:p>
    <w:p>
      <w:pPr>
        <w:spacing w:after="0" w:line="211" w:lineRule="exact"/>
        <w:rPr>
          <w:sz w:val="20"/>
          <w:szCs w:val="20"/>
          <w:color w:val="auto"/>
        </w:rPr>
      </w:pPr>
    </w:p>
    <w:p>
      <w:pPr>
        <w:jc w:val="both"/>
        <w:ind w:firstLine="551"/>
        <w:spacing w:after="0" w:line="273" w:lineRule="auto"/>
        <w:rPr>
          <w:sz w:val="20"/>
          <w:szCs w:val="20"/>
          <w:color w:val="auto"/>
        </w:rPr>
      </w:pPr>
      <w:r>
        <w:rPr>
          <w:rFonts w:ascii="Arial" w:cs="Arial" w:eastAsia="Arial" w:hAnsi="Arial"/>
          <w:sz w:val="17"/>
          <w:szCs w:val="17"/>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w:t>
      </w:r>
      <w:r>
        <w:rPr>
          <w:rFonts w:ascii="Arial" w:cs="Arial" w:eastAsia="Arial" w:hAnsi="Arial"/>
          <w:sz w:val="17"/>
          <w:szCs w:val="17"/>
          <w:i w:val="1"/>
          <w:iCs w:val="1"/>
          <w:color w:val="auto"/>
        </w:rPr>
        <w:t>Business—Evolution of Upstart’s AI Model</w:t>
      </w:r>
      <w:r>
        <w:rPr>
          <w:rFonts w:ascii="Arial" w:cs="Arial" w:eastAsia="Arial" w:hAnsi="Arial"/>
          <w:sz w:val="17"/>
          <w:szCs w:val="17"/>
          <w:color w:val="auto"/>
        </w:rPr>
        <w:t>.”</w:t>
      </w:r>
    </w:p>
    <w:p>
      <w:pPr>
        <w:spacing w:after="0" w:line="205"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Ecosystem</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platform connects consumers, banks and institutional investors through a shared AI lending platform. Because AI is a new and disruptive technology, and banking is a traditionally conservative industry, we have brought our technology to market in a way that allows us to grow rapidly and improve on our AI models, while allowing banks to take a prudent and responsible approach to assessing and adopting our platform.</w:t>
      </w:r>
    </w:p>
    <w:p>
      <w:pPr>
        <w:spacing w:after="0" w:line="192"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bank-branded interface on their own website or mobile application. Consumers on our platform are generally offered unsecured personal loans ranging from $1,000 to $50,000 in size, at APRs typically ranging from approximately 6.5% to 35.99%, with terms typically ranging from three to seven years, with a monthly repayment schedule and no prepayment penalty.</w:t>
      </w:r>
    </w:p>
    <w:p>
      <w:pPr>
        <w:spacing w:after="0" w:line="215"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On the funding side, our bank partners can retain loans that align with their business and risk objectives; loan volumes exceeding their collective funding capacity or risk tolerance can be flowed through the CRB conduit and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7" w:name="page8"/>
    <w:bookmarkEnd w:id="7"/>
    <w:p>
      <w:pPr>
        <w:spacing w:after="0" w:line="130" w:lineRule="exact"/>
        <w:rPr>
          <w:sz w:val="20"/>
          <w:szCs w:val="20"/>
          <w:color w:val="auto"/>
        </w:rPr>
      </w:pPr>
    </w:p>
    <w:p>
      <w:pPr>
        <w:jc w:val="both"/>
        <w:ind w:left="1300" w:right="400" w:hanging="320"/>
        <w:spacing w:after="0" w:line="243" w:lineRule="auto"/>
        <w:tabs>
          <w:tab w:leader="none" w:pos="12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Higher approval rates and lower interest rates</w:t>
      </w:r>
      <w:r>
        <w:rPr>
          <w:rFonts w:ascii="Arial" w:cs="Arial" w:eastAsia="Arial" w:hAnsi="Arial"/>
          <w:sz w:val="18"/>
          <w:szCs w:val="18"/>
          <w:color w:val="auto"/>
        </w:rPr>
        <w:t>—The CFPB reported that a study by Upstart of its data using a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by the CFPB, showed that our AI model approves 27% more borrowers than high-quality traditional lending models with a 16% lower average APR for approved loans. Our analyses suggest that our loan offers have improved significantly over time relative to those of competitors.</w:t>
      </w:r>
    </w:p>
    <w:p>
      <w:pPr>
        <w:spacing w:after="0" w:line="349" w:lineRule="exact"/>
        <w:rPr>
          <w:rFonts w:ascii="Arial" w:cs="Arial" w:eastAsia="Arial" w:hAnsi="Arial"/>
          <w:sz w:val="18"/>
          <w:szCs w:val="18"/>
          <w:i w:val="1"/>
          <w:iCs w:val="1"/>
          <w:color w:val="auto"/>
        </w:rPr>
      </w:pPr>
    </w:p>
    <w:p>
      <w:pPr>
        <w:jc w:val="both"/>
        <w:ind w:left="1300" w:right="400" w:hanging="320"/>
        <w:spacing w:after="0" w:line="279" w:lineRule="auto"/>
        <w:tabs>
          <w:tab w:leader="none" w:pos="129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Superior digital experience</w:t>
      </w:r>
      <w:r>
        <w:rPr>
          <w:rFonts w:ascii="Arial" w:cs="Arial" w:eastAsia="Arial" w:hAnsi="Arial"/>
          <w:sz w:val="16"/>
          <w:szCs w:val="16"/>
          <w:color w:val="auto"/>
        </w:rPr>
        <w:t>—Whether consumers apply for a loan through Upstart.com or directly through a bank partner’s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experience is streamlined into a single application process and the loan offers provided are firm. In the year ended December 31, 2020, approximately 70%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Bank Partners</w:t>
      </w:r>
    </w:p>
    <w:p>
      <w:pPr>
        <w:spacing w:after="0" w:line="144" w:lineRule="exact"/>
        <w:rPr>
          <w:sz w:val="20"/>
          <w:szCs w:val="20"/>
          <w:color w:val="auto"/>
        </w:rPr>
      </w:pPr>
    </w:p>
    <w:p>
      <w:pPr>
        <w:ind w:left="1300" w:right="420" w:hanging="320"/>
        <w:spacing w:after="0" w:line="261" w:lineRule="auto"/>
        <w:tabs>
          <w:tab w:leader="none" w:pos="129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Competitive digital lending experienc</w:t>
      </w:r>
      <w:r>
        <w:rPr>
          <w:rFonts w:ascii="Arial" w:cs="Arial" w:eastAsia="Arial" w:hAnsi="Arial"/>
          <w:sz w:val="18"/>
          <w:szCs w:val="18"/>
          <w:color w:val="auto"/>
        </w:rPr>
        <w:t>e—We provide regional banks and credit unions with a cost effective way to compete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budgets of their much larger competitors.</w:t>
      </w:r>
    </w:p>
    <w:p>
      <w:pPr>
        <w:spacing w:after="0" w:line="103" w:lineRule="exact"/>
        <w:rPr>
          <w:rFonts w:ascii="Arial" w:cs="Arial" w:eastAsia="Arial" w:hAnsi="Arial"/>
          <w:sz w:val="18"/>
          <w:szCs w:val="18"/>
          <w:i w:val="1"/>
          <w:iCs w:val="1"/>
          <w:color w:val="auto"/>
        </w:rPr>
      </w:pPr>
    </w:p>
    <w:p>
      <w:pPr>
        <w:ind w:left="1300" w:right="420" w:hanging="320"/>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Expanded customer bas</w:t>
      </w:r>
      <w:r>
        <w:rPr>
          <w:rFonts w:ascii="Arial" w:cs="Arial" w:eastAsia="Arial" w:hAnsi="Arial"/>
          <w:sz w:val="18"/>
          <w:szCs w:val="18"/>
          <w:color w:val="auto"/>
        </w:rPr>
        <w:t>e—We refer customers that apply for loans through Upstart.com to our bank partners, helping them grow</w:t>
      </w:r>
      <w:r>
        <w:rPr>
          <w:rFonts w:ascii="Arial" w:cs="Arial" w:eastAsia="Arial" w:hAnsi="Arial"/>
          <w:sz w:val="18"/>
          <w:szCs w:val="18"/>
          <w:i w:val="1"/>
          <w:iCs w:val="1"/>
          <w:color w:val="auto"/>
        </w:rPr>
        <w:t xml:space="preserve"> </w:t>
      </w:r>
      <w:r>
        <w:rPr>
          <w:rFonts w:ascii="Arial" w:cs="Arial" w:eastAsia="Arial" w:hAnsi="Arial"/>
          <w:sz w:val="18"/>
          <w:szCs w:val="18"/>
          <w:color w:val="auto"/>
        </w:rPr>
        <w:t>both loan volumes and number of customers.</w:t>
      </w:r>
    </w:p>
    <w:p>
      <w:pPr>
        <w:spacing w:after="0" w:line="89" w:lineRule="exact"/>
        <w:rPr>
          <w:rFonts w:ascii="Arial" w:cs="Arial" w:eastAsia="Arial" w:hAnsi="Arial"/>
          <w:sz w:val="18"/>
          <w:szCs w:val="18"/>
          <w:color w:val="auto"/>
        </w:rPr>
      </w:pPr>
    </w:p>
    <w:p>
      <w:pPr>
        <w:jc w:val="both"/>
        <w:ind w:left="1300" w:right="400" w:hanging="320"/>
        <w:spacing w:after="0" w:line="276"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Lower loss rates</w:t>
      </w:r>
      <w:r>
        <w:rPr>
          <w:rFonts w:ascii="Arial" w:cs="Arial" w:eastAsia="Arial" w:hAnsi="Arial"/>
          <w:sz w:val="16"/>
          <w:szCs w:val="16"/>
          <w:color w:val="auto"/>
        </w:rPr>
        <w:t>—An internal study comparing our model to that of several large U.S. banks found that our model could enable</w:t>
      </w:r>
      <w:r>
        <w:rPr>
          <w:rFonts w:ascii="Arial" w:cs="Arial" w:eastAsia="Arial" w:hAnsi="Arial"/>
          <w:sz w:val="16"/>
          <w:szCs w:val="16"/>
          <w:i w:val="1"/>
          <w:iCs w:val="1"/>
          <w:color w:val="auto"/>
        </w:rPr>
        <w:t xml:space="preserve"> </w:t>
      </w:r>
      <w:r>
        <w:rPr>
          <w:rFonts w:ascii="Arial" w:cs="Arial" w:eastAsia="Arial" w:hAnsi="Arial"/>
          <w:sz w:val="16"/>
          <w:szCs w:val="16"/>
          <w:color w:val="auto"/>
        </w:rPr>
        <w:t>these banks to lower loss rates by almost 75% while keeping approval rates constant. In this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94" w:lineRule="exact"/>
        <w:rPr>
          <w:rFonts w:ascii="Arial" w:cs="Arial" w:eastAsia="Arial" w:hAnsi="Arial"/>
          <w:sz w:val="16"/>
          <w:szCs w:val="16"/>
          <w:color w:val="auto"/>
        </w:rPr>
      </w:pPr>
    </w:p>
    <w:p>
      <w:pPr>
        <w:ind w:left="1300" w:right="400" w:hanging="320"/>
        <w:spacing w:after="0" w:line="261"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New product offering</w:t>
      </w:r>
      <w:r>
        <w:rPr>
          <w:rFonts w:ascii="Arial" w:cs="Arial" w:eastAsia="Arial" w:hAnsi="Arial"/>
          <w:sz w:val="18"/>
          <w:szCs w:val="18"/>
          <w:color w:val="auto"/>
        </w:rPr>
        <w:t>—Personal loans are one of the fastest-growing segments of credit in the U.S. Our platform helps banks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product their customers want, rather than letting customers seek loans from competitors.</w:t>
      </w:r>
    </w:p>
    <w:p>
      <w:pPr>
        <w:spacing w:after="0" w:line="103" w:lineRule="exact"/>
        <w:rPr>
          <w:rFonts w:ascii="Arial" w:cs="Arial" w:eastAsia="Arial" w:hAnsi="Arial"/>
          <w:sz w:val="18"/>
          <w:szCs w:val="18"/>
          <w:color w:val="auto"/>
        </w:rPr>
      </w:pPr>
    </w:p>
    <w:p>
      <w:pPr>
        <w:jc w:val="both"/>
        <w:ind w:left="1300" w:right="400" w:hanging="320"/>
        <w:spacing w:after="0" w:line="24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Institutional investor acceptance</w:t>
      </w:r>
      <w:r>
        <w:rPr>
          <w:rFonts w:ascii="Arial" w:cs="Arial" w:eastAsia="Arial" w:hAnsi="Arial"/>
          <w:sz w:val="18"/>
          <w:szCs w:val="18"/>
          <w:color w:val="auto"/>
        </w:rPr>
        <w:t>—Analyses by credit rating agencies, loan and bond buying institutions, and credit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help banks gain confidence that Upstart-powered loans are subject to significant and constant scrutiny from experts, the results of which are often publicly available.</w:t>
      </w:r>
    </w:p>
    <w:p>
      <w:pPr>
        <w:spacing w:after="0" w:line="20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Our Competitive Strengths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Constantly Improving AI Models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been building and refining our AI models for more than eight years, and they have led directly to our growth and profitability. Our models currently incorporate more than 1,000 variables and are trained by more than 10.5 million repayment events. Beyond the advantages accrued by our constantly growing volume of training data, our machine learning team continues to update our modeling techniques regularly. Model and technology improvements have increased our conversion rate over time.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Two-Sided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8" w:name="page9"/>
    <w:bookmarkEnd w:id="8"/>
    <w:p>
      <w:pPr>
        <w:jc w:val="both"/>
        <w:ind w:firstLine="648"/>
        <w:spacing w:after="0" w:line="263" w:lineRule="auto"/>
        <w:rPr>
          <w:sz w:val="20"/>
          <w:szCs w:val="20"/>
          <w:color w:val="auto"/>
        </w:rPr>
      </w:pPr>
      <w:r>
        <w:rPr>
          <w:rFonts w:ascii="Arial" w:cs="Arial" w:eastAsia="Arial" w:hAnsi="Arial"/>
          <w:sz w:val="18"/>
          <w:szCs w:val="18"/>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an expanding list of bank partners, we can solve the borrowing needs of an increasingly diverse array of consumers.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Efficient Fee-Based Business</w:t>
      </w:r>
    </w:p>
    <w:p>
      <w:pPr>
        <w:spacing w:after="0" w:line="239"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In the year ended December 31, 2020, we generated 98% of revenue from fees from banks and loan servicing. We have also achieved a high degree of automation, with approximately 70% of Upstart-powered loans approved instantly and fully automated in the year ended December 31, 2020, driving operating leverage and improving unit economics.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Compliance</w:t>
      </w:r>
    </w:p>
    <w:p>
      <w:pPr>
        <w:spacing w:after="0" w:line="239"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7"/>
          <w:szCs w:val="17"/>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2017, we received the CFPB’s first no-action letter. The CFPB issues no-action letters to reduce potential regulatory uncertainty for innovative products that may offer significant consumer benefit. On November 30, 2020, at the expiration of our first no-action letter, we received a new no-action letter from the CFPB, which expires on November 30, 2023. At this time, we do not know of any other lending platforms that have received similar no-action letters for fair lending from the CFPB.</w:t>
      </w:r>
    </w:p>
    <w:p>
      <w:pPr>
        <w:spacing w:after="0" w:line="2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Our Growth Strategy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Model Improvements</w:t>
      </w:r>
    </w:p>
    <w:p>
      <w:pPr>
        <w:spacing w:after="0" w:line="239"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Efficient Funding</w:t>
      </w:r>
    </w:p>
    <w:p>
      <w:pPr>
        <w:spacing w:after="0" w:line="239" w:lineRule="exact"/>
        <w:rPr>
          <w:sz w:val="20"/>
          <w:szCs w:val="20"/>
          <w:color w:val="auto"/>
        </w:rPr>
      </w:pPr>
    </w:p>
    <w:p>
      <w:pPr>
        <w:jc w:val="both"/>
        <w:ind w:firstLine="551"/>
        <w:spacing w:after="0" w:line="301" w:lineRule="auto"/>
        <w:rPr>
          <w:sz w:val="20"/>
          <w:szCs w:val="20"/>
          <w:color w:val="auto"/>
        </w:rPr>
      </w:pPr>
      <w:r>
        <w:rPr>
          <w:rFonts w:ascii="Arial" w:cs="Arial" w:eastAsia="Arial" w:hAnsi="Arial"/>
          <w:sz w:val="16"/>
          <w:szCs w:val="16"/>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over time, based on market conditions and as credit rating agencies and loan and residual buyers gain confidence in the credit performance of Upstart-powered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Distribution</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bank-branded versions of Upstart to serve their new and existing customers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New Products</w:t>
      </w:r>
    </w:p>
    <w:p>
      <w:pPr>
        <w:spacing w:after="0" w:line="239"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Personal loans are one of the fastest-growing segments of consumer credit in the U.S., but they are far from the largest. As we apply our AI models and technology to other credit verticals, we will be able to serve the needs of more consumers and to play a broader technology enablement role for our bank partners. There is significant opportunity to expand from personal loans to auto loans, credit cards, mortgages, student loans, point-of-sale loans and home equity lines of credit (“HELOC”). In June 2020, we began offering auto loans on our platform and in September 2020, the first auto loan was originated through the Upstart platform.</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Platform</w:t>
      </w:r>
    </w:p>
    <w:p>
      <w:pPr>
        <w:spacing w:after="0" w:line="243"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color w:val="auto"/>
        </w:rPr>
        <w:t>Our AI lending platform enables banks to provide consumers access to credit. The first credit product offered through our platform was an unsecured personal loan.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Consumers</w:t>
      </w:r>
    </w:p>
    <w:p>
      <w:pPr>
        <w:spacing w:after="0" w:line="239"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We have built a mobile-responsive web application at Upstart.com, where consumers can quickly and easily inquire about a rate, evaluate and choose a loan offer, provide necessary information for verification and review required disclosures before final acceptance of the loan. A virtually identical experience is also offered as a bank-branded product on bank partners’ websites. In the year ended December, 31, 2020, over half of consumers that received an Upstart-powered loan applied for such loan on their mobile phone.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Partners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platform is designed to help our bank partners originate loans according to their unique requirements. In order to do this, we provide a wide variety of options for banks to define and control their lending program.</w:t>
      </w:r>
    </w:p>
    <w:p>
      <w:pPr>
        <w:spacing w:after="0" w:line="6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Upstart Referral Network</w:t>
      </w:r>
      <w:r>
        <w:rPr>
          <w:rFonts w:ascii="Arial" w:cs="Arial" w:eastAsia="Arial" w:hAnsi="Arial"/>
          <w:sz w:val="17"/>
          <w:szCs w:val="17"/>
          <w:color w:val="auto"/>
        </w:rPr>
        <w:t>—Once we aggregate consumer demand on our website, we pass those customers to our bank partners.</w:t>
      </w:r>
    </w:p>
    <w:p>
      <w:pPr>
        <w:spacing w:after="0" w:line="115" w:lineRule="exact"/>
        <w:rPr>
          <w:rFonts w:ascii="Arial" w:cs="Arial" w:eastAsia="Arial" w:hAnsi="Arial"/>
          <w:sz w:val="17"/>
          <w:szCs w:val="17"/>
          <w:i w:val="1"/>
          <w:iCs w:val="1"/>
          <w:color w:val="auto"/>
        </w:rPr>
      </w:pPr>
    </w:p>
    <w:p>
      <w:pPr>
        <w:ind w:left="980" w:right="420" w:hanging="324"/>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Bank-branded product</w:t>
      </w:r>
      <w:r>
        <w:rPr>
          <w:rFonts w:ascii="Arial" w:cs="Arial" w:eastAsia="Arial" w:hAnsi="Arial"/>
          <w:sz w:val="18"/>
          <w:szCs w:val="18"/>
          <w:color w:val="auto"/>
        </w:rPr>
        <w:t>—Bank partners can serve customers with a bank-branded Upstart application on their own website or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w:t>
      </w:r>
    </w:p>
    <w:p>
      <w:pPr>
        <w:spacing w:after="0" w:line="62" w:lineRule="exact"/>
        <w:rPr>
          <w:rFonts w:ascii="Arial" w:cs="Arial" w:eastAsia="Arial" w:hAnsi="Arial"/>
          <w:sz w:val="18"/>
          <w:szCs w:val="18"/>
          <w:color w:val="auto"/>
        </w:rPr>
      </w:pPr>
    </w:p>
    <w:p>
      <w:pPr>
        <w:jc w:val="both"/>
        <w:ind w:left="980" w:right="400" w:hanging="324"/>
        <w:spacing w:after="0" w:line="248"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Configurations</w:t>
      </w:r>
      <w:r>
        <w:rPr>
          <w:rFonts w:ascii="Arial" w:cs="Arial" w:eastAsia="Arial" w:hAnsi="Arial"/>
          <w:sz w:val="18"/>
          <w:szCs w:val="18"/>
          <w:color w:val="auto"/>
        </w:rPr>
        <w:t>—Because banks have complete authority and control over their lending programs, our bank partners predetermine many</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their loan offering, including interest rate and loan size ranges, maximum target loss rate, minimum credit score, maximum debt-to-income ratio, target returns for various risk profiles, fee structures and disclosures.</w:t>
      </w:r>
    </w:p>
    <w:p>
      <w:pPr>
        <w:spacing w:after="0" w:line="73" w:lineRule="exact"/>
        <w:rPr>
          <w:rFonts w:ascii="Arial" w:cs="Arial" w:eastAsia="Arial" w:hAnsi="Arial"/>
          <w:sz w:val="18"/>
          <w:szCs w:val="18"/>
          <w:color w:val="auto"/>
        </w:rPr>
      </w:pPr>
    </w:p>
    <w:p>
      <w:pPr>
        <w:jc w:val="both"/>
        <w:ind w:left="980" w:right="400" w:hanging="324"/>
        <w:spacing w:after="0" w:line="248"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—While most bank partners choose to have us service their loans (through a bank-branded servicing portal), each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of directly servicing loans itself. Our servicing platform manages all communication with borrowers, credit reporting agencies, and when necessary, collections agencies.</w:t>
      </w:r>
    </w:p>
    <w:p>
      <w:pPr>
        <w:spacing w:after="0" w:line="73" w:lineRule="exact"/>
        <w:rPr>
          <w:rFonts w:ascii="Arial" w:cs="Arial" w:eastAsia="Arial" w:hAnsi="Arial"/>
          <w:sz w:val="18"/>
          <w:szCs w:val="18"/>
          <w:color w:val="auto"/>
        </w:rPr>
      </w:pPr>
    </w:p>
    <w:p>
      <w:pPr>
        <w:jc w:val="both"/>
        <w:ind w:left="980" w:right="400" w:hanging="324"/>
        <w:spacing w:after="0" w:line="294"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Access to capital markets</w:t>
      </w:r>
      <w:r>
        <w:rPr>
          <w:rFonts w:ascii="Arial" w:cs="Arial" w:eastAsia="Arial" w:hAnsi="Arial"/>
          <w:sz w:val="16"/>
          <w:szCs w:val="16"/>
          <w:color w:val="auto"/>
        </w:rPr>
        <w:t>— We have built a broad network of institutional investors who provide funding support to bank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secondary loan purchasing, issuance of pass-through certificates and investment in asset-backed securitizations. A significant portion of the loans originated by our partner Cross River Bank are sold to institutional investors through one of our funding programs.</w:t>
      </w:r>
    </w:p>
    <w:p>
      <w:pPr>
        <w:spacing w:after="0" w:line="200" w:lineRule="exact"/>
        <w:rPr>
          <w:sz w:val="20"/>
          <w:szCs w:val="20"/>
          <w:color w:val="auto"/>
        </w:rPr>
      </w:pPr>
    </w:p>
    <w:p>
      <w:pPr>
        <w:spacing w:after="0" w:line="21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Evolution of Upstart’s AI Model</w:t>
      </w:r>
    </w:p>
    <w:p>
      <w:pPr>
        <w:spacing w:after="0" w:line="2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AI models underpinning the Upstart platform are central to its efficacy and the high-quality experience we provide to borrowers. Our models have evolved rapidly since our founding,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10" w:name="page11"/>
    <w:bookmarkEnd w:id="1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40" w:type="dxa"/>
            <w:vAlign w:val="bottom"/>
          </w:tcPr>
          <w:p>
            <w:pPr>
              <w:spacing w:after="0"/>
              <w:rPr>
                <w:sz w:val="14"/>
                <w:szCs w:val="14"/>
                <w:color w:val="auto"/>
              </w:rPr>
            </w:pPr>
          </w:p>
        </w:tc>
        <w:tc>
          <w:tcPr>
            <w:tcW w:w="1400" w:type="dxa"/>
            <w:vAlign w:val="bottom"/>
          </w:tcPr>
          <w:p>
            <w:pPr>
              <w:ind w:left="620"/>
              <w:spacing w:after="0"/>
              <w:rPr>
                <w:sz w:val="20"/>
                <w:szCs w:val="20"/>
                <w:color w:val="auto"/>
              </w:rPr>
            </w:pPr>
            <w:r>
              <w:rPr>
                <w:rFonts w:ascii="Arial" w:cs="Arial" w:eastAsia="Arial" w:hAnsi="Arial"/>
                <w:sz w:val="13"/>
                <w:szCs w:val="13"/>
                <w:b w:val="1"/>
                <w:bCs w:val="1"/>
                <w:color w:val="auto"/>
              </w:rPr>
              <w:t>2014</w:t>
            </w: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40" w:type="dxa"/>
            <w:vAlign w:val="bottom"/>
          </w:tcPr>
          <w:p>
            <w:pPr>
              <w:ind w:left="94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63"/>
        </w:trPr>
        <w:tc>
          <w:tcPr>
            <w:tcW w:w="940" w:type="dxa"/>
            <w:vAlign w:val="bottom"/>
            <w:tcBorders>
              <w:bottom w:val="single" w:sz="8" w:color="494949"/>
            </w:tcBorders>
          </w:tcPr>
          <w:p>
            <w:pPr>
              <w:spacing w:after="0"/>
              <w:rPr>
                <w:sz w:val="5"/>
                <w:szCs w:val="5"/>
                <w:color w:val="auto"/>
              </w:rPr>
            </w:pPr>
          </w:p>
        </w:tc>
        <w:tc>
          <w:tcPr>
            <w:tcW w:w="1400" w:type="dxa"/>
            <w:vAlign w:val="bottom"/>
            <w:tcBorders>
              <w:bottom w:val="single" w:sz="8" w:color="494949"/>
            </w:tcBorders>
          </w:tcPr>
          <w:p>
            <w:pPr>
              <w:spacing w:after="0"/>
              <w:rPr>
                <w:sz w:val="5"/>
                <w:szCs w:val="5"/>
                <w:color w:val="auto"/>
              </w:rPr>
            </w:pPr>
          </w:p>
        </w:tc>
        <w:tc>
          <w:tcPr>
            <w:tcW w:w="1420" w:type="dxa"/>
            <w:vAlign w:val="bottom"/>
            <w:tcBorders>
              <w:bottom w:val="single" w:sz="8" w:color="494949"/>
            </w:tcBorders>
          </w:tcPr>
          <w:p>
            <w:pPr>
              <w:spacing w:after="0"/>
              <w:rPr>
                <w:sz w:val="5"/>
                <w:szCs w:val="5"/>
                <w:color w:val="auto"/>
              </w:rPr>
            </w:pPr>
          </w:p>
        </w:tc>
        <w:tc>
          <w:tcPr>
            <w:tcW w:w="1680" w:type="dxa"/>
            <w:vAlign w:val="bottom"/>
            <w:tcBorders>
              <w:bottom w:val="single" w:sz="8" w:color="494949"/>
            </w:tcBorders>
          </w:tcPr>
          <w:p>
            <w:pPr>
              <w:spacing w:after="0"/>
              <w:rPr>
                <w:sz w:val="5"/>
                <w:szCs w:val="5"/>
                <w:color w:val="auto"/>
              </w:rPr>
            </w:pPr>
          </w:p>
        </w:tc>
        <w:tc>
          <w:tcPr>
            <w:tcW w:w="1880" w:type="dxa"/>
            <w:vAlign w:val="bottom"/>
            <w:tcBorders>
              <w:bottom w:val="single" w:sz="8" w:color="494949"/>
            </w:tcBorders>
          </w:tcPr>
          <w:p>
            <w:pPr>
              <w:spacing w:after="0"/>
              <w:rPr>
                <w:sz w:val="5"/>
                <w:szCs w:val="5"/>
                <w:color w:val="auto"/>
              </w:rPr>
            </w:pPr>
          </w:p>
        </w:tc>
        <w:tc>
          <w:tcPr>
            <w:tcW w:w="1880" w:type="dxa"/>
            <w:vAlign w:val="bottom"/>
            <w:tcBorders>
              <w:bottom w:val="single" w:sz="8" w:color="494949"/>
            </w:tcBorders>
          </w:tcPr>
          <w:p>
            <w:pPr>
              <w:spacing w:after="0"/>
              <w:rPr>
                <w:sz w:val="5"/>
                <w:szCs w:val="5"/>
                <w:color w:val="auto"/>
              </w:rPr>
            </w:pPr>
          </w:p>
        </w:tc>
        <w:tc>
          <w:tcPr>
            <w:tcW w:w="2040" w:type="dxa"/>
            <w:vAlign w:val="bottom"/>
            <w:tcBorders>
              <w:bottom w:val="single" w:sz="8" w:color="494949"/>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shd w:val="clear" w:color="auto" w:fill="AFDCD1"/>
          </w:tcPr>
          <w:p>
            <w:pPr>
              <w:spacing w:after="0"/>
              <w:rPr>
                <w:sz w:val="10"/>
                <w:szCs w:val="10"/>
                <w:color w:val="auto"/>
              </w:rPr>
            </w:pPr>
          </w:p>
        </w:tc>
        <w:tc>
          <w:tcPr>
            <w:tcW w:w="1420" w:type="dxa"/>
            <w:vAlign w:val="bottom"/>
            <w:shd w:val="clear" w:color="auto" w:fill="AFDCD1"/>
          </w:tcPr>
          <w:p>
            <w:pPr>
              <w:spacing w:after="0"/>
              <w:rPr>
                <w:sz w:val="10"/>
                <w:szCs w:val="10"/>
                <w:color w:val="auto"/>
              </w:rPr>
            </w:pPr>
          </w:p>
        </w:tc>
        <w:tc>
          <w:tcPr>
            <w:tcW w:w="1680" w:type="dxa"/>
            <w:vAlign w:val="bottom"/>
            <w:shd w:val="clear" w:color="auto" w:fill="AFDCD1"/>
          </w:tcPr>
          <w:p>
            <w:pPr>
              <w:spacing w:after="0"/>
              <w:rPr>
                <w:sz w:val="10"/>
                <w:szCs w:val="10"/>
                <w:color w:val="auto"/>
              </w:rPr>
            </w:pPr>
          </w:p>
        </w:tc>
        <w:tc>
          <w:tcPr>
            <w:tcW w:w="1880" w:type="dxa"/>
            <w:vAlign w:val="bottom"/>
            <w:shd w:val="clear" w:color="auto" w:fill="AFDCD1"/>
          </w:tcPr>
          <w:p>
            <w:pPr>
              <w:spacing w:after="0"/>
              <w:rPr>
                <w:sz w:val="10"/>
                <w:szCs w:val="10"/>
                <w:color w:val="auto"/>
              </w:rPr>
            </w:pPr>
          </w:p>
        </w:tc>
        <w:tc>
          <w:tcPr>
            <w:tcW w:w="1880" w:type="dxa"/>
            <w:vAlign w:val="bottom"/>
            <w:vMerge w:val="restart"/>
            <w:shd w:val="clear" w:color="auto" w:fill="AFDCD1"/>
          </w:tcPr>
          <w:p>
            <w:pPr>
              <w:ind w:left="60"/>
              <w:spacing w:after="0"/>
              <w:rPr>
                <w:sz w:val="20"/>
                <w:szCs w:val="20"/>
                <w:color w:val="auto"/>
              </w:rPr>
            </w:pPr>
            <w:r>
              <w:rPr>
                <w:rFonts w:ascii="Arial" w:cs="Arial" w:eastAsia="Arial" w:hAnsi="Arial"/>
                <w:sz w:val="13"/>
                <w:szCs w:val="13"/>
                <w:color w:val="auto"/>
              </w:rPr>
              <w:t>1,000+</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shd w:val="clear" w:color="auto" w:fill="AFDCD1"/>
          </w:tcPr>
          <w:p>
            <w:pPr>
              <w:spacing w:after="0"/>
              <w:rPr>
                <w:sz w:val="10"/>
                <w:szCs w:val="10"/>
                <w:color w:val="auto"/>
              </w:rPr>
            </w:pPr>
          </w:p>
        </w:tc>
        <w:tc>
          <w:tcPr>
            <w:tcW w:w="1420" w:type="dxa"/>
            <w:vAlign w:val="bottom"/>
            <w:shd w:val="clear" w:color="auto" w:fill="AFDCD1"/>
          </w:tcPr>
          <w:p>
            <w:pPr>
              <w:spacing w:after="0"/>
              <w:rPr>
                <w:sz w:val="10"/>
                <w:szCs w:val="10"/>
                <w:color w:val="auto"/>
              </w:rPr>
            </w:pPr>
          </w:p>
        </w:tc>
        <w:tc>
          <w:tcPr>
            <w:tcW w:w="1680" w:type="dxa"/>
            <w:vAlign w:val="bottom"/>
            <w:shd w:val="clear" w:color="auto" w:fill="AFDCD1"/>
          </w:tcPr>
          <w:p>
            <w:pPr>
              <w:spacing w:after="0"/>
              <w:rPr>
                <w:sz w:val="10"/>
                <w:szCs w:val="10"/>
                <w:color w:val="auto"/>
              </w:rPr>
            </w:pPr>
          </w:p>
        </w:tc>
        <w:tc>
          <w:tcPr>
            <w:tcW w:w="1880" w:type="dxa"/>
            <w:vAlign w:val="bottom"/>
            <w:vMerge w:val="restart"/>
            <w:shd w:val="clear" w:color="auto" w:fill="AFDCD1"/>
          </w:tcPr>
          <w:p>
            <w:pPr>
              <w:ind w:left="140"/>
              <w:spacing w:after="0"/>
              <w:rPr>
                <w:sz w:val="20"/>
                <w:szCs w:val="20"/>
                <w:color w:val="auto"/>
              </w:rPr>
            </w:pPr>
            <w:r>
              <w:rPr>
                <w:rFonts w:ascii="Arial" w:cs="Arial" w:eastAsia="Arial" w:hAnsi="Arial"/>
                <w:sz w:val="13"/>
                <w:szCs w:val="13"/>
                <w:color w:val="auto"/>
              </w:rPr>
              <w:t>1,000+</w:t>
            </w:r>
          </w:p>
        </w:tc>
        <w:tc>
          <w:tcPr>
            <w:tcW w:w="1880" w:type="dxa"/>
            <w:vAlign w:val="bottom"/>
            <w:vMerge w:val="continue"/>
            <w:shd w:val="clear" w:color="auto" w:fill="AFDCD1"/>
          </w:tcPr>
          <w:p>
            <w:pPr>
              <w:spacing w:after="0"/>
              <w:rPr>
                <w:sz w:val="10"/>
                <w:szCs w:val="10"/>
                <w:color w:val="auto"/>
              </w:rPr>
            </w:pP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Macroeconomic signals</w:t>
            </w:r>
          </w:p>
        </w:tc>
        <w:tc>
          <w:tcPr>
            <w:tcW w:w="0" w:type="dxa"/>
            <w:vAlign w:val="bottom"/>
          </w:tcPr>
          <w:p>
            <w:pPr>
              <w:spacing w:after="0"/>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shd w:val="clear" w:color="auto" w:fill="AFDCD1"/>
          </w:tcPr>
          <w:p>
            <w:pPr>
              <w:spacing w:after="0"/>
              <w:rPr>
                <w:sz w:val="10"/>
                <w:szCs w:val="10"/>
                <w:color w:val="auto"/>
              </w:rPr>
            </w:pPr>
          </w:p>
        </w:tc>
        <w:tc>
          <w:tcPr>
            <w:tcW w:w="1420" w:type="dxa"/>
            <w:vAlign w:val="bottom"/>
            <w:shd w:val="clear" w:color="auto" w:fill="AFDCD1"/>
          </w:tcPr>
          <w:p>
            <w:pPr>
              <w:spacing w:after="0"/>
              <w:rPr>
                <w:sz w:val="10"/>
                <w:szCs w:val="10"/>
                <w:color w:val="auto"/>
              </w:rPr>
            </w:pPr>
          </w:p>
        </w:tc>
        <w:tc>
          <w:tcPr>
            <w:tcW w:w="1680" w:type="dxa"/>
            <w:vAlign w:val="bottom"/>
            <w:shd w:val="clear" w:color="auto" w:fill="AFDCD1"/>
          </w:tcPr>
          <w:p>
            <w:pPr>
              <w:spacing w:after="0"/>
              <w:rPr>
                <w:sz w:val="10"/>
                <w:szCs w:val="10"/>
                <w:color w:val="auto"/>
              </w:rPr>
            </w:pPr>
          </w:p>
        </w:tc>
        <w:tc>
          <w:tcPr>
            <w:tcW w:w="1880" w:type="dxa"/>
            <w:vAlign w:val="bottom"/>
            <w:vMerge w:val="continue"/>
            <w:shd w:val="clear" w:color="auto" w:fill="AFDCD1"/>
          </w:tcPr>
          <w:p>
            <w:pPr>
              <w:spacing w:after="0"/>
              <w:rPr>
                <w:sz w:val="10"/>
                <w:szCs w:val="10"/>
                <w:color w:val="auto"/>
              </w:rPr>
            </w:pP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Unstructured credit data</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w w:val="89"/>
              </w:rPr>
              <w:t>Multi-bureau unstructured credit data</w:t>
            </w:r>
          </w:p>
        </w:tc>
        <w:tc>
          <w:tcPr>
            <w:tcW w:w="0" w:type="dxa"/>
            <w:vAlign w:val="bottom"/>
          </w:tcPr>
          <w:p>
            <w:pPr>
              <w:spacing w:after="0"/>
              <w:rPr>
                <w:sz w:val="1"/>
                <w:szCs w:val="1"/>
                <w:color w:val="auto"/>
              </w:rPr>
            </w:pPr>
          </w:p>
        </w:tc>
      </w:tr>
      <w:tr>
        <w:trPr>
          <w:trHeight w:val="122"/>
        </w:trPr>
        <w:tc>
          <w:tcPr>
            <w:tcW w:w="940" w:type="dxa"/>
            <w:vAlign w:val="bottom"/>
            <w:vMerge w:val="restart"/>
            <w:shd w:val="clear" w:color="auto" w:fill="AFDCD1"/>
          </w:tcPr>
          <w:p>
            <w:pPr>
              <w:jc w:val="center"/>
              <w:ind w:left="17"/>
              <w:spacing w:after="0"/>
              <w:rPr>
                <w:sz w:val="20"/>
                <w:szCs w:val="20"/>
                <w:color w:val="auto"/>
              </w:rPr>
            </w:pPr>
            <w:r>
              <w:rPr>
                <w:rFonts w:ascii="Arial" w:cs="Arial" w:eastAsia="Arial" w:hAnsi="Arial"/>
                <w:sz w:val="13"/>
                <w:szCs w:val="13"/>
                <w:color w:val="auto"/>
                <w:w w:val="88"/>
              </w:rPr>
              <w:t>Number of</w:t>
            </w:r>
          </w:p>
        </w:tc>
        <w:tc>
          <w:tcPr>
            <w:tcW w:w="1400" w:type="dxa"/>
            <w:vAlign w:val="bottom"/>
            <w:shd w:val="clear" w:color="auto" w:fill="AFDCD1"/>
          </w:tcPr>
          <w:p>
            <w:pPr>
              <w:spacing w:after="0"/>
              <w:rPr>
                <w:sz w:val="10"/>
                <w:szCs w:val="10"/>
                <w:color w:val="auto"/>
              </w:rPr>
            </w:pPr>
          </w:p>
        </w:tc>
        <w:tc>
          <w:tcPr>
            <w:tcW w:w="1420" w:type="dxa"/>
            <w:vAlign w:val="bottom"/>
            <w:shd w:val="clear" w:color="auto" w:fill="AFDCD1"/>
          </w:tcPr>
          <w:p>
            <w:pPr>
              <w:spacing w:after="0"/>
              <w:rPr>
                <w:sz w:val="10"/>
                <w:szCs w:val="10"/>
                <w:color w:val="auto"/>
              </w:rPr>
            </w:pPr>
          </w:p>
        </w:tc>
        <w:tc>
          <w:tcPr>
            <w:tcW w:w="1680" w:type="dxa"/>
            <w:vAlign w:val="bottom"/>
            <w:shd w:val="clear" w:color="auto" w:fill="AFDCD1"/>
          </w:tcPr>
          <w:p>
            <w:pPr>
              <w:spacing w:after="0"/>
              <w:rPr>
                <w:sz w:val="10"/>
                <w:szCs w:val="10"/>
                <w:color w:val="auto"/>
              </w:rPr>
            </w:pPr>
          </w:p>
        </w:tc>
        <w:tc>
          <w:tcPr>
            <w:tcW w:w="1880" w:type="dxa"/>
            <w:vAlign w:val="bottom"/>
            <w:shd w:val="clear" w:color="auto" w:fill="AFDCD1"/>
          </w:tcPr>
          <w:p>
            <w:pPr>
              <w:ind w:left="140"/>
              <w:spacing w:after="0" w:line="122" w:lineRule="exact"/>
              <w:rPr>
                <w:sz w:val="20"/>
                <w:szCs w:val="20"/>
                <w:color w:val="auto"/>
              </w:rPr>
            </w:pPr>
            <w:r>
              <w:rPr>
                <w:rFonts w:ascii="Arial" w:cs="Arial" w:eastAsia="Arial" w:hAnsi="Arial"/>
                <w:sz w:val="13"/>
                <w:szCs w:val="13"/>
                <w:color w:val="auto"/>
              </w:rPr>
              <w:t>Digital signals</w:t>
            </w: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Digital signals</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Digital signals</w:t>
            </w:r>
          </w:p>
        </w:tc>
        <w:tc>
          <w:tcPr>
            <w:tcW w:w="0" w:type="dxa"/>
            <w:vAlign w:val="bottom"/>
          </w:tcPr>
          <w:p>
            <w:pPr>
              <w:spacing w:after="0"/>
              <w:rPr>
                <w:sz w:val="1"/>
                <w:szCs w:val="1"/>
                <w:color w:val="auto"/>
              </w:rPr>
            </w:pPr>
          </w:p>
        </w:tc>
      </w:tr>
      <w:tr>
        <w:trPr>
          <w:trHeight w:val="54"/>
        </w:trPr>
        <w:tc>
          <w:tcPr>
            <w:tcW w:w="940" w:type="dxa"/>
            <w:vAlign w:val="bottom"/>
            <w:vMerge w:val="continue"/>
            <w:shd w:val="clear" w:color="auto" w:fill="AFDCD1"/>
          </w:tcPr>
          <w:p>
            <w:pPr>
              <w:spacing w:after="0"/>
              <w:rPr>
                <w:sz w:val="4"/>
                <w:szCs w:val="4"/>
                <w:color w:val="auto"/>
              </w:rPr>
            </w:pPr>
          </w:p>
        </w:tc>
        <w:tc>
          <w:tcPr>
            <w:tcW w:w="1400" w:type="dxa"/>
            <w:vAlign w:val="bottom"/>
            <w:shd w:val="clear" w:color="auto" w:fill="AFDCD1"/>
          </w:tcPr>
          <w:p>
            <w:pPr>
              <w:spacing w:after="0"/>
              <w:rPr>
                <w:sz w:val="4"/>
                <w:szCs w:val="4"/>
                <w:color w:val="auto"/>
              </w:rPr>
            </w:pPr>
          </w:p>
        </w:tc>
        <w:tc>
          <w:tcPr>
            <w:tcW w:w="1420" w:type="dxa"/>
            <w:vAlign w:val="bottom"/>
            <w:vMerge w:val="restart"/>
            <w:shd w:val="clear" w:color="auto" w:fill="AFDCD1"/>
          </w:tcPr>
          <w:p>
            <w:pPr>
              <w:ind w:left="60"/>
              <w:spacing w:after="0" w:line="122" w:lineRule="exact"/>
              <w:rPr>
                <w:sz w:val="20"/>
                <w:szCs w:val="20"/>
                <w:color w:val="auto"/>
              </w:rPr>
            </w:pPr>
            <w:r>
              <w:rPr>
                <w:rFonts w:ascii="Arial" w:cs="Arial" w:eastAsia="Arial" w:hAnsi="Arial"/>
                <w:sz w:val="13"/>
                <w:szCs w:val="13"/>
                <w:color w:val="auto"/>
              </w:rPr>
              <w:t>58</w:t>
            </w:r>
          </w:p>
        </w:tc>
        <w:tc>
          <w:tcPr>
            <w:tcW w:w="1680" w:type="dxa"/>
            <w:vAlign w:val="bottom"/>
            <w:vMerge w:val="restart"/>
            <w:shd w:val="clear" w:color="auto" w:fill="AFDCD1"/>
          </w:tcPr>
          <w:p>
            <w:pPr>
              <w:ind w:left="80"/>
              <w:spacing w:after="0" w:line="122" w:lineRule="exact"/>
              <w:rPr>
                <w:sz w:val="20"/>
                <w:szCs w:val="20"/>
                <w:color w:val="auto"/>
              </w:rPr>
            </w:pPr>
            <w:r>
              <w:rPr>
                <w:rFonts w:ascii="Arial" w:cs="Arial" w:eastAsia="Arial" w:hAnsi="Arial"/>
                <w:sz w:val="13"/>
                <w:szCs w:val="13"/>
                <w:color w:val="auto"/>
              </w:rPr>
              <w:t>212</w:t>
            </w:r>
          </w:p>
        </w:tc>
        <w:tc>
          <w:tcPr>
            <w:tcW w:w="1880" w:type="dxa"/>
            <w:vAlign w:val="bottom"/>
            <w:vMerge w:val="restart"/>
            <w:shd w:val="clear" w:color="auto" w:fill="AFDCD1"/>
          </w:tcPr>
          <w:p>
            <w:pPr>
              <w:ind w:left="140"/>
              <w:spacing w:after="0" w:line="122" w:lineRule="exact"/>
              <w:rPr>
                <w:sz w:val="20"/>
                <w:szCs w:val="20"/>
                <w:color w:val="auto"/>
              </w:rPr>
            </w:pPr>
            <w:r>
              <w:rPr>
                <w:rFonts w:ascii="Arial" w:cs="Arial" w:eastAsia="Arial" w:hAnsi="Arial"/>
                <w:sz w:val="13"/>
                <w:szCs w:val="13"/>
                <w:color w:val="auto"/>
              </w:rPr>
              <w:t>Trended credit attributes</w:t>
            </w:r>
          </w:p>
        </w:tc>
        <w:tc>
          <w:tcPr>
            <w:tcW w:w="1880" w:type="dxa"/>
            <w:vAlign w:val="bottom"/>
            <w:vMerge w:val="restart"/>
            <w:shd w:val="clear" w:color="auto" w:fill="AFDCD1"/>
          </w:tcPr>
          <w:p>
            <w:pPr>
              <w:ind w:left="60"/>
              <w:spacing w:after="0" w:line="122" w:lineRule="exact"/>
              <w:rPr>
                <w:sz w:val="20"/>
                <w:szCs w:val="20"/>
                <w:color w:val="auto"/>
              </w:rPr>
            </w:pPr>
            <w:r>
              <w:rPr>
                <w:rFonts w:ascii="Arial" w:cs="Arial" w:eastAsia="Arial" w:hAnsi="Arial"/>
                <w:sz w:val="13"/>
                <w:szCs w:val="13"/>
                <w:color w:val="auto"/>
              </w:rPr>
              <w:t>Trended credit attributes</w:t>
            </w:r>
          </w:p>
        </w:tc>
        <w:tc>
          <w:tcPr>
            <w:tcW w:w="2040" w:type="dxa"/>
            <w:vAlign w:val="bottom"/>
            <w:vMerge w:val="restart"/>
            <w:shd w:val="clear" w:color="auto" w:fill="AFDCD1"/>
          </w:tcPr>
          <w:p>
            <w:pPr>
              <w:ind w:left="120"/>
              <w:spacing w:after="0" w:line="122" w:lineRule="exact"/>
              <w:rPr>
                <w:sz w:val="20"/>
                <w:szCs w:val="20"/>
                <w:color w:val="auto"/>
              </w:rPr>
            </w:pPr>
            <w:r>
              <w:rPr>
                <w:rFonts w:ascii="Arial" w:cs="Arial" w:eastAsia="Arial" w:hAnsi="Arial"/>
                <w:sz w:val="13"/>
                <w:szCs w:val="13"/>
                <w:color w:val="auto"/>
              </w:rPr>
              <w:t>Trended credit attributes</w:t>
            </w:r>
          </w:p>
        </w:tc>
        <w:tc>
          <w:tcPr>
            <w:tcW w:w="0" w:type="dxa"/>
            <w:vAlign w:val="bottom"/>
          </w:tcPr>
          <w:p>
            <w:pPr>
              <w:spacing w:after="0"/>
              <w:rPr>
                <w:sz w:val="1"/>
                <w:szCs w:val="1"/>
                <w:color w:val="auto"/>
              </w:rPr>
            </w:pPr>
          </w:p>
        </w:tc>
      </w:tr>
      <w:tr>
        <w:trPr>
          <w:trHeight w:val="68"/>
        </w:trPr>
        <w:tc>
          <w:tcPr>
            <w:tcW w:w="940" w:type="dxa"/>
            <w:vAlign w:val="bottom"/>
            <w:vMerge w:val="restart"/>
            <w:shd w:val="clear" w:color="auto" w:fill="AFDCD1"/>
          </w:tcPr>
          <w:p>
            <w:pPr>
              <w:jc w:val="center"/>
              <w:ind w:left="17"/>
              <w:spacing w:after="0"/>
              <w:rPr>
                <w:sz w:val="20"/>
                <w:szCs w:val="20"/>
                <w:color w:val="auto"/>
              </w:rPr>
            </w:pPr>
            <w:r>
              <w:rPr>
                <w:rFonts w:ascii="Arial" w:cs="Arial" w:eastAsia="Arial" w:hAnsi="Arial"/>
                <w:sz w:val="13"/>
                <w:szCs w:val="13"/>
                <w:color w:val="auto"/>
                <w:w w:val="84"/>
              </w:rPr>
              <w:t>Variables</w:t>
            </w:r>
          </w:p>
        </w:tc>
        <w:tc>
          <w:tcPr>
            <w:tcW w:w="1400" w:type="dxa"/>
            <w:vAlign w:val="bottom"/>
            <w:shd w:val="clear" w:color="auto" w:fill="AFDCD1"/>
          </w:tcPr>
          <w:p>
            <w:pPr>
              <w:spacing w:after="0"/>
              <w:rPr>
                <w:sz w:val="5"/>
                <w:szCs w:val="5"/>
                <w:color w:val="auto"/>
              </w:rPr>
            </w:pPr>
          </w:p>
        </w:tc>
        <w:tc>
          <w:tcPr>
            <w:tcW w:w="1420" w:type="dxa"/>
            <w:vAlign w:val="bottom"/>
            <w:vMerge w:val="continue"/>
            <w:shd w:val="clear" w:color="auto" w:fill="AFDCD1"/>
          </w:tcPr>
          <w:p>
            <w:pPr>
              <w:spacing w:after="0"/>
              <w:rPr>
                <w:sz w:val="5"/>
                <w:szCs w:val="5"/>
                <w:color w:val="auto"/>
              </w:rPr>
            </w:pPr>
          </w:p>
        </w:tc>
        <w:tc>
          <w:tcPr>
            <w:tcW w:w="1680" w:type="dxa"/>
            <w:vAlign w:val="bottom"/>
            <w:vMerge w:val="continue"/>
            <w:shd w:val="clear" w:color="auto" w:fill="AFDCD1"/>
          </w:tcPr>
          <w:p>
            <w:pPr>
              <w:spacing w:after="0"/>
              <w:rPr>
                <w:sz w:val="5"/>
                <w:szCs w:val="5"/>
                <w:color w:val="auto"/>
              </w:rPr>
            </w:pPr>
          </w:p>
        </w:tc>
        <w:tc>
          <w:tcPr>
            <w:tcW w:w="1880" w:type="dxa"/>
            <w:vAlign w:val="bottom"/>
            <w:vMerge w:val="continue"/>
            <w:shd w:val="clear" w:color="auto" w:fill="AFDCD1"/>
          </w:tcPr>
          <w:p>
            <w:pPr>
              <w:spacing w:after="0"/>
              <w:rPr>
                <w:sz w:val="5"/>
                <w:szCs w:val="5"/>
                <w:color w:val="auto"/>
              </w:rPr>
            </w:pPr>
          </w:p>
        </w:tc>
        <w:tc>
          <w:tcPr>
            <w:tcW w:w="1880" w:type="dxa"/>
            <w:vAlign w:val="bottom"/>
            <w:vMerge w:val="continue"/>
            <w:shd w:val="clear" w:color="auto" w:fill="AFDCD1"/>
          </w:tcPr>
          <w:p>
            <w:pPr>
              <w:spacing w:after="0"/>
              <w:rPr>
                <w:sz w:val="5"/>
                <w:szCs w:val="5"/>
                <w:color w:val="auto"/>
              </w:rPr>
            </w:pPr>
          </w:p>
        </w:tc>
        <w:tc>
          <w:tcPr>
            <w:tcW w:w="2040" w:type="dxa"/>
            <w:vAlign w:val="bottom"/>
            <w:vMerge w:val="continue"/>
            <w:shd w:val="clear" w:color="auto" w:fill="AFDCD1"/>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40" w:type="dxa"/>
            <w:vAlign w:val="bottom"/>
            <w:vMerge w:val="continue"/>
            <w:shd w:val="clear" w:color="auto" w:fill="AFDCD1"/>
          </w:tcPr>
          <w:p>
            <w:pPr>
              <w:spacing w:after="0"/>
              <w:rPr>
                <w:sz w:val="8"/>
                <w:szCs w:val="8"/>
                <w:color w:val="auto"/>
              </w:rPr>
            </w:pPr>
          </w:p>
        </w:tc>
        <w:tc>
          <w:tcPr>
            <w:tcW w:w="1400" w:type="dxa"/>
            <w:vAlign w:val="bottom"/>
            <w:shd w:val="clear" w:color="auto" w:fill="AFDCD1"/>
          </w:tcPr>
          <w:p>
            <w:pPr>
              <w:spacing w:after="0"/>
              <w:rPr>
                <w:sz w:val="8"/>
                <w:szCs w:val="8"/>
                <w:color w:val="auto"/>
              </w:rPr>
            </w:pPr>
          </w:p>
        </w:tc>
        <w:tc>
          <w:tcPr>
            <w:tcW w:w="1420" w:type="dxa"/>
            <w:vAlign w:val="bottom"/>
            <w:vMerge w:val="restart"/>
            <w:shd w:val="clear" w:color="auto" w:fill="AFDCD1"/>
          </w:tcPr>
          <w:p>
            <w:pPr>
              <w:ind w:left="60"/>
              <w:spacing w:after="0" w:line="122" w:lineRule="exact"/>
              <w:rPr>
                <w:sz w:val="20"/>
                <w:szCs w:val="20"/>
                <w:color w:val="auto"/>
              </w:rPr>
            </w:pPr>
            <w:r>
              <w:rPr>
                <w:rFonts w:ascii="Arial" w:cs="Arial" w:eastAsia="Arial" w:hAnsi="Arial"/>
                <w:sz w:val="13"/>
                <w:szCs w:val="13"/>
                <w:color w:val="auto"/>
              </w:rPr>
              <w:t>Employment &amp;</w:t>
            </w:r>
          </w:p>
        </w:tc>
        <w:tc>
          <w:tcPr>
            <w:tcW w:w="1680" w:type="dxa"/>
            <w:vAlign w:val="bottom"/>
            <w:vMerge w:val="restart"/>
            <w:shd w:val="clear" w:color="auto" w:fill="AFDCD1"/>
          </w:tcPr>
          <w:p>
            <w:pPr>
              <w:ind w:left="80"/>
              <w:spacing w:after="0" w:line="122" w:lineRule="exact"/>
              <w:rPr>
                <w:sz w:val="20"/>
                <w:szCs w:val="20"/>
                <w:color w:val="auto"/>
              </w:rPr>
            </w:pPr>
            <w:r>
              <w:rPr>
                <w:rFonts w:ascii="Arial" w:cs="Arial" w:eastAsia="Arial" w:hAnsi="Arial"/>
                <w:sz w:val="13"/>
                <w:szCs w:val="13"/>
                <w:color w:val="auto"/>
                <w:w w:val="95"/>
              </w:rPr>
              <w:t>Multi-bureau credit attributes</w:t>
            </w:r>
          </w:p>
        </w:tc>
        <w:tc>
          <w:tcPr>
            <w:tcW w:w="1880" w:type="dxa"/>
            <w:vAlign w:val="bottom"/>
            <w:vMerge w:val="restart"/>
            <w:shd w:val="clear" w:color="auto" w:fill="AFDCD1"/>
          </w:tcPr>
          <w:p>
            <w:pPr>
              <w:ind w:left="140"/>
              <w:spacing w:after="0" w:line="122" w:lineRule="exact"/>
              <w:rPr>
                <w:sz w:val="20"/>
                <w:szCs w:val="20"/>
                <w:color w:val="auto"/>
              </w:rPr>
            </w:pPr>
            <w:r>
              <w:rPr>
                <w:rFonts w:ascii="Arial" w:cs="Arial" w:eastAsia="Arial" w:hAnsi="Arial"/>
                <w:sz w:val="13"/>
                <w:szCs w:val="13"/>
                <w:color w:val="auto"/>
              </w:rPr>
              <w:t>Multi-bureau credit attributes</w:t>
            </w:r>
          </w:p>
        </w:tc>
        <w:tc>
          <w:tcPr>
            <w:tcW w:w="1880" w:type="dxa"/>
            <w:vAlign w:val="bottom"/>
            <w:vMerge w:val="restart"/>
            <w:shd w:val="clear" w:color="auto" w:fill="AFDCD1"/>
          </w:tcPr>
          <w:p>
            <w:pPr>
              <w:ind w:left="60"/>
              <w:spacing w:after="0" w:line="122" w:lineRule="exact"/>
              <w:rPr>
                <w:sz w:val="20"/>
                <w:szCs w:val="20"/>
                <w:color w:val="auto"/>
              </w:rPr>
            </w:pPr>
            <w:r>
              <w:rPr>
                <w:rFonts w:ascii="Arial" w:cs="Arial" w:eastAsia="Arial" w:hAnsi="Arial"/>
                <w:sz w:val="13"/>
                <w:szCs w:val="13"/>
                <w:color w:val="auto"/>
              </w:rPr>
              <w:t>Multi-bureau credit attributes</w:t>
            </w:r>
          </w:p>
        </w:tc>
        <w:tc>
          <w:tcPr>
            <w:tcW w:w="2040" w:type="dxa"/>
            <w:vAlign w:val="bottom"/>
            <w:vMerge w:val="restart"/>
            <w:shd w:val="clear" w:color="auto" w:fill="AFDCD1"/>
          </w:tcPr>
          <w:p>
            <w:pPr>
              <w:ind w:left="120"/>
              <w:spacing w:after="0" w:line="122" w:lineRule="exact"/>
              <w:rPr>
                <w:sz w:val="20"/>
                <w:szCs w:val="20"/>
                <w:color w:val="auto"/>
              </w:rPr>
            </w:pPr>
            <w:r>
              <w:rPr>
                <w:rFonts w:ascii="Arial" w:cs="Arial" w:eastAsia="Arial" w:hAnsi="Arial"/>
                <w:sz w:val="13"/>
                <w:szCs w:val="13"/>
                <w:color w:val="auto"/>
              </w:rPr>
              <w:t>Multi-bureau credit attributes</w:t>
            </w:r>
          </w:p>
        </w:tc>
        <w:tc>
          <w:tcPr>
            <w:tcW w:w="0" w:type="dxa"/>
            <w:vAlign w:val="bottom"/>
          </w:tcPr>
          <w:p>
            <w:pPr>
              <w:spacing w:after="0"/>
              <w:rPr>
                <w:sz w:val="1"/>
                <w:szCs w:val="1"/>
                <w:color w:val="auto"/>
              </w:rPr>
            </w:pPr>
          </w:p>
        </w:tc>
      </w:tr>
      <w:tr>
        <w:trPr>
          <w:trHeight w:val="29"/>
        </w:trPr>
        <w:tc>
          <w:tcPr>
            <w:tcW w:w="940" w:type="dxa"/>
            <w:vAlign w:val="bottom"/>
            <w:shd w:val="clear" w:color="auto" w:fill="AFDCD1"/>
          </w:tcPr>
          <w:p>
            <w:pPr>
              <w:spacing w:after="0"/>
              <w:rPr>
                <w:sz w:val="2"/>
                <w:szCs w:val="2"/>
                <w:color w:val="auto"/>
              </w:rPr>
            </w:pPr>
          </w:p>
        </w:tc>
        <w:tc>
          <w:tcPr>
            <w:tcW w:w="1400" w:type="dxa"/>
            <w:vAlign w:val="bottom"/>
            <w:vMerge w:val="restart"/>
            <w:shd w:val="clear" w:color="auto" w:fill="AFDCD1"/>
          </w:tcPr>
          <w:p>
            <w:pPr>
              <w:ind w:left="80"/>
              <w:spacing w:after="0"/>
              <w:rPr>
                <w:sz w:val="20"/>
                <w:szCs w:val="20"/>
                <w:color w:val="auto"/>
              </w:rPr>
            </w:pPr>
            <w:r>
              <w:rPr>
                <w:rFonts w:ascii="Arial" w:cs="Arial" w:eastAsia="Arial" w:hAnsi="Arial"/>
                <w:sz w:val="13"/>
                <w:szCs w:val="13"/>
                <w:color w:val="auto"/>
              </w:rPr>
              <w:t>23</w:t>
            </w:r>
          </w:p>
        </w:tc>
        <w:tc>
          <w:tcPr>
            <w:tcW w:w="1420" w:type="dxa"/>
            <w:vAlign w:val="bottom"/>
            <w:vMerge w:val="continue"/>
            <w:shd w:val="clear" w:color="auto" w:fill="AFDCD1"/>
          </w:tcPr>
          <w:p>
            <w:pPr>
              <w:spacing w:after="0"/>
              <w:rPr>
                <w:sz w:val="2"/>
                <w:szCs w:val="2"/>
                <w:color w:val="auto"/>
              </w:rPr>
            </w:pPr>
          </w:p>
        </w:tc>
        <w:tc>
          <w:tcPr>
            <w:tcW w:w="1680" w:type="dxa"/>
            <w:vAlign w:val="bottom"/>
            <w:vMerge w:val="continue"/>
            <w:shd w:val="clear" w:color="auto" w:fill="AFDCD1"/>
          </w:tcPr>
          <w:p>
            <w:pPr>
              <w:spacing w:after="0"/>
              <w:rPr>
                <w:sz w:val="2"/>
                <w:szCs w:val="2"/>
                <w:color w:val="auto"/>
              </w:rPr>
            </w:pPr>
          </w:p>
        </w:tc>
        <w:tc>
          <w:tcPr>
            <w:tcW w:w="1880" w:type="dxa"/>
            <w:vAlign w:val="bottom"/>
            <w:vMerge w:val="continue"/>
            <w:shd w:val="clear" w:color="auto" w:fill="AFDCD1"/>
          </w:tcPr>
          <w:p>
            <w:pPr>
              <w:spacing w:after="0"/>
              <w:rPr>
                <w:sz w:val="2"/>
                <w:szCs w:val="2"/>
                <w:color w:val="auto"/>
              </w:rPr>
            </w:pPr>
          </w:p>
        </w:tc>
        <w:tc>
          <w:tcPr>
            <w:tcW w:w="1880" w:type="dxa"/>
            <w:vAlign w:val="bottom"/>
            <w:vMerge w:val="continue"/>
            <w:shd w:val="clear" w:color="auto" w:fill="AFDCD1"/>
          </w:tcPr>
          <w:p>
            <w:pPr>
              <w:spacing w:after="0"/>
              <w:rPr>
                <w:sz w:val="2"/>
                <w:szCs w:val="2"/>
                <w:color w:val="auto"/>
              </w:rPr>
            </w:pPr>
          </w:p>
        </w:tc>
        <w:tc>
          <w:tcPr>
            <w:tcW w:w="2040" w:type="dxa"/>
            <w:vAlign w:val="bottom"/>
            <w:vMerge w:val="continue"/>
            <w:shd w:val="clear" w:color="auto" w:fill="AFDCD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vMerge w:val="continue"/>
            <w:shd w:val="clear" w:color="auto" w:fill="AFDCD1"/>
          </w:tcPr>
          <w:p>
            <w:pPr>
              <w:spacing w:after="0"/>
              <w:rPr>
                <w:sz w:val="10"/>
                <w:szCs w:val="10"/>
                <w:color w:val="auto"/>
              </w:rPr>
            </w:pPr>
          </w:p>
        </w:tc>
        <w:tc>
          <w:tcPr>
            <w:tcW w:w="142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affordability</w:t>
            </w:r>
          </w:p>
        </w:tc>
        <w:tc>
          <w:tcPr>
            <w:tcW w:w="1680" w:type="dxa"/>
            <w:vAlign w:val="bottom"/>
            <w:shd w:val="clear" w:color="auto" w:fill="AFDCD1"/>
          </w:tcPr>
          <w:p>
            <w:pPr>
              <w:ind w:left="80"/>
              <w:spacing w:after="0" w:line="122" w:lineRule="exact"/>
              <w:rPr>
                <w:sz w:val="20"/>
                <w:szCs w:val="20"/>
                <w:color w:val="auto"/>
              </w:rPr>
            </w:pPr>
            <w:r>
              <w:rPr>
                <w:rFonts w:ascii="Arial" w:cs="Arial" w:eastAsia="Arial" w:hAnsi="Arial"/>
                <w:sz w:val="13"/>
                <w:szCs w:val="13"/>
                <w:color w:val="auto"/>
              </w:rPr>
              <w:t>Employment &amp; affordability</w:t>
            </w:r>
          </w:p>
        </w:tc>
        <w:tc>
          <w:tcPr>
            <w:tcW w:w="1880" w:type="dxa"/>
            <w:vAlign w:val="bottom"/>
            <w:shd w:val="clear" w:color="auto" w:fill="AFDCD1"/>
          </w:tcPr>
          <w:p>
            <w:pPr>
              <w:ind w:left="140"/>
              <w:spacing w:after="0" w:line="122" w:lineRule="exact"/>
              <w:rPr>
                <w:sz w:val="20"/>
                <w:szCs w:val="20"/>
                <w:color w:val="auto"/>
              </w:rPr>
            </w:pPr>
            <w:r>
              <w:rPr>
                <w:rFonts w:ascii="Arial" w:cs="Arial" w:eastAsia="Arial" w:hAnsi="Arial"/>
                <w:sz w:val="13"/>
                <w:szCs w:val="13"/>
                <w:color w:val="auto"/>
              </w:rPr>
              <w:t>Employment &amp; affordability</w:t>
            </w: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Employment &amp; affordability</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Employment &amp; affordability</w:t>
            </w:r>
          </w:p>
        </w:tc>
        <w:tc>
          <w:tcPr>
            <w:tcW w:w="0" w:type="dxa"/>
            <w:vAlign w:val="bottom"/>
          </w:tcPr>
          <w:p>
            <w:pPr>
              <w:spacing w:after="0"/>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shd w:val="clear" w:color="auto" w:fill="AFDCD1"/>
          </w:tcPr>
          <w:p>
            <w:pPr>
              <w:ind w:left="80"/>
              <w:spacing w:after="0" w:line="122" w:lineRule="exact"/>
              <w:rPr>
                <w:sz w:val="20"/>
                <w:szCs w:val="20"/>
                <w:color w:val="auto"/>
              </w:rPr>
            </w:pPr>
            <w:r>
              <w:rPr>
                <w:rFonts w:ascii="Arial" w:cs="Arial" w:eastAsia="Arial" w:hAnsi="Arial"/>
                <w:sz w:val="13"/>
                <w:szCs w:val="13"/>
                <w:color w:val="auto"/>
              </w:rPr>
              <w:t>Education</w:t>
            </w:r>
          </w:p>
        </w:tc>
        <w:tc>
          <w:tcPr>
            <w:tcW w:w="142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Education</w:t>
            </w:r>
          </w:p>
        </w:tc>
        <w:tc>
          <w:tcPr>
            <w:tcW w:w="1680" w:type="dxa"/>
            <w:vAlign w:val="bottom"/>
            <w:shd w:val="clear" w:color="auto" w:fill="AFDCD1"/>
          </w:tcPr>
          <w:p>
            <w:pPr>
              <w:ind w:left="80"/>
              <w:spacing w:after="0" w:line="122" w:lineRule="exact"/>
              <w:rPr>
                <w:sz w:val="20"/>
                <w:szCs w:val="20"/>
                <w:color w:val="auto"/>
              </w:rPr>
            </w:pPr>
            <w:r>
              <w:rPr>
                <w:rFonts w:ascii="Arial" w:cs="Arial" w:eastAsia="Arial" w:hAnsi="Arial"/>
                <w:sz w:val="13"/>
                <w:szCs w:val="13"/>
                <w:color w:val="auto"/>
              </w:rPr>
              <w:t>Education</w:t>
            </w:r>
          </w:p>
        </w:tc>
        <w:tc>
          <w:tcPr>
            <w:tcW w:w="1880" w:type="dxa"/>
            <w:vAlign w:val="bottom"/>
            <w:shd w:val="clear" w:color="auto" w:fill="AFDCD1"/>
          </w:tcPr>
          <w:p>
            <w:pPr>
              <w:ind w:left="140"/>
              <w:spacing w:after="0" w:line="122" w:lineRule="exact"/>
              <w:rPr>
                <w:sz w:val="20"/>
                <w:szCs w:val="20"/>
                <w:color w:val="auto"/>
              </w:rPr>
            </w:pPr>
            <w:r>
              <w:rPr>
                <w:rFonts w:ascii="Arial" w:cs="Arial" w:eastAsia="Arial" w:hAnsi="Arial"/>
                <w:sz w:val="13"/>
                <w:szCs w:val="13"/>
                <w:color w:val="auto"/>
              </w:rPr>
              <w:t>Education</w:t>
            </w: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Education</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Education</w:t>
            </w:r>
          </w:p>
        </w:tc>
        <w:tc>
          <w:tcPr>
            <w:tcW w:w="0" w:type="dxa"/>
            <w:vAlign w:val="bottom"/>
          </w:tcPr>
          <w:p>
            <w:pPr>
              <w:spacing w:after="0"/>
              <w:rPr>
                <w:sz w:val="1"/>
                <w:szCs w:val="1"/>
                <w:color w:val="auto"/>
              </w:rPr>
            </w:pPr>
          </w:p>
        </w:tc>
      </w:tr>
      <w:tr>
        <w:trPr>
          <w:trHeight w:val="175"/>
        </w:trPr>
        <w:tc>
          <w:tcPr>
            <w:tcW w:w="940" w:type="dxa"/>
            <w:vAlign w:val="bottom"/>
            <w:shd w:val="clear" w:color="auto" w:fill="AFDCD1"/>
          </w:tcPr>
          <w:p>
            <w:pPr>
              <w:spacing w:after="0"/>
              <w:rPr>
                <w:sz w:val="15"/>
                <w:szCs w:val="15"/>
                <w:color w:val="auto"/>
              </w:rPr>
            </w:pPr>
          </w:p>
        </w:tc>
        <w:tc>
          <w:tcPr>
            <w:tcW w:w="1400" w:type="dxa"/>
            <w:vAlign w:val="bottom"/>
            <w:shd w:val="clear" w:color="auto" w:fill="AFDCD1"/>
          </w:tcPr>
          <w:p>
            <w:pPr>
              <w:ind w:left="80"/>
              <w:spacing w:after="0"/>
              <w:rPr>
                <w:sz w:val="20"/>
                <w:szCs w:val="20"/>
                <w:color w:val="auto"/>
              </w:rPr>
            </w:pPr>
            <w:r>
              <w:rPr>
                <w:rFonts w:ascii="Arial" w:cs="Arial" w:eastAsia="Arial" w:hAnsi="Arial"/>
                <w:sz w:val="13"/>
                <w:szCs w:val="13"/>
                <w:color w:val="auto"/>
                <w:w w:val="89"/>
              </w:rPr>
              <w:t>Standard credit attributes</w:t>
            </w:r>
          </w:p>
        </w:tc>
        <w:tc>
          <w:tcPr>
            <w:tcW w:w="1420" w:type="dxa"/>
            <w:vAlign w:val="bottom"/>
            <w:shd w:val="clear" w:color="auto" w:fill="AFDCD1"/>
          </w:tcPr>
          <w:p>
            <w:pPr>
              <w:ind w:left="60"/>
              <w:spacing w:after="0"/>
              <w:rPr>
                <w:sz w:val="20"/>
                <w:szCs w:val="20"/>
                <w:color w:val="auto"/>
              </w:rPr>
            </w:pPr>
            <w:r>
              <w:rPr>
                <w:rFonts w:ascii="Arial" w:cs="Arial" w:eastAsia="Arial" w:hAnsi="Arial"/>
                <w:sz w:val="13"/>
                <w:szCs w:val="13"/>
                <w:color w:val="auto"/>
                <w:w w:val="92"/>
              </w:rPr>
              <w:t>Standard credit attributes</w:t>
            </w:r>
          </w:p>
        </w:tc>
        <w:tc>
          <w:tcPr>
            <w:tcW w:w="1680" w:type="dxa"/>
            <w:vAlign w:val="bottom"/>
            <w:shd w:val="clear" w:color="auto" w:fill="AFDCD1"/>
          </w:tcPr>
          <w:p>
            <w:pPr>
              <w:ind w:left="80"/>
              <w:spacing w:after="0"/>
              <w:rPr>
                <w:sz w:val="20"/>
                <w:szCs w:val="20"/>
                <w:color w:val="auto"/>
              </w:rPr>
            </w:pPr>
            <w:r>
              <w:rPr>
                <w:rFonts w:ascii="Arial" w:cs="Arial" w:eastAsia="Arial" w:hAnsi="Arial"/>
                <w:sz w:val="13"/>
                <w:szCs w:val="13"/>
                <w:color w:val="auto"/>
              </w:rPr>
              <w:t>Standard credit attributes</w:t>
            </w:r>
          </w:p>
        </w:tc>
        <w:tc>
          <w:tcPr>
            <w:tcW w:w="1880" w:type="dxa"/>
            <w:vAlign w:val="bottom"/>
            <w:shd w:val="clear" w:color="auto" w:fill="AFDCD1"/>
          </w:tcPr>
          <w:p>
            <w:pPr>
              <w:ind w:left="140"/>
              <w:spacing w:after="0"/>
              <w:rPr>
                <w:sz w:val="20"/>
                <w:szCs w:val="20"/>
                <w:color w:val="auto"/>
              </w:rPr>
            </w:pPr>
            <w:r>
              <w:rPr>
                <w:rFonts w:ascii="Arial" w:cs="Arial" w:eastAsia="Arial" w:hAnsi="Arial"/>
                <w:sz w:val="13"/>
                <w:szCs w:val="13"/>
                <w:color w:val="auto"/>
              </w:rPr>
              <w:t>Standard credit attributes</w:t>
            </w:r>
          </w:p>
        </w:tc>
        <w:tc>
          <w:tcPr>
            <w:tcW w:w="1880" w:type="dxa"/>
            <w:vAlign w:val="bottom"/>
            <w:shd w:val="clear" w:color="auto" w:fill="AFDCD1"/>
          </w:tcPr>
          <w:p>
            <w:pPr>
              <w:ind w:left="60"/>
              <w:spacing w:after="0"/>
              <w:rPr>
                <w:sz w:val="20"/>
                <w:szCs w:val="20"/>
                <w:color w:val="auto"/>
              </w:rPr>
            </w:pPr>
            <w:r>
              <w:rPr>
                <w:rFonts w:ascii="Arial" w:cs="Arial" w:eastAsia="Arial" w:hAnsi="Arial"/>
                <w:sz w:val="13"/>
                <w:szCs w:val="13"/>
                <w:color w:val="auto"/>
              </w:rPr>
              <w:t>Standard credit attributes</w:t>
            </w:r>
          </w:p>
        </w:tc>
        <w:tc>
          <w:tcPr>
            <w:tcW w:w="2040" w:type="dxa"/>
            <w:vAlign w:val="bottom"/>
            <w:shd w:val="clear" w:color="auto" w:fill="AFDCD1"/>
          </w:tcPr>
          <w:p>
            <w:pPr>
              <w:ind w:left="120"/>
              <w:spacing w:after="0"/>
              <w:rPr>
                <w:sz w:val="20"/>
                <w:szCs w:val="20"/>
                <w:color w:val="auto"/>
              </w:rPr>
            </w:pPr>
            <w:r>
              <w:rPr>
                <w:rFonts w:ascii="Arial" w:cs="Arial" w:eastAsia="Arial" w:hAnsi="Arial"/>
                <w:sz w:val="13"/>
                <w:szCs w:val="13"/>
                <w:color w:val="auto"/>
              </w:rPr>
              <w:t>Standard credit attributes</w:t>
            </w:r>
          </w:p>
        </w:tc>
        <w:tc>
          <w:tcPr>
            <w:tcW w:w="0" w:type="dxa"/>
            <w:vAlign w:val="bottom"/>
          </w:tcPr>
          <w:p>
            <w:pPr>
              <w:spacing w:after="0"/>
              <w:rPr>
                <w:sz w:val="1"/>
                <w:szCs w:val="1"/>
                <w:color w:val="auto"/>
              </w:rPr>
            </w:pPr>
          </w:p>
        </w:tc>
      </w:tr>
      <w:tr>
        <w:trPr>
          <w:trHeight w:val="135"/>
        </w:trPr>
        <w:tc>
          <w:tcPr>
            <w:tcW w:w="940" w:type="dxa"/>
            <w:vAlign w:val="bottom"/>
            <w:shd w:val="clear" w:color="auto" w:fill="DBDBDB"/>
          </w:tcPr>
          <w:p>
            <w:pPr>
              <w:jc w:val="center"/>
              <w:ind w:left="17"/>
              <w:spacing w:after="0" w:line="135" w:lineRule="exact"/>
              <w:rPr>
                <w:sz w:val="20"/>
                <w:szCs w:val="20"/>
                <w:color w:val="auto"/>
              </w:rPr>
            </w:pPr>
            <w:r>
              <w:rPr>
                <w:rFonts w:ascii="Arial" w:cs="Arial" w:eastAsia="Arial" w:hAnsi="Arial"/>
                <w:sz w:val="13"/>
                <w:szCs w:val="13"/>
                <w:color w:val="auto"/>
                <w:w w:val="89"/>
              </w:rPr>
              <w:t>Training Data</w:t>
            </w:r>
          </w:p>
        </w:tc>
        <w:tc>
          <w:tcPr>
            <w:tcW w:w="1400" w:type="dxa"/>
            <w:vAlign w:val="bottom"/>
            <w:vMerge w:val="restart"/>
            <w:shd w:val="clear" w:color="auto" w:fill="DBDBDB"/>
          </w:tcPr>
          <w:p>
            <w:pPr>
              <w:ind w:left="80"/>
              <w:spacing w:after="0"/>
              <w:rPr>
                <w:sz w:val="20"/>
                <w:szCs w:val="20"/>
                <w:color w:val="auto"/>
              </w:rPr>
            </w:pPr>
            <w:r>
              <w:rPr>
                <w:rFonts w:ascii="Arial" w:cs="Arial" w:eastAsia="Arial" w:hAnsi="Arial"/>
                <w:sz w:val="13"/>
                <w:szCs w:val="13"/>
                <w:color w:val="auto"/>
                <w:w w:val="98"/>
              </w:rPr>
              <w:t>0 (3rd party Data Only)</w:t>
            </w:r>
          </w:p>
        </w:tc>
        <w:tc>
          <w:tcPr>
            <w:tcW w:w="1420" w:type="dxa"/>
            <w:vAlign w:val="bottom"/>
            <w:vMerge w:val="restart"/>
            <w:shd w:val="clear" w:color="auto" w:fill="DBDBDB"/>
          </w:tcPr>
          <w:p>
            <w:pPr>
              <w:ind w:left="60"/>
              <w:spacing w:after="0"/>
              <w:rPr>
                <w:sz w:val="20"/>
                <w:szCs w:val="20"/>
                <w:color w:val="auto"/>
              </w:rPr>
            </w:pPr>
            <w:r>
              <w:rPr>
                <w:rFonts w:ascii="Arial" w:cs="Arial" w:eastAsia="Arial" w:hAnsi="Arial"/>
                <w:sz w:val="13"/>
                <w:szCs w:val="13"/>
                <w:color w:val="auto"/>
              </w:rPr>
              <w:t>~30,000</w:t>
            </w:r>
          </w:p>
        </w:tc>
        <w:tc>
          <w:tcPr>
            <w:tcW w:w="1680" w:type="dxa"/>
            <w:vAlign w:val="bottom"/>
            <w:vMerge w:val="restart"/>
            <w:shd w:val="clear" w:color="auto" w:fill="DBDBDB"/>
          </w:tcPr>
          <w:p>
            <w:pPr>
              <w:ind w:left="80"/>
              <w:spacing w:after="0"/>
              <w:rPr>
                <w:sz w:val="20"/>
                <w:szCs w:val="20"/>
                <w:color w:val="auto"/>
              </w:rPr>
            </w:pPr>
            <w:r>
              <w:rPr>
                <w:rFonts w:ascii="Arial" w:cs="Arial" w:eastAsia="Arial" w:hAnsi="Arial"/>
                <w:sz w:val="13"/>
                <w:szCs w:val="13"/>
                <w:color w:val="auto"/>
              </w:rPr>
              <w:t>~320,000</w:t>
            </w:r>
          </w:p>
        </w:tc>
        <w:tc>
          <w:tcPr>
            <w:tcW w:w="188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auto"/>
              </w:rPr>
              <w:t>~1,100,000</w:t>
            </w:r>
          </w:p>
        </w:tc>
        <w:tc>
          <w:tcPr>
            <w:tcW w:w="1880" w:type="dxa"/>
            <w:vAlign w:val="bottom"/>
            <w:vMerge w:val="restart"/>
            <w:shd w:val="clear" w:color="auto" w:fill="DBDBDB"/>
          </w:tcPr>
          <w:p>
            <w:pPr>
              <w:ind w:left="60"/>
              <w:spacing w:after="0"/>
              <w:rPr>
                <w:sz w:val="20"/>
                <w:szCs w:val="20"/>
                <w:color w:val="auto"/>
              </w:rPr>
            </w:pPr>
            <w:r>
              <w:rPr>
                <w:rFonts w:ascii="Arial" w:cs="Arial" w:eastAsia="Arial" w:hAnsi="Arial"/>
                <w:sz w:val="13"/>
                <w:szCs w:val="13"/>
                <w:color w:val="auto"/>
              </w:rPr>
              <w:t>~5,500,000</w:t>
            </w:r>
          </w:p>
        </w:tc>
        <w:tc>
          <w:tcPr>
            <w:tcW w:w="2040" w:type="dxa"/>
            <w:vAlign w:val="bottom"/>
            <w:vMerge w:val="restart"/>
            <w:shd w:val="clear" w:color="auto" w:fill="DBDBDB"/>
          </w:tcPr>
          <w:p>
            <w:pPr>
              <w:ind w:left="120"/>
              <w:spacing w:after="0"/>
              <w:rPr>
                <w:sz w:val="20"/>
                <w:szCs w:val="20"/>
                <w:color w:val="auto"/>
              </w:rPr>
            </w:pPr>
            <w:r>
              <w:rPr>
                <w:rFonts w:ascii="Arial" w:cs="Arial" w:eastAsia="Arial" w:hAnsi="Arial"/>
                <w:sz w:val="13"/>
                <w:szCs w:val="13"/>
                <w:color w:val="auto"/>
              </w:rPr>
              <w:t>~10,500,000</w:t>
            </w:r>
          </w:p>
        </w:tc>
        <w:tc>
          <w:tcPr>
            <w:tcW w:w="0" w:type="dxa"/>
            <w:vAlign w:val="bottom"/>
          </w:tcPr>
          <w:p>
            <w:pPr>
              <w:spacing w:after="0"/>
              <w:rPr>
                <w:sz w:val="1"/>
                <w:szCs w:val="1"/>
                <w:color w:val="auto"/>
              </w:rPr>
            </w:pPr>
          </w:p>
        </w:tc>
      </w:tr>
      <w:tr>
        <w:trPr>
          <w:trHeight w:val="92"/>
        </w:trPr>
        <w:tc>
          <w:tcPr>
            <w:tcW w:w="940" w:type="dxa"/>
            <w:vAlign w:val="bottom"/>
            <w:vMerge w:val="restart"/>
            <w:shd w:val="clear" w:color="auto" w:fill="DBDBDB"/>
          </w:tcPr>
          <w:p>
            <w:pPr>
              <w:jc w:val="center"/>
              <w:ind w:left="17"/>
              <w:spacing w:after="0"/>
              <w:rPr>
                <w:sz w:val="20"/>
                <w:szCs w:val="20"/>
                <w:color w:val="auto"/>
              </w:rPr>
            </w:pPr>
            <w:r>
              <w:rPr>
                <w:rFonts w:ascii="Arial" w:cs="Arial" w:eastAsia="Arial" w:hAnsi="Arial"/>
                <w:sz w:val="13"/>
                <w:szCs w:val="13"/>
                <w:color w:val="auto"/>
                <w:w w:val="82"/>
              </w:rPr>
              <w:t>Points</w:t>
            </w:r>
          </w:p>
        </w:tc>
        <w:tc>
          <w:tcPr>
            <w:tcW w:w="1400" w:type="dxa"/>
            <w:vAlign w:val="bottom"/>
            <w:vMerge w:val="continue"/>
            <w:shd w:val="clear" w:color="auto" w:fill="DBDBDB"/>
          </w:tcPr>
          <w:p>
            <w:pPr>
              <w:spacing w:after="0"/>
              <w:rPr>
                <w:sz w:val="8"/>
                <w:szCs w:val="8"/>
                <w:color w:val="auto"/>
              </w:rPr>
            </w:pPr>
          </w:p>
        </w:tc>
        <w:tc>
          <w:tcPr>
            <w:tcW w:w="1420" w:type="dxa"/>
            <w:vAlign w:val="bottom"/>
            <w:vMerge w:val="continue"/>
            <w:shd w:val="clear" w:color="auto" w:fill="DBDBDB"/>
          </w:tcPr>
          <w:p>
            <w:pPr>
              <w:spacing w:after="0"/>
              <w:rPr>
                <w:sz w:val="8"/>
                <w:szCs w:val="8"/>
                <w:color w:val="auto"/>
              </w:rPr>
            </w:pPr>
          </w:p>
        </w:tc>
        <w:tc>
          <w:tcPr>
            <w:tcW w:w="1680" w:type="dxa"/>
            <w:vAlign w:val="bottom"/>
            <w:vMerge w:val="continue"/>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204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shd w:val="clear" w:color="auto" w:fill="DBDBDB"/>
          </w:tcPr>
          <w:p>
            <w:pPr>
              <w:spacing w:after="0"/>
              <w:rPr>
                <w:sz w:val="6"/>
                <w:szCs w:val="6"/>
                <w:color w:val="auto"/>
              </w:rPr>
            </w:pPr>
          </w:p>
        </w:tc>
        <w:tc>
          <w:tcPr>
            <w:tcW w:w="1400" w:type="dxa"/>
            <w:vAlign w:val="bottom"/>
            <w:shd w:val="clear" w:color="auto" w:fill="DBDBDB"/>
          </w:tcPr>
          <w:p>
            <w:pPr>
              <w:spacing w:after="0"/>
              <w:rPr>
                <w:sz w:val="6"/>
                <w:szCs w:val="6"/>
                <w:color w:val="auto"/>
              </w:rPr>
            </w:pPr>
          </w:p>
        </w:tc>
        <w:tc>
          <w:tcPr>
            <w:tcW w:w="1420" w:type="dxa"/>
            <w:vAlign w:val="bottom"/>
            <w:shd w:val="clear" w:color="auto" w:fill="DBDBDB"/>
          </w:tcPr>
          <w:p>
            <w:pPr>
              <w:spacing w:after="0"/>
              <w:rPr>
                <w:sz w:val="6"/>
                <w:szCs w:val="6"/>
                <w:color w:val="auto"/>
              </w:rPr>
            </w:pPr>
          </w:p>
        </w:tc>
        <w:tc>
          <w:tcPr>
            <w:tcW w:w="1680" w:type="dxa"/>
            <w:vAlign w:val="bottom"/>
            <w:shd w:val="clear" w:color="auto" w:fill="DBDBDB"/>
          </w:tcPr>
          <w:p>
            <w:pPr>
              <w:spacing w:after="0"/>
              <w:rPr>
                <w:sz w:val="6"/>
                <w:szCs w:val="6"/>
                <w:color w:val="auto"/>
              </w:rPr>
            </w:pPr>
          </w:p>
        </w:tc>
        <w:tc>
          <w:tcPr>
            <w:tcW w:w="1880" w:type="dxa"/>
            <w:vAlign w:val="bottom"/>
            <w:shd w:val="clear" w:color="auto" w:fill="DBDBDB"/>
          </w:tcPr>
          <w:p>
            <w:pPr>
              <w:spacing w:after="0"/>
              <w:rPr>
                <w:sz w:val="6"/>
                <w:szCs w:val="6"/>
                <w:color w:val="auto"/>
              </w:rPr>
            </w:pPr>
          </w:p>
        </w:tc>
        <w:tc>
          <w:tcPr>
            <w:tcW w:w="1880" w:type="dxa"/>
            <w:vAlign w:val="bottom"/>
            <w:shd w:val="clear" w:color="auto" w:fill="DBDBDB"/>
          </w:tcPr>
          <w:p>
            <w:pPr>
              <w:spacing w:after="0"/>
              <w:rPr>
                <w:sz w:val="6"/>
                <w:szCs w:val="6"/>
                <w:color w:val="auto"/>
              </w:rPr>
            </w:pPr>
          </w:p>
        </w:tc>
        <w:tc>
          <w:tcPr>
            <w:tcW w:w="20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940" w:type="dxa"/>
            <w:vAlign w:val="bottom"/>
            <w:shd w:val="clear" w:color="auto" w:fill="AFDCD1"/>
          </w:tcPr>
          <w:p>
            <w:pPr>
              <w:spacing w:after="0"/>
              <w:rPr>
                <w:sz w:val="12"/>
                <w:szCs w:val="12"/>
                <w:color w:val="auto"/>
              </w:rPr>
            </w:pPr>
          </w:p>
        </w:tc>
        <w:tc>
          <w:tcPr>
            <w:tcW w:w="1400" w:type="dxa"/>
            <w:vAlign w:val="bottom"/>
            <w:shd w:val="clear" w:color="auto" w:fill="AFDCD1"/>
          </w:tcPr>
          <w:p>
            <w:pPr>
              <w:spacing w:after="0"/>
              <w:rPr>
                <w:sz w:val="12"/>
                <w:szCs w:val="12"/>
                <w:color w:val="auto"/>
              </w:rPr>
            </w:pPr>
          </w:p>
        </w:tc>
        <w:tc>
          <w:tcPr>
            <w:tcW w:w="1420" w:type="dxa"/>
            <w:vAlign w:val="bottom"/>
            <w:shd w:val="clear" w:color="auto" w:fill="AFDCD1"/>
          </w:tcPr>
          <w:p>
            <w:pPr>
              <w:spacing w:after="0"/>
              <w:rPr>
                <w:sz w:val="12"/>
                <w:szCs w:val="12"/>
                <w:color w:val="auto"/>
              </w:rPr>
            </w:pPr>
          </w:p>
        </w:tc>
        <w:tc>
          <w:tcPr>
            <w:tcW w:w="1680" w:type="dxa"/>
            <w:vAlign w:val="bottom"/>
            <w:shd w:val="clear" w:color="auto" w:fill="AFDCD1"/>
          </w:tcPr>
          <w:p>
            <w:pPr>
              <w:spacing w:after="0"/>
              <w:rPr>
                <w:sz w:val="12"/>
                <w:szCs w:val="12"/>
                <w:color w:val="auto"/>
              </w:rPr>
            </w:pPr>
          </w:p>
        </w:tc>
        <w:tc>
          <w:tcPr>
            <w:tcW w:w="1880" w:type="dxa"/>
            <w:vAlign w:val="bottom"/>
            <w:shd w:val="clear" w:color="auto" w:fill="AFDCD1"/>
          </w:tcPr>
          <w:p>
            <w:pPr>
              <w:spacing w:after="0"/>
              <w:rPr>
                <w:sz w:val="12"/>
                <w:szCs w:val="12"/>
                <w:color w:val="auto"/>
              </w:rPr>
            </w:pPr>
          </w:p>
        </w:tc>
        <w:tc>
          <w:tcPr>
            <w:tcW w:w="1880" w:type="dxa"/>
            <w:vAlign w:val="bottom"/>
            <w:vMerge w:val="restart"/>
            <w:shd w:val="clear" w:color="auto" w:fill="AFDCD1"/>
          </w:tcPr>
          <w:p>
            <w:pPr>
              <w:ind w:left="60"/>
              <w:spacing w:after="0"/>
              <w:rPr>
                <w:sz w:val="20"/>
                <w:szCs w:val="20"/>
                <w:color w:val="auto"/>
              </w:rPr>
            </w:pPr>
            <w:r>
              <w:rPr>
                <w:rFonts w:ascii="Arial" w:cs="Arial" w:eastAsia="Arial" w:hAnsi="Arial"/>
                <w:sz w:val="13"/>
                <w:szCs w:val="13"/>
                <w:color w:val="auto"/>
              </w:rPr>
              <w:t>Bayesian HP optimization</w:t>
            </w:r>
          </w:p>
        </w:tc>
        <w:tc>
          <w:tcPr>
            <w:tcW w:w="2040" w:type="dxa"/>
            <w:vAlign w:val="bottom"/>
            <w:shd w:val="clear" w:color="auto" w:fill="AFDCD1"/>
          </w:tcPr>
          <w:p>
            <w:pPr>
              <w:ind w:left="120"/>
              <w:spacing w:after="0" w:line="143" w:lineRule="exact"/>
              <w:rPr>
                <w:sz w:val="20"/>
                <w:szCs w:val="20"/>
                <w:color w:val="auto"/>
              </w:rPr>
            </w:pPr>
            <w:r>
              <w:rPr>
                <w:rFonts w:ascii="Arial" w:cs="Arial" w:eastAsia="Arial" w:hAnsi="Arial"/>
                <w:sz w:val="13"/>
                <w:szCs w:val="13"/>
                <w:color w:val="auto"/>
              </w:rPr>
              <w:t>Neural networks</w:t>
            </w:r>
          </w:p>
        </w:tc>
        <w:tc>
          <w:tcPr>
            <w:tcW w:w="0" w:type="dxa"/>
            <w:vAlign w:val="bottom"/>
          </w:tcPr>
          <w:p>
            <w:pPr>
              <w:spacing w:after="0"/>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shd w:val="clear" w:color="auto" w:fill="AFDCD1"/>
          </w:tcPr>
          <w:p>
            <w:pPr>
              <w:spacing w:after="0"/>
              <w:rPr>
                <w:sz w:val="10"/>
                <w:szCs w:val="10"/>
                <w:color w:val="auto"/>
              </w:rPr>
            </w:pPr>
          </w:p>
        </w:tc>
        <w:tc>
          <w:tcPr>
            <w:tcW w:w="1420" w:type="dxa"/>
            <w:vAlign w:val="bottom"/>
            <w:shd w:val="clear" w:color="auto" w:fill="AFDCD1"/>
          </w:tcPr>
          <w:p>
            <w:pPr>
              <w:spacing w:after="0"/>
              <w:rPr>
                <w:sz w:val="10"/>
                <w:szCs w:val="10"/>
                <w:color w:val="auto"/>
              </w:rPr>
            </w:pPr>
          </w:p>
        </w:tc>
        <w:tc>
          <w:tcPr>
            <w:tcW w:w="1680" w:type="dxa"/>
            <w:vAlign w:val="bottom"/>
            <w:shd w:val="clear" w:color="auto" w:fill="AFDCD1"/>
          </w:tcPr>
          <w:p>
            <w:pPr>
              <w:spacing w:after="0"/>
              <w:rPr>
                <w:sz w:val="10"/>
                <w:szCs w:val="10"/>
                <w:color w:val="auto"/>
              </w:rPr>
            </w:pPr>
          </w:p>
        </w:tc>
        <w:tc>
          <w:tcPr>
            <w:tcW w:w="1880" w:type="dxa"/>
            <w:vAlign w:val="bottom"/>
            <w:vMerge w:val="restart"/>
            <w:shd w:val="clear" w:color="auto" w:fill="AFDCD1"/>
          </w:tcPr>
          <w:p>
            <w:pPr>
              <w:ind w:left="140"/>
              <w:spacing w:after="0"/>
              <w:rPr>
                <w:sz w:val="20"/>
                <w:szCs w:val="20"/>
                <w:color w:val="auto"/>
              </w:rPr>
            </w:pPr>
            <w:r>
              <w:rPr>
                <w:rFonts w:ascii="Arial" w:cs="Arial" w:eastAsia="Arial" w:hAnsi="Arial"/>
                <w:sz w:val="13"/>
                <w:szCs w:val="13"/>
                <w:color w:val="auto"/>
              </w:rPr>
              <w:t>Dynamic equilibrium targeting</w:t>
            </w:r>
          </w:p>
        </w:tc>
        <w:tc>
          <w:tcPr>
            <w:tcW w:w="1880" w:type="dxa"/>
            <w:vAlign w:val="bottom"/>
            <w:vMerge w:val="continue"/>
            <w:shd w:val="clear" w:color="auto" w:fill="AFDCD1"/>
          </w:tcPr>
          <w:p>
            <w:pPr>
              <w:spacing w:after="0"/>
              <w:rPr>
                <w:sz w:val="10"/>
                <w:szCs w:val="10"/>
                <w:color w:val="auto"/>
              </w:rPr>
            </w:pP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Bayesian HP optimization</w:t>
            </w:r>
          </w:p>
        </w:tc>
        <w:tc>
          <w:tcPr>
            <w:tcW w:w="0" w:type="dxa"/>
            <w:vAlign w:val="bottom"/>
          </w:tcPr>
          <w:p>
            <w:pPr>
              <w:spacing w:after="0"/>
              <w:rPr>
                <w:sz w:val="1"/>
                <w:szCs w:val="1"/>
                <w:color w:val="auto"/>
              </w:rPr>
            </w:pPr>
          </w:p>
        </w:tc>
      </w:tr>
      <w:tr>
        <w:trPr>
          <w:trHeight w:val="121"/>
        </w:trPr>
        <w:tc>
          <w:tcPr>
            <w:tcW w:w="940" w:type="dxa"/>
            <w:vAlign w:val="bottom"/>
            <w:shd w:val="clear" w:color="auto" w:fill="AFDCD1"/>
          </w:tcPr>
          <w:p>
            <w:pPr>
              <w:spacing w:after="0"/>
              <w:rPr>
                <w:sz w:val="10"/>
                <w:szCs w:val="10"/>
                <w:color w:val="auto"/>
              </w:rPr>
            </w:pPr>
          </w:p>
        </w:tc>
        <w:tc>
          <w:tcPr>
            <w:tcW w:w="1400" w:type="dxa"/>
            <w:vAlign w:val="bottom"/>
            <w:shd w:val="clear" w:color="auto" w:fill="AFDCD1"/>
          </w:tcPr>
          <w:p>
            <w:pPr>
              <w:spacing w:after="0"/>
              <w:rPr>
                <w:sz w:val="10"/>
                <w:szCs w:val="10"/>
                <w:color w:val="auto"/>
              </w:rPr>
            </w:pPr>
          </w:p>
        </w:tc>
        <w:tc>
          <w:tcPr>
            <w:tcW w:w="1420" w:type="dxa"/>
            <w:vAlign w:val="bottom"/>
            <w:shd w:val="clear" w:color="auto" w:fill="AFDCD1"/>
          </w:tcPr>
          <w:p>
            <w:pPr>
              <w:spacing w:after="0"/>
              <w:rPr>
                <w:sz w:val="10"/>
                <w:szCs w:val="10"/>
                <w:color w:val="auto"/>
              </w:rPr>
            </w:pPr>
          </w:p>
        </w:tc>
        <w:tc>
          <w:tcPr>
            <w:tcW w:w="1680" w:type="dxa"/>
            <w:vAlign w:val="bottom"/>
            <w:shd w:val="clear" w:color="auto" w:fill="AFDCD1"/>
          </w:tcPr>
          <w:p>
            <w:pPr>
              <w:spacing w:after="0"/>
              <w:rPr>
                <w:sz w:val="10"/>
                <w:szCs w:val="10"/>
                <w:color w:val="auto"/>
              </w:rPr>
            </w:pPr>
          </w:p>
        </w:tc>
        <w:tc>
          <w:tcPr>
            <w:tcW w:w="1880" w:type="dxa"/>
            <w:vAlign w:val="bottom"/>
            <w:vMerge w:val="continue"/>
            <w:shd w:val="clear" w:color="auto" w:fill="AFDCD1"/>
          </w:tcPr>
          <w:p>
            <w:pPr>
              <w:spacing w:after="0"/>
              <w:rPr>
                <w:sz w:val="10"/>
                <w:szCs w:val="10"/>
                <w:color w:val="auto"/>
              </w:rPr>
            </w:pP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Discretized gradient boosting</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Discretized gradient boosting</w:t>
            </w:r>
          </w:p>
        </w:tc>
        <w:tc>
          <w:tcPr>
            <w:tcW w:w="0" w:type="dxa"/>
            <w:vAlign w:val="bottom"/>
          </w:tcPr>
          <w:p>
            <w:pPr>
              <w:spacing w:after="0"/>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shd w:val="clear" w:color="auto" w:fill="AFDCD1"/>
          </w:tcPr>
          <w:p>
            <w:pPr>
              <w:spacing w:after="0"/>
              <w:rPr>
                <w:sz w:val="10"/>
                <w:szCs w:val="10"/>
                <w:color w:val="auto"/>
              </w:rPr>
            </w:pPr>
          </w:p>
        </w:tc>
        <w:tc>
          <w:tcPr>
            <w:tcW w:w="1420" w:type="dxa"/>
            <w:vAlign w:val="bottom"/>
            <w:shd w:val="clear" w:color="auto" w:fill="AFDCD1"/>
          </w:tcPr>
          <w:p>
            <w:pPr>
              <w:spacing w:after="0"/>
              <w:rPr>
                <w:sz w:val="10"/>
                <w:szCs w:val="10"/>
                <w:color w:val="auto"/>
              </w:rPr>
            </w:pPr>
          </w:p>
        </w:tc>
        <w:tc>
          <w:tcPr>
            <w:tcW w:w="1680" w:type="dxa"/>
            <w:vAlign w:val="bottom"/>
            <w:vMerge w:val="restart"/>
            <w:shd w:val="clear" w:color="auto" w:fill="AFDCD1"/>
          </w:tcPr>
          <w:p>
            <w:pPr>
              <w:ind w:left="80"/>
              <w:spacing w:after="0"/>
              <w:rPr>
                <w:sz w:val="20"/>
                <w:szCs w:val="20"/>
                <w:color w:val="auto"/>
              </w:rPr>
            </w:pPr>
            <w:r>
              <w:rPr>
                <w:rFonts w:ascii="Arial" w:cs="Arial" w:eastAsia="Arial" w:hAnsi="Arial"/>
                <w:sz w:val="13"/>
                <w:szCs w:val="13"/>
                <w:color w:val="auto"/>
                <w:w w:val="96"/>
              </w:rPr>
              <w:t>Stochastic gradient boosting</w:t>
            </w:r>
          </w:p>
        </w:tc>
        <w:tc>
          <w:tcPr>
            <w:tcW w:w="1880" w:type="dxa"/>
            <w:vAlign w:val="bottom"/>
            <w:shd w:val="clear" w:color="auto" w:fill="AFDCD1"/>
          </w:tcPr>
          <w:p>
            <w:pPr>
              <w:ind w:left="140"/>
              <w:spacing w:after="0" w:line="122" w:lineRule="exact"/>
              <w:rPr>
                <w:sz w:val="20"/>
                <w:szCs w:val="20"/>
                <w:color w:val="auto"/>
              </w:rPr>
            </w:pPr>
            <w:r>
              <w:rPr>
                <w:rFonts w:ascii="Arial" w:cs="Arial" w:eastAsia="Arial" w:hAnsi="Arial"/>
                <w:sz w:val="13"/>
                <w:szCs w:val="13"/>
                <w:color w:val="auto"/>
              </w:rPr>
              <w:t>Recursive AS model</w:t>
            </w: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Dynamic equilibrium targeting</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Dynamic equilibrium targeting</w:t>
            </w:r>
          </w:p>
        </w:tc>
        <w:tc>
          <w:tcPr>
            <w:tcW w:w="0" w:type="dxa"/>
            <w:vAlign w:val="bottom"/>
          </w:tcPr>
          <w:p>
            <w:pPr>
              <w:spacing w:after="0"/>
              <w:rPr>
                <w:sz w:val="1"/>
                <w:szCs w:val="1"/>
                <w:color w:val="auto"/>
              </w:rPr>
            </w:pPr>
          </w:p>
        </w:tc>
      </w:tr>
      <w:tr>
        <w:trPr>
          <w:trHeight w:val="122"/>
        </w:trPr>
        <w:tc>
          <w:tcPr>
            <w:tcW w:w="940" w:type="dxa"/>
            <w:vAlign w:val="bottom"/>
            <w:vMerge w:val="restart"/>
            <w:shd w:val="clear" w:color="auto" w:fill="AFDCD1"/>
          </w:tcPr>
          <w:p>
            <w:pPr>
              <w:jc w:val="center"/>
              <w:ind w:left="17"/>
              <w:spacing w:after="0"/>
              <w:rPr>
                <w:sz w:val="20"/>
                <w:szCs w:val="20"/>
                <w:color w:val="auto"/>
              </w:rPr>
            </w:pPr>
            <w:r>
              <w:rPr>
                <w:rFonts w:ascii="Arial" w:cs="Arial" w:eastAsia="Arial" w:hAnsi="Arial"/>
                <w:sz w:val="13"/>
                <w:szCs w:val="13"/>
                <w:color w:val="auto"/>
                <w:w w:val="94"/>
              </w:rPr>
              <w:t>Modeling</w:t>
            </w:r>
          </w:p>
        </w:tc>
        <w:tc>
          <w:tcPr>
            <w:tcW w:w="1400" w:type="dxa"/>
            <w:vAlign w:val="bottom"/>
            <w:shd w:val="clear" w:color="auto" w:fill="AFDCD1"/>
          </w:tcPr>
          <w:p>
            <w:pPr>
              <w:spacing w:after="0"/>
              <w:rPr>
                <w:sz w:val="10"/>
                <w:szCs w:val="10"/>
                <w:color w:val="auto"/>
              </w:rPr>
            </w:pPr>
          </w:p>
        </w:tc>
        <w:tc>
          <w:tcPr>
            <w:tcW w:w="1420" w:type="dxa"/>
            <w:vAlign w:val="bottom"/>
            <w:shd w:val="clear" w:color="auto" w:fill="AFDCD1"/>
          </w:tcPr>
          <w:p>
            <w:pPr>
              <w:spacing w:after="0"/>
              <w:rPr>
                <w:sz w:val="10"/>
                <w:szCs w:val="10"/>
                <w:color w:val="auto"/>
              </w:rPr>
            </w:pPr>
          </w:p>
        </w:tc>
        <w:tc>
          <w:tcPr>
            <w:tcW w:w="1680" w:type="dxa"/>
            <w:vAlign w:val="bottom"/>
            <w:vMerge w:val="continue"/>
            <w:shd w:val="clear" w:color="auto" w:fill="AFDCD1"/>
          </w:tcPr>
          <w:p>
            <w:pPr>
              <w:spacing w:after="0"/>
              <w:rPr>
                <w:sz w:val="10"/>
                <w:szCs w:val="10"/>
                <w:color w:val="auto"/>
              </w:rPr>
            </w:pPr>
          </w:p>
        </w:tc>
        <w:tc>
          <w:tcPr>
            <w:tcW w:w="1880" w:type="dxa"/>
            <w:vAlign w:val="bottom"/>
            <w:shd w:val="clear" w:color="auto" w:fill="AFDCD1"/>
          </w:tcPr>
          <w:p>
            <w:pPr>
              <w:ind w:left="140"/>
              <w:spacing w:after="0" w:line="122" w:lineRule="exact"/>
              <w:rPr>
                <w:sz w:val="20"/>
                <w:szCs w:val="20"/>
                <w:color w:val="auto"/>
              </w:rPr>
            </w:pPr>
            <w:r>
              <w:rPr>
                <w:rFonts w:ascii="Arial" w:cs="Arial" w:eastAsia="Arial" w:hAnsi="Arial"/>
                <w:sz w:val="13"/>
                <w:szCs w:val="13"/>
                <w:color w:val="auto"/>
              </w:rPr>
              <w:t>Stochastic gradient boosting</w:t>
            </w: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Recursive AS model</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Recursive AS model</w:t>
            </w:r>
          </w:p>
        </w:tc>
        <w:tc>
          <w:tcPr>
            <w:tcW w:w="0" w:type="dxa"/>
            <w:vAlign w:val="bottom"/>
          </w:tcPr>
          <w:p>
            <w:pPr>
              <w:spacing w:after="0"/>
              <w:rPr>
                <w:sz w:val="1"/>
                <w:szCs w:val="1"/>
                <w:color w:val="auto"/>
              </w:rPr>
            </w:pPr>
          </w:p>
        </w:tc>
      </w:tr>
      <w:tr>
        <w:trPr>
          <w:trHeight w:val="54"/>
        </w:trPr>
        <w:tc>
          <w:tcPr>
            <w:tcW w:w="940" w:type="dxa"/>
            <w:vAlign w:val="bottom"/>
            <w:vMerge w:val="continue"/>
            <w:shd w:val="clear" w:color="auto" w:fill="AFDCD1"/>
          </w:tcPr>
          <w:p>
            <w:pPr>
              <w:spacing w:after="0"/>
              <w:rPr>
                <w:sz w:val="4"/>
                <w:szCs w:val="4"/>
                <w:color w:val="auto"/>
              </w:rPr>
            </w:pPr>
          </w:p>
        </w:tc>
        <w:tc>
          <w:tcPr>
            <w:tcW w:w="1400" w:type="dxa"/>
            <w:vAlign w:val="bottom"/>
            <w:shd w:val="clear" w:color="auto" w:fill="AFDCD1"/>
          </w:tcPr>
          <w:p>
            <w:pPr>
              <w:spacing w:after="0"/>
              <w:rPr>
                <w:sz w:val="4"/>
                <w:szCs w:val="4"/>
                <w:color w:val="auto"/>
              </w:rPr>
            </w:pPr>
          </w:p>
        </w:tc>
        <w:tc>
          <w:tcPr>
            <w:tcW w:w="1420" w:type="dxa"/>
            <w:vAlign w:val="bottom"/>
            <w:shd w:val="clear" w:color="auto" w:fill="AFDCD1"/>
          </w:tcPr>
          <w:p>
            <w:pPr>
              <w:spacing w:after="0"/>
              <w:rPr>
                <w:sz w:val="4"/>
                <w:szCs w:val="4"/>
                <w:color w:val="auto"/>
              </w:rPr>
            </w:pPr>
          </w:p>
        </w:tc>
        <w:tc>
          <w:tcPr>
            <w:tcW w:w="1680" w:type="dxa"/>
            <w:vAlign w:val="bottom"/>
            <w:vMerge w:val="restart"/>
            <w:shd w:val="clear" w:color="auto" w:fill="AFDCD1"/>
          </w:tcPr>
          <w:p>
            <w:pPr>
              <w:ind w:left="80"/>
              <w:spacing w:after="0" w:line="122" w:lineRule="exact"/>
              <w:rPr>
                <w:sz w:val="20"/>
                <w:szCs w:val="20"/>
                <w:color w:val="auto"/>
              </w:rPr>
            </w:pPr>
            <w:r>
              <w:rPr>
                <w:rFonts w:ascii="Arial" w:cs="Arial" w:eastAsia="Arial" w:hAnsi="Arial"/>
                <w:sz w:val="13"/>
                <w:szCs w:val="13"/>
                <w:color w:val="auto"/>
              </w:rPr>
              <w:t>Game-theoretic feature</w:t>
            </w:r>
          </w:p>
        </w:tc>
        <w:tc>
          <w:tcPr>
            <w:tcW w:w="1880" w:type="dxa"/>
            <w:vAlign w:val="bottom"/>
            <w:vMerge w:val="restart"/>
            <w:shd w:val="clear" w:color="auto" w:fill="AFDCD1"/>
          </w:tcPr>
          <w:p>
            <w:pPr>
              <w:ind w:left="140"/>
              <w:spacing w:after="0" w:line="122" w:lineRule="exact"/>
              <w:rPr>
                <w:sz w:val="20"/>
                <w:szCs w:val="20"/>
                <w:color w:val="auto"/>
              </w:rPr>
            </w:pPr>
            <w:r>
              <w:rPr>
                <w:rFonts w:ascii="Arial" w:cs="Arial" w:eastAsia="Arial" w:hAnsi="Arial"/>
                <w:sz w:val="13"/>
                <w:szCs w:val="13"/>
                <w:color w:val="auto"/>
              </w:rPr>
              <w:t>Game-theoretic feature</w:t>
            </w:r>
          </w:p>
        </w:tc>
        <w:tc>
          <w:tcPr>
            <w:tcW w:w="1880" w:type="dxa"/>
            <w:vAlign w:val="bottom"/>
            <w:vMerge w:val="restart"/>
            <w:shd w:val="clear" w:color="auto" w:fill="AFDCD1"/>
          </w:tcPr>
          <w:p>
            <w:pPr>
              <w:ind w:left="60"/>
              <w:spacing w:after="0" w:line="122" w:lineRule="exact"/>
              <w:rPr>
                <w:sz w:val="20"/>
                <w:szCs w:val="20"/>
                <w:color w:val="auto"/>
              </w:rPr>
            </w:pPr>
            <w:r>
              <w:rPr>
                <w:rFonts w:ascii="Arial" w:cs="Arial" w:eastAsia="Arial" w:hAnsi="Arial"/>
                <w:sz w:val="13"/>
                <w:szCs w:val="13"/>
                <w:color w:val="auto"/>
              </w:rPr>
              <w:t>Stochastic gradient boosting</w:t>
            </w:r>
          </w:p>
        </w:tc>
        <w:tc>
          <w:tcPr>
            <w:tcW w:w="2040" w:type="dxa"/>
            <w:vAlign w:val="bottom"/>
            <w:vMerge w:val="restart"/>
            <w:shd w:val="clear" w:color="auto" w:fill="AFDCD1"/>
          </w:tcPr>
          <w:p>
            <w:pPr>
              <w:ind w:left="120"/>
              <w:spacing w:after="0" w:line="122" w:lineRule="exact"/>
              <w:rPr>
                <w:sz w:val="20"/>
                <w:szCs w:val="20"/>
                <w:color w:val="auto"/>
              </w:rPr>
            </w:pPr>
            <w:r>
              <w:rPr>
                <w:rFonts w:ascii="Arial" w:cs="Arial" w:eastAsia="Arial" w:hAnsi="Arial"/>
                <w:sz w:val="13"/>
                <w:szCs w:val="13"/>
                <w:color w:val="auto"/>
              </w:rPr>
              <w:t>Stochastic gradient boosting</w:t>
            </w:r>
          </w:p>
        </w:tc>
        <w:tc>
          <w:tcPr>
            <w:tcW w:w="0" w:type="dxa"/>
            <w:vAlign w:val="bottom"/>
          </w:tcPr>
          <w:p>
            <w:pPr>
              <w:spacing w:after="0"/>
              <w:rPr>
                <w:sz w:val="1"/>
                <w:szCs w:val="1"/>
                <w:color w:val="auto"/>
              </w:rPr>
            </w:pPr>
          </w:p>
        </w:tc>
      </w:tr>
      <w:tr>
        <w:trPr>
          <w:trHeight w:val="68"/>
        </w:trPr>
        <w:tc>
          <w:tcPr>
            <w:tcW w:w="940" w:type="dxa"/>
            <w:vAlign w:val="bottom"/>
            <w:vMerge w:val="restart"/>
            <w:shd w:val="clear" w:color="auto" w:fill="AFDCD1"/>
          </w:tcPr>
          <w:p>
            <w:pPr>
              <w:jc w:val="center"/>
              <w:ind w:left="17"/>
              <w:spacing w:after="0"/>
              <w:rPr>
                <w:sz w:val="20"/>
                <w:szCs w:val="20"/>
                <w:color w:val="auto"/>
              </w:rPr>
            </w:pPr>
            <w:r>
              <w:rPr>
                <w:rFonts w:ascii="Arial" w:cs="Arial" w:eastAsia="Arial" w:hAnsi="Arial"/>
                <w:sz w:val="13"/>
                <w:szCs w:val="13"/>
                <w:color w:val="auto"/>
                <w:w w:val="86"/>
              </w:rPr>
              <w:t>Techniques</w:t>
            </w:r>
          </w:p>
        </w:tc>
        <w:tc>
          <w:tcPr>
            <w:tcW w:w="1400" w:type="dxa"/>
            <w:vAlign w:val="bottom"/>
            <w:shd w:val="clear" w:color="auto" w:fill="AFDCD1"/>
          </w:tcPr>
          <w:p>
            <w:pPr>
              <w:spacing w:after="0"/>
              <w:rPr>
                <w:sz w:val="5"/>
                <w:szCs w:val="5"/>
                <w:color w:val="auto"/>
              </w:rPr>
            </w:pPr>
          </w:p>
        </w:tc>
        <w:tc>
          <w:tcPr>
            <w:tcW w:w="1420" w:type="dxa"/>
            <w:vAlign w:val="bottom"/>
            <w:shd w:val="clear" w:color="auto" w:fill="AFDCD1"/>
          </w:tcPr>
          <w:p>
            <w:pPr>
              <w:spacing w:after="0"/>
              <w:rPr>
                <w:sz w:val="5"/>
                <w:szCs w:val="5"/>
                <w:color w:val="auto"/>
              </w:rPr>
            </w:pPr>
          </w:p>
        </w:tc>
        <w:tc>
          <w:tcPr>
            <w:tcW w:w="1680" w:type="dxa"/>
            <w:vAlign w:val="bottom"/>
            <w:vMerge w:val="continue"/>
            <w:shd w:val="clear" w:color="auto" w:fill="AFDCD1"/>
          </w:tcPr>
          <w:p>
            <w:pPr>
              <w:spacing w:after="0"/>
              <w:rPr>
                <w:sz w:val="5"/>
                <w:szCs w:val="5"/>
                <w:color w:val="auto"/>
              </w:rPr>
            </w:pPr>
          </w:p>
        </w:tc>
        <w:tc>
          <w:tcPr>
            <w:tcW w:w="1880" w:type="dxa"/>
            <w:vAlign w:val="bottom"/>
            <w:vMerge w:val="continue"/>
            <w:shd w:val="clear" w:color="auto" w:fill="AFDCD1"/>
          </w:tcPr>
          <w:p>
            <w:pPr>
              <w:spacing w:after="0"/>
              <w:rPr>
                <w:sz w:val="5"/>
                <w:szCs w:val="5"/>
                <w:color w:val="auto"/>
              </w:rPr>
            </w:pPr>
          </w:p>
        </w:tc>
        <w:tc>
          <w:tcPr>
            <w:tcW w:w="1880" w:type="dxa"/>
            <w:vAlign w:val="bottom"/>
            <w:vMerge w:val="continue"/>
            <w:shd w:val="clear" w:color="auto" w:fill="AFDCD1"/>
          </w:tcPr>
          <w:p>
            <w:pPr>
              <w:spacing w:after="0"/>
              <w:rPr>
                <w:sz w:val="5"/>
                <w:szCs w:val="5"/>
                <w:color w:val="auto"/>
              </w:rPr>
            </w:pPr>
          </w:p>
        </w:tc>
        <w:tc>
          <w:tcPr>
            <w:tcW w:w="2040" w:type="dxa"/>
            <w:vAlign w:val="bottom"/>
            <w:vMerge w:val="continue"/>
            <w:shd w:val="clear" w:color="auto" w:fill="AFDCD1"/>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40" w:type="dxa"/>
            <w:vAlign w:val="bottom"/>
            <w:vMerge w:val="continue"/>
            <w:shd w:val="clear" w:color="auto" w:fill="AFDCD1"/>
          </w:tcPr>
          <w:p>
            <w:pPr>
              <w:spacing w:after="0"/>
              <w:rPr>
                <w:sz w:val="8"/>
                <w:szCs w:val="8"/>
                <w:color w:val="auto"/>
              </w:rPr>
            </w:pPr>
          </w:p>
        </w:tc>
        <w:tc>
          <w:tcPr>
            <w:tcW w:w="1400" w:type="dxa"/>
            <w:vAlign w:val="bottom"/>
            <w:shd w:val="clear" w:color="auto" w:fill="AFDCD1"/>
          </w:tcPr>
          <w:p>
            <w:pPr>
              <w:spacing w:after="0"/>
              <w:rPr>
                <w:sz w:val="8"/>
                <w:szCs w:val="8"/>
                <w:color w:val="auto"/>
              </w:rPr>
            </w:pPr>
          </w:p>
        </w:tc>
        <w:tc>
          <w:tcPr>
            <w:tcW w:w="1420" w:type="dxa"/>
            <w:vAlign w:val="bottom"/>
            <w:shd w:val="clear" w:color="auto" w:fill="AFDCD1"/>
          </w:tcPr>
          <w:p>
            <w:pPr>
              <w:spacing w:after="0"/>
              <w:rPr>
                <w:sz w:val="8"/>
                <w:szCs w:val="8"/>
                <w:color w:val="auto"/>
              </w:rPr>
            </w:pPr>
          </w:p>
        </w:tc>
        <w:tc>
          <w:tcPr>
            <w:tcW w:w="1680" w:type="dxa"/>
            <w:vAlign w:val="bottom"/>
            <w:vMerge w:val="restart"/>
            <w:shd w:val="clear" w:color="auto" w:fill="AFDCD1"/>
          </w:tcPr>
          <w:p>
            <w:pPr>
              <w:ind w:left="80"/>
              <w:spacing w:after="0" w:line="122" w:lineRule="exact"/>
              <w:rPr>
                <w:sz w:val="20"/>
                <w:szCs w:val="20"/>
                <w:color w:val="auto"/>
              </w:rPr>
            </w:pPr>
            <w:r>
              <w:rPr>
                <w:rFonts w:ascii="Arial" w:cs="Arial" w:eastAsia="Arial" w:hAnsi="Arial"/>
                <w:sz w:val="13"/>
                <w:szCs w:val="13"/>
                <w:color w:val="auto"/>
              </w:rPr>
              <w:t>priority</w:t>
            </w:r>
          </w:p>
        </w:tc>
        <w:tc>
          <w:tcPr>
            <w:tcW w:w="1880" w:type="dxa"/>
            <w:vAlign w:val="bottom"/>
            <w:vMerge w:val="restart"/>
            <w:shd w:val="clear" w:color="auto" w:fill="AFDCD1"/>
          </w:tcPr>
          <w:p>
            <w:pPr>
              <w:ind w:left="140"/>
              <w:spacing w:after="0" w:line="122" w:lineRule="exact"/>
              <w:rPr>
                <w:sz w:val="20"/>
                <w:szCs w:val="20"/>
                <w:color w:val="auto"/>
              </w:rPr>
            </w:pPr>
            <w:r>
              <w:rPr>
                <w:rFonts w:ascii="Arial" w:cs="Arial" w:eastAsia="Arial" w:hAnsi="Arial"/>
                <w:sz w:val="13"/>
                <w:szCs w:val="13"/>
                <w:color w:val="auto"/>
              </w:rPr>
              <w:t>priority</w:t>
            </w:r>
          </w:p>
        </w:tc>
        <w:tc>
          <w:tcPr>
            <w:tcW w:w="1880" w:type="dxa"/>
            <w:vAlign w:val="bottom"/>
            <w:vMerge w:val="restart"/>
            <w:shd w:val="clear" w:color="auto" w:fill="AFDCD1"/>
          </w:tcPr>
          <w:p>
            <w:pPr>
              <w:ind w:left="60"/>
              <w:spacing w:after="0" w:line="122" w:lineRule="exact"/>
              <w:rPr>
                <w:sz w:val="20"/>
                <w:szCs w:val="20"/>
                <w:color w:val="auto"/>
              </w:rPr>
            </w:pPr>
            <w:r>
              <w:rPr>
                <w:rFonts w:ascii="Arial" w:cs="Arial" w:eastAsia="Arial" w:hAnsi="Arial"/>
                <w:sz w:val="13"/>
                <w:szCs w:val="13"/>
                <w:color w:val="auto"/>
              </w:rPr>
              <w:t>Probabilistic regression</w:t>
            </w:r>
          </w:p>
        </w:tc>
        <w:tc>
          <w:tcPr>
            <w:tcW w:w="2040" w:type="dxa"/>
            <w:vAlign w:val="bottom"/>
            <w:vMerge w:val="restart"/>
            <w:shd w:val="clear" w:color="auto" w:fill="AFDCD1"/>
          </w:tcPr>
          <w:p>
            <w:pPr>
              <w:ind w:left="120"/>
              <w:spacing w:after="0" w:line="122" w:lineRule="exact"/>
              <w:rPr>
                <w:sz w:val="20"/>
                <w:szCs w:val="20"/>
                <w:color w:val="auto"/>
              </w:rPr>
            </w:pPr>
            <w:r>
              <w:rPr>
                <w:rFonts w:ascii="Arial" w:cs="Arial" w:eastAsia="Arial" w:hAnsi="Arial"/>
                <w:sz w:val="13"/>
                <w:szCs w:val="13"/>
                <w:color w:val="auto"/>
              </w:rPr>
              <w:t>Probabilistic regression</w:t>
            </w:r>
          </w:p>
        </w:tc>
        <w:tc>
          <w:tcPr>
            <w:tcW w:w="0" w:type="dxa"/>
            <w:vAlign w:val="bottom"/>
          </w:tcPr>
          <w:p>
            <w:pPr>
              <w:spacing w:after="0"/>
              <w:rPr>
                <w:sz w:val="1"/>
                <w:szCs w:val="1"/>
                <w:color w:val="auto"/>
              </w:rPr>
            </w:pPr>
          </w:p>
        </w:tc>
      </w:tr>
      <w:tr>
        <w:trPr>
          <w:trHeight w:val="29"/>
        </w:trPr>
        <w:tc>
          <w:tcPr>
            <w:tcW w:w="940" w:type="dxa"/>
            <w:vAlign w:val="bottom"/>
            <w:shd w:val="clear" w:color="auto" w:fill="AFDCD1"/>
          </w:tcPr>
          <w:p>
            <w:pPr>
              <w:spacing w:after="0"/>
              <w:rPr>
                <w:sz w:val="2"/>
                <w:szCs w:val="2"/>
                <w:color w:val="auto"/>
              </w:rPr>
            </w:pPr>
          </w:p>
        </w:tc>
        <w:tc>
          <w:tcPr>
            <w:tcW w:w="1400" w:type="dxa"/>
            <w:vAlign w:val="bottom"/>
            <w:shd w:val="clear" w:color="auto" w:fill="AFDCD1"/>
          </w:tcPr>
          <w:p>
            <w:pPr>
              <w:spacing w:after="0"/>
              <w:rPr>
                <w:sz w:val="2"/>
                <w:szCs w:val="2"/>
                <w:color w:val="auto"/>
              </w:rPr>
            </w:pPr>
          </w:p>
        </w:tc>
        <w:tc>
          <w:tcPr>
            <w:tcW w:w="1420" w:type="dxa"/>
            <w:vAlign w:val="bottom"/>
            <w:vMerge w:val="restart"/>
            <w:shd w:val="clear" w:color="auto" w:fill="AFDCD1"/>
          </w:tcPr>
          <w:p>
            <w:pPr>
              <w:ind w:left="60"/>
              <w:spacing w:after="0"/>
              <w:rPr>
                <w:sz w:val="20"/>
                <w:szCs w:val="20"/>
                <w:color w:val="auto"/>
              </w:rPr>
            </w:pPr>
            <w:r>
              <w:rPr>
                <w:rFonts w:ascii="Arial" w:cs="Arial" w:eastAsia="Arial" w:hAnsi="Arial"/>
                <w:sz w:val="13"/>
                <w:szCs w:val="13"/>
                <w:color w:val="auto"/>
                <w:w w:val="99"/>
              </w:rPr>
              <w:t>Probabilistic regression</w:t>
            </w:r>
          </w:p>
        </w:tc>
        <w:tc>
          <w:tcPr>
            <w:tcW w:w="1680" w:type="dxa"/>
            <w:vAlign w:val="bottom"/>
            <w:vMerge w:val="continue"/>
            <w:shd w:val="clear" w:color="auto" w:fill="AFDCD1"/>
          </w:tcPr>
          <w:p>
            <w:pPr>
              <w:spacing w:after="0"/>
              <w:rPr>
                <w:sz w:val="2"/>
                <w:szCs w:val="2"/>
                <w:color w:val="auto"/>
              </w:rPr>
            </w:pPr>
          </w:p>
        </w:tc>
        <w:tc>
          <w:tcPr>
            <w:tcW w:w="1880" w:type="dxa"/>
            <w:vAlign w:val="bottom"/>
            <w:vMerge w:val="continue"/>
            <w:shd w:val="clear" w:color="auto" w:fill="AFDCD1"/>
          </w:tcPr>
          <w:p>
            <w:pPr>
              <w:spacing w:after="0"/>
              <w:rPr>
                <w:sz w:val="2"/>
                <w:szCs w:val="2"/>
                <w:color w:val="auto"/>
              </w:rPr>
            </w:pPr>
          </w:p>
        </w:tc>
        <w:tc>
          <w:tcPr>
            <w:tcW w:w="1880" w:type="dxa"/>
            <w:vAlign w:val="bottom"/>
            <w:vMerge w:val="continue"/>
            <w:shd w:val="clear" w:color="auto" w:fill="AFDCD1"/>
          </w:tcPr>
          <w:p>
            <w:pPr>
              <w:spacing w:after="0"/>
              <w:rPr>
                <w:sz w:val="2"/>
                <w:szCs w:val="2"/>
                <w:color w:val="auto"/>
              </w:rPr>
            </w:pPr>
          </w:p>
        </w:tc>
        <w:tc>
          <w:tcPr>
            <w:tcW w:w="2040" w:type="dxa"/>
            <w:vAlign w:val="bottom"/>
            <w:vMerge w:val="continue"/>
            <w:shd w:val="clear" w:color="auto" w:fill="AFDCD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shd w:val="clear" w:color="auto" w:fill="AFDCD1"/>
          </w:tcPr>
          <w:p>
            <w:pPr>
              <w:spacing w:after="0"/>
              <w:rPr>
                <w:sz w:val="10"/>
                <w:szCs w:val="10"/>
                <w:color w:val="auto"/>
              </w:rPr>
            </w:pPr>
          </w:p>
        </w:tc>
        <w:tc>
          <w:tcPr>
            <w:tcW w:w="1400" w:type="dxa"/>
            <w:vAlign w:val="bottom"/>
            <w:shd w:val="clear" w:color="auto" w:fill="AFDCD1"/>
          </w:tcPr>
          <w:p>
            <w:pPr>
              <w:spacing w:after="0"/>
              <w:rPr>
                <w:sz w:val="10"/>
                <w:szCs w:val="10"/>
                <w:color w:val="auto"/>
              </w:rPr>
            </w:pPr>
          </w:p>
        </w:tc>
        <w:tc>
          <w:tcPr>
            <w:tcW w:w="1420" w:type="dxa"/>
            <w:vAlign w:val="bottom"/>
            <w:vMerge w:val="continue"/>
            <w:shd w:val="clear" w:color="auto" w:fill="AFDCD1"/>
          </w:tcPr>
          <w:p>
            <w:pPr>
              <w:spacing w:after="0"/>
              <w:rPr>
                <w:sz w:val="10"/>
                <w:szCs w:val="10"/>
                <w:color w:val="auto"/>
              </w:rPr>
            </w:pPr>
          </w:p>
        </w:tc>
        <w:tc>
          <w:tcPr>
            <w:tcW w:w="1680" w:type="dxa"/>
            <w:vAlign w:val="bottom"/>
            <w:shd w:val="clear" w:color="auto" w:fill="AFDCD1"/>
          </w:tcPr>
          <w:p>
            <w:pPr>
              <w:ind w:left="80"/>
              <w:spacing w:after="0" w:line="122" w:lineRule="exact"/>
              <w:rPr>
                <w:sz w:val="20"/>
                <w:szCs w:val="20"/>
                <w:color w:val="auto"/>
              </w:rPr>
            </w:pPr>
            <w:r>
              <w:rPr>
                <w:rFonts w:ascii="Arial" w:cs="Arial" w:eastAsia="Arial" w:hAnsi="Arial"/>
                <w:sz w:val="13"/>
                <w:szCs w:val="13"/>
                <w:color w:val="auto"/>
              </w:rPr>
              <w:t>Probabilistic regression</w:t>
            </w:r>
          </w:p>
        </w:tc>
        <w:tc>
          <w:tcPr>
            <w:tcW w:w="1880" w:type="dxa"/>
            <w:vAlign w:val="bottom"/>
            <w:shd w:val="clear" w:color="auto" w:fill="AFDCD1"/>
          </w:tcPr>
          <w:p>
            <w:pPr>
              <w:ind w:left="140"/>
              <w:spacing w:after="0" w:line="122" w:lineRule="exact"/>
              <w:rPr>
                <w:sz w:val="20"/>
                <w:szCs w:val="20"/>
                <w:color w:val="auto"/>
              </w:rPr>
            </w:pPr>
            <w:r>
              <w:rPr>
                <w:rFonts w:ascii="Arial" w:cs="Arial" w:eastAsia="Arial" w:hAnsi="Arial"/>
                <w:sz w:val="13"/>
                <w:szCs w:val="13"/>
                <w:color w:val="auto"/>
              </w:rPr>
              <w:t>Probabilistic regression</w:t>
            </w: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Game-theoretic feature priority</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Game-theoretic feature priority</w:t>
            </w:r>
          </w:p>
        </w:tc>
        <w:tc>
          <w:tcPr>
            <w:tcW w:w="0" w:type="dxa"/>
            <w:vAlign w:val="bottom"/>
          </w:tcPr>
          <w:p>
            <w:pPr>
              <w:spacing w:after="0"/>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vMerge w:val="restart"/>
            <w:shd w:val="clear" w:color="auto" w:fill="AFDCD1"/>
          </w:tcPr>
          <w:p>
            <w:pPr>
              <w:ind w:left="80"/>
              <w:spacing w:after="0"/>
              <w:rPr>
                <w:sz w:val="20"/>
                <w:szCs w:val="20"/>
                <w:color w:val="auto"/>
              </w:rPr>
            </w:pPr>
            <w:r>
              <w:rPr>
                <w:rFonts w:ascii="Arial" w:cs="Arial" w:eastAsia="Arial" w:hAnsi="Arial"/>
                <w:sz w:val="13"/>
                <w:szCs w:val="13"/>
                <w:color w:val="auto"/>
                <w:w w:val="97"/>
              </w:rPr>
              <w:t>Monte Carlo simulation</w:t>
            </w:r>
          </w:p>
        </w:tc>
        <w:tc>
          <w:tcPr>
            <w:tcW w:w="142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AVF</w:t>
            </w:r>
          </w:p>
        </w:tc>
        <w:tc>
          <w:tcPr>
            <w:tcW w:w="1680" w:type="dxa"/>
            <w:vAlign w:val="bottom"/>
            <w:shd w:val="clear" w:color="auto" w:fill="AFDCD1"/>
          </w:tcPr>
          <w:p>
            <w:pPr>
              <w:ind w:left="80"/>
              <w:spacing w:after="0" w:line="122" w:lineRule="exact"/>
              <w:rPr>
                <w:sz w:val="20"/>
                <w:szCs w:val="20"/>
                <w:color w:val="auto"/>
              </w:rPr>
            </w:pPr>
            <w:r>
              <w:rPr>
                <w:rFonts w:ascii="Arial" w:cs="Arial" w:eastAsia="Arial" w:hAnsi="Arial"/>
                <w:sz w:val="13"/>
                <w:szCs w:val="13"/>
                <w:color w:val="auto"/>
              </w:rPr>
              <w:t>AVF</w:t>
            </w:r>
          </w:p>
        </w:tc>
        <w:tc>
          <w:tcPr>
            <w:tcW w:w="1880" w:type="dxa"/>
            <w:vAlign w:val="bottom"/>
            <w:shd w:val="clear" w:color="auto" w:fill="AFDCD1"/>
          </w:tcPr>
          <w:p>
            <w:pPr>
              <w:ind w:left="140"/>
              <w:spacing w:after="0" w:line="122" w:lineRule="exact"/>
              <w:rPr>
                <w:sz w:val="20"/>
                <w:szCs w:val="20"/>
                <w:color w:val="auto"/>
              </w:rPr>
            </w:pPr>
            <w:r>
              <w:rPr>
                <w:rFonts w:ascii="Arial" w:cs="Arial" w:eastAsia="Arial" w:hAnsi="Arial"/>
                <w:sz w:val="13"/>
                <w:szCs w:val="13"/>
                <w:color w:val="auto"/>
              </w:rPr>
              <w:t>AVF</w:t>
            </w: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AVF</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AVF</w:t>
            </w:r>
          </w:p>
        </w:tc>
        <w:tc>
          <w:tcPr>
            <w:tcW w:w="0" w:type="dxa"/>
            <w:vAlign w:val="bottom"/>
          </w:tcPr>
          <w:p>
            <w:pPr>
              <w:spacing w:after="0"/>
              <w:rPr>
                <w:sz w:val="1"/>
                <w:szCs w:val="1"/>
                <w:color w:val="auto"/>
              </w:rPr>
            </w:pPr>
          </w:p>
        </w:tc>
      </w:tr>
      <w:tr>
        <w:trPr>
          <w:trHeight w:val="122"/>
        </w:trPr>
        <w:tc>
          <w:tcPr>
            <w:tcW w:w="940" w:type="dxa"/>
            <w:vAlign w:val="bottom"/>
            <w:shd w:val="clear" w:color="auto" w:fill="AFDCD1"/>
          </w:tcPr>
          <w:p>
            <w:pPr>
              <w:spacing w:after="0"/>
              <w:rPr>
                <w:sz w:val="10"/>
                <w:szCs w:val="10"/>
                <w:color w:val="auto"/>
              </w:rPr>
            </w:pPr>
          </w:p>
        </w:tc>
        <w:tc>
          <w:tcPr>
            <w:tcW w:w="1400" w:type="dxa"/>
            <w:vAlign w:val="bottom"/>
            <w:vMerge w:val="continue"/>
            <w:shd w:val="clear" w:color="auto" w:fill="AFDCD1"/>
          </w:tcPr>
          <w:p>
            <w:pPr>
              <w:spacing w:after="0"/>
              <w:rPr>
                <w:sz w:val="10"/>
                <w:szCs w:val="10"/>
                <w:color w:val="auto"/>
              </w:rPr>
            </w:pPr>
          </w:p>
        </w:tc>
        <w:tc>
          <w:tcPr>
            <w:tcW w:w="142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Monte Carlo simulation</w:t>
            </w:r>
          </w:p>
        </w:tc>
        <w:tc>
          <w:tcPr>
            <w:tcW w:w="1680" w:type="dxa"/>
            <w:vAlign w:val="bottom"/>
            <w:shd w:val="clear" w:color="auto" w:fill="AFDCD1"/>
          </w:tcPr>
          <w:p>
            <w:pPr>
              <w:ind w:left="80"/>
              <w:spacing w:after="0" w:line="122" w:lineRule="exact"/>
              <w:rPr>
                <w:sz w:val="20"/>
                <w:szCs w:val="20"/>
                <w:color w:val="auto"/>
              </w:rPr>
            </w:pPr>
            <w:r>
              <w:rPr>
                <w:rFonts w:ascii="Arial" w:cs="Arial" w:eastAsia="Arial" w:hAnsi="Arial"/>
                <w:sz w:val="13"/>
                <w:szCs w:val="13"/>
                <w:color w:val="auto"/>
              </w:rPr>
              <w:t>Monte Carlo simulation</w:t>
            </w:r>
          </w:p>
        </w:tc>
        <w:tc>
          <w:tcPr>
            <w:tcW w:w="1880" w:type="dxa"/>
            <w:vAlign w:val="bottom"/>
            <w:shd w:val="clear" w:color="auto" w:fill="AFDCD1"/>
          </w:tcPr>
          <w:p>
            <w:pPr>
              <w:ind w:left="140"/>
              <w:spacing w:after="0" w:line="122" w:lineRule="exact"/>
              <w:rPr>
                <w:sz w:val="20"/>
                <w:szCs w:val="20"/>
                <w:color w:val="auto"/>
              </w:rPr>
            </w:pPr>
            <w:r>
              <w:rPr>
                <w:rFonts w:ascii="Arial" w:cs="Arial" w:eastAsia="Arial" w:hAnsi="Arial"/>
                <w:sz w:val="13"/>
                <w:szCs w:val="13"/>
                <w:color w:val="auto"/>
              </w:rPr>
              <w:t>Monte Carlo simulation</w:t>
            </w:r>
          </w:p>
        </w:tc>
        <w:tc>
          <w:tcPr>
            <w:tcW w:w="1880" w:type="dxa"/>
            <w:vAlign w:val="bottom"/>
            <w:shd w:val="clear" w:color="auto" w:fill="AFDCD1"/>
          </w:tcPr>
          <w:p>
            <w:pPr>
              <w:ind w:left="60"/>
              <w:spacing w:after="0" w:line="122" w:lineRule="exact"/>
              <w:rPr>
                <w:sz w:val="20"/>
                <w:szCs w:val="20"/>
                <w:color w:val="auto"/>
              </w:rPr>
            </w:pPr>
            <w:r>
              <w:rPr>
                <w:rFonts w:ascii="Arial" w:cs="Arial" w:eastAsia="Arial" w:hAnsi="Arial"/>
                <w:sz w:val="13"/>
                <w:szCs w:val="13"/>
                <w:color w:val="auto"/>
              </w:rPr>
              <w:t>Monte Carlo simulation</w:t>
            </w:r>
          </w:p>
        </w:tc>
        <w:tc>
          <w:tcPr>
            <w:tcW w:w="2040" w:type="dxa"/>
            <w:vAlign w:val="bottom"/>
            <w:shd w:val="clear" w:color="auto" w:fill="AFDCD1"/>
          </w:tcPr>
          <w:p>
            <w:pPr>
              <w:ind w:left="120"/>
              <w:spacing w:after="0" w:line="122" w:lineRule="exact"/>
              <w:rPr>
                <w:sz w:val="20"/>
                <w:szCs w:val="20"/>
                <w:color w:val="auto"/>
              </w:rPr>
            </w:pPr>
            <w:r>
              <w:rPr>
                <w:rFonts w:ascii="Arial" w:cs="Arial" w:eastAsia="Arial" w:hAnsi="Arial"/>
                <w:sz w:val="13"/>
                <w:szCs w:val="13"/>
                <w:color w:val="auto"/>
              </w:rPr>
              <w:t>Monte Carlo simulation</w:t>
            </w:r>
          </w:p>
        </w:tc>
        <w:tc>
          <w:tcPr>
            <w:tcW w:w="0" w:type="dxa"/>
            <w:vAlign w:val="bottom"/>
          </w:tcPr>
          <w:p>
            <w:pPr>
              <w:spacing w:after="0"/>
              <w:rPr>
                <w:sz w:val="1"/>
                <w:szCs w:val="1"/>
                <w:color w:val="auto"/>
              </w:rPr>
            </w:pPr>
          </w:p>
        </w:tc>
      </w:tr>
      <w:tr>
        <w:trPr>
          <w:trHeight w:val="176"/>
        </w:trPr>
        <w:tc>
          <w:tcPr>
            <w:tcW w:w="940" w:type="dxa"/>
            <w:vAlign w:val="bottom"/>
            <w:shd w:val="clear" w:color="auto" w:fill="AFDCD1"/>
          </w:tcPr>
          <w:p>
            <w:pPr>
              <w:spacing w:after="0"/>
              <w:rPr>
                <w:sz w:val="15"/>
                <w:szCs w:val="15"/>
                <w:color w:val="auto"/>
              </w:rPr>
            </w:pPr>
          </w:p>
        </w:tc>
        <w:tc>
          <w:tcPr>
            <w:tcW w:w="1400" w:type="dxa"/>
            <w:vAlign w:val="bottom"/>
            <w:shd w:val="clear" w:color="auto" w:fill="AFDCD1"/>
          </w:tcPr>
          <w:p>
            <w:pPr>
              <w:ind w:left="80"/>
              <w:spacing w:after="0"/>
              <w:rPr>
                <w:sz w:val="20"/>
                <w:szCs w:val="20"/>
                <w:color w:val="auto"/>
              </w:rPr>
            </w:pPr>
            <w:r>
              <w:rPr>
                <w:rFonts w:ascii="Arial" w:cs="Arial" w:eastAsia="Arial" w:hAnsi="Arial"/>
                <w:sz w:val="13"/>
                <w:szCs w:val="13"/>
                <w:color w:val="auto"/>
              </w:rPr>
              <w:t>Logistic regression</w:t>
            </w:r>
          </w:p>
        </w:tc>
        <w:tc>
          <w:tcPr>
            <w:tcW w:w="1420" w:type="dxa"/>
            <w:vAlign w:val="bottom"/>
            <w:shd w:val="clear" w:color="auto" w:fill="AFDCD1"/>
          </w:tcPr>
          <w:p>
            <w:pPr>
              <w:ind w:left="60"/>
              <w:spacing w:after="0"/>
              <w:rPr>
                <w:sz w:val="20"/>
                <w:szCs w:val="20"/>
                <w:color w:val="auto"/>
              </w:rPr>
            </w:pPr>
            <w:r>
              <w:rPr>
                <w:rFonts w:ascii="Arial" w:cs="Arial" w:eastAsia="Arial" w:hAnsi="Arial"/>
                <w:sz w:val="13"/>
                <w:szCs w:val="13"/>
                <w:color w:val="auto"/>
              </w:rPr>
              <w:t>Logistic regression</w:t>
            </w:r>
          </w:p>
        </w:tc>
        <w:tc>
          <w:tcPr>
            <w:tcW w:w="1680" w:type="dxa"/>
            <w:vAlign w:val="bottom"/>
            <w:shd w:val="clear" w:color="auto" w:fill="AFDCD1"/>
          </w:tcPr>
          <w:p>
            <w:pPr>
              <w:ind w:left="80"/>
              <w:spacing w:after="0"/>
              <w:rPr>
                <w:sz w:val="20"/>
                <w:szCs w:val="20"/>
                <w:color w:val="auto"/>
              </w:rPr>
            </w:pPr>
            <w:r>
              <w:rPr>
                <w:rFonts w:ascii="Arial" w:cs="Arial" w:eastAsia="Arial" w:hAnsi="Arial"/>
                <w:sz w:val="13"/>
                <w:szCs w:val="13"/>
                <w:color w:val="auto"/>
              </w:rPr>
              <w:t>Logistic regression</w:t>
            </w:r>
          </w:p>
        </w:tc>
        <w:tc>
          <w:tcPr>
            <w:tcW w:w="1880" w:type="dxa"/>
            <w:vAlign w:val="bottom"/>
            <w:shd w:val="clear" w:color="auto" w:fill="AFDCD1"/>
          </w:tcPr>
          <w:p>
            <w:pPr>
              <w:ind w:left="140"/>
              <w:spacing w:after="0"/>
              <w:rPr>
                <w:sz w:val="20"/>
                <w:szCs w:val="20"/>
                <w:color w:val="auto"/>
              </w:rPr>
            </w:pPr>
            <w:r>
              <w:rPr>
                <w:rFonts w:ascii="Arial" w:cs="Arial" w:eastAsia="Arial" w:hAnsi="Arial"/>
                <w:sz w:val="13"/>
                <w:szCs w:val="13"/>
                <w:color w:val="auto"/>
              </w:rPr>
              <w:t>Logistic regression</w:t>
            </w:r>
          </w:p>
        </w:tc>
        <w:tc>
          <w:tcPr>
            <w:tcW w:w="1880" w:type="dxa"/>
            <w:vAlign w:val="bottom"/>
            <w:shd w:val="clear" w:color="auto" w:fill="AFDCD1"/>
          </w:tcPr>
          <w:p>
            <w:pPr>
              <w:ind w:left="60"/>
              <w:spacing w:after="0"/>
              <w:rPr>
                <w:sz w:val="20"/>
                <w:szCs w:val="20"/>
                <w:color w:val="auto"/>
              </w:rPr>
            </w:pPr>
            <w:r>
              <w:rPr>
                <w:rFonts w:ascii="Arial" w:cs="Arial" w:eastAsia="Arial" w:hAnsi="Arial"/>
                <w:sz w:val="13"/>
                <w:szCs w:val="13"/>
                <w:color w:val="auto"/>
              </w:rPr>
              <w:t>Logistic regression</w:t>
            </w:r>
          </w:p>
        </w:tc>
        <w:tc>
          <w:tcPr>
            <w:tcW w:w="2040" w:type="dxa"/>
            <w:vAlign w:val="bottom"/>
            <w:shd w:val="clear" w:color="auto" w:fill="AFDCD1"/>
          </w:tcPr>
          <w:p>
            <w:pPr>
              <w:ind w:left="120"/>
              <w:spacing w:after="0"/>
              <w:rPr>
                <w:sz w:val="20"/>
                <w:szCs w:val="20"/>
                <w:color w:val="auto"/>
              </w:rPr>
            </w:pPr>
            <w:r>
              <w:rPr>
                <w:rFonts w:ascii="Arial" w:cs="Arial" w:eastAsia="Arial" w:hAnsi="Arial"/>
                <w:sz w:val="13"/>
                <w:szCs w:val="13"/>
                <w:color w:val="auto"/>
              </w:rPr>
              <w:t>Logistic regression</w:t>
            </w:r>
          </w:p>
        </w:tc>
        <w:tc>
          <w:tcPr>
            <w:tcW w:w="0" w:type="dxa"/>
            <w:vAlign w:val="bottom"/>
          </w:tcPr>
          <w:p>
            <w:pPr>
              <w:spacing w:after="0"/>
              <w:rPr>
                <w:sz w:val="1"/>
                <w:szCs w:val="1"/>
                <w:color w:val="auto"/>
              </w:rPr>
            </w:pPr>
          </w:p>
        </w:tc>
      </w:tr>
      <w:tr>
        <w:trPr>
          <w:trHeight w:val="135"/>
        </w:trPr>
        <w:tc>
          <w:tcPr>
            <w:tcW w:w="940" w:type="dxa"/>
            <w:vAlign w:val="bottom"/>
            <w:shd w:val="clear" w:color="auto" w:fill="DBDBDB"/>
          </w:tcPr>
          <w:p>
            <w:pPr>
              <w:spacing w:after="0"/>
              <w:rPr>
                <w:sz w:val="11"/>
                <w:szCs w:val="11"/>
                <w:color w:val="auto"/>
              </w:rPr>
            </w:pPr>
          </w:p>
        </w:tc>
        <w:tc>
          <w:tcPr>
            <w:tcW w:w="1400" w:type="dxa"/>
            <w:vAlign w:val="bottom"/>
            <w:shd w:val="clear" w:color="auto" w:fill="DBDBDB"/>
          </w:tcPr>
          <w:p>
            <w:pPr>
              <w:spacing w:after="0"/>
              <w:rPr>
                <w:sz w:val="11"/>
                <w:szCs w:val="11"/>
                <w:color w:val="auto"/>
              </w:rPr>
            </w:pPr>
          </w:p>
        </w:tc>
        <w:tc>
          <w:tcPr>
            <w:tcW w:w="1420" w:type="dxa"/>
            <w:vAlign w:val="bottom"/>
            <w:shd w:val="clear" w:color="auto" w:fill="DBDBDB"/>
          </w:tcPr>
          <w:p>
            <w:pPr>
              <w:spacing w:after="0"/>
              <w:rPr>
                <w:sz w:val="11"/>
                <w:szCs w:val="11"/>
                <w:color w:val="auto"/>
              </w:rPr>
            </w:pPr>
          </w:p>
        </w:tc>
        <w:tc>
          <w:tcPr>
            <w:tcW w:w="1680" w:type="dxa"/>
            <w:vAlign w:val="bottom"/>
            <w:shd w:val="clear" w:color="auto" w:fill="DBDBDB"/>
          </w:tcPr>
          <w:p>
            <w:pPr>
              <w:spacing w:after="0"/>
              <w:rPr>
                <w:sz w:val="11"/>
                <w:szCs w:val="11"/>
                <w:color w:val="auto"/>
              </w:rPr>
            </w:pPr>
          </w:p>
        </w:tc>
        <w:tc>
          <w:tcPr>
            <w:tcW w:w="1880" w:type="dxa"/>
            <w:vAlign w:val="bottom"/>
            <w:shd w:val="clear" w:color="auto" w:fill="DBDBDB"/>
          </w:tcPr>
          <w:p>
            <w:pPr>
              <w:spacing w:after="0"/>
              <w:rPr>
                <w:sz w:val="11"/>
                <w:szCs w:val="11"/>
                <w:color w:val="auto"/>
              </w:rPr>
            </w:pPr>
          </w:p>
        </w:tc>
        <w:tc>
          <w:tcPr>
            <w:tcW w:w="1880" w:type="dxa"/>
            <w:vAlign w:val="bottom"/>
            <w:shd w:val="clear" w:color="auto" w:fill="DBDBDB"/>
          </w:tcPr>
          <w:p>
            <w:pPr>
              <w:spacing w:after="0"/>
              <w:rPr>
                <w:sz w:val="11"/>
                <w:szCs w:val="11"/>
                <w:color w:val="auto"/>
              </w:rPr>
            </w:pPr>
          </w:p>
        </w:tc>
        <w:tc>
          <w:tcPr>
            <w:tcW w:w="2040" w:type="dxa"/>
            <w:vAlign w:val="bottom"/>
            <w:shd w:val="clear" w:color="auto" w:fill="DBDBDB"/>
          </w:tcPr>
          <w:p>
            <w:pPr>
              <w:ind w:left="120"/>
              <w:spacing w:after="0" w:line="135" w:lineRule="exact"/>
              <w:rPr>
                <w:sz w:val="20"/>
                <w:szCs w:val="20"/>
                <w:color w:val="auto"/>
              </w:rPr>
            </w:pPr>
            <w:r>
              <w:rPr>
                <w:rFonts w:ascii="Arial" w:cs="Arial" w:eastAsia="Arial" w:hAnsi="Arial"/>
                <w:sz w:val="13"/>
                <w:szCs w:val="13"/>
                <w:color w:val="auto"/>
                <w:w w:val="99"/>
              </w:rPr>
              <w:t>Competing prepayment &amp; default</w:t>
            </w:r>
          </w:p>
        </w:tc>
        <w:tc>
          <w:tcPr>
            <w:tcW w:w="0" w:type="dxa"/>
            <w:vAlign w:val="bottom"/>
          </w:tcPr>
          <w:p>
            <w:pPr>
              <w:spacing w:after="0"/>
              <w:rPr>
                <w:sz w:val="1"/>
                <w:szCs w:val="1"/>
                <w:color w:val="auto"/>
              </w:rPr>
            </w:pPr>
          </w:p>
        </w:tc>
      </w:tr>
      <w:tr>
        <w:trPr>
          <w:trHeight w:val="121"/>
        </w:trPr>
        <w:tc>
          <w:tcPr>
            <w:tcW w:w="940" w:type="dxa"/>
            <w:vAlign w:val="bottom"/>
            <w:shd w:val="clear" w:color="auto" w:fill="DBDBDB"/>
          </w:tcPr>
          <w:p>
            <w:pPr>
              <w:spacing w:after="0"/>
              <w:rPr>
                <w:sz w:val="10"/>
                <w:szCs w:val="10"/>
                <w:color w:val="auto"/>
              </w:rPr>
            </w:pPr>
          </w:p>
        </w:tc>
        <w:tc>
          <w:tcPr>
            <w:tcW w:w="140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c>
          <w:tcPr>
            <w:tcW w:w="1680" w:type="dxa"/>
            <w:vAlign w:val="bottom"/>
            <w:shd w:val="clear" w:color="auto" w:fill="DBDBDB"/>
          </w:tcPr>
          <w:p>
            <w:pPr>
              <w:spacing w:after="0"/>
              <w:rPr>
                <w:sz w:val="10"/>
                <w:szCs w:val="10"/>
                <w:color w:val="auto"/>
              </w:rPr>
            </w:pPr>
          </w:p>
        </w:tc>
        <w:tc>
          <w:tcPr>
            <w:tcW w:w="1880" w:type="dxa"/>
            <w:vAlign w:val="bottom"/>
            <w:shd w:val="clear" w:color="auto" w:fill="DBDBDB"/>
          </w:tcPr>
          <w:p>
            <w:pPr>
              <w:spacing w:after="0"/>
              <w:rPr>
                <w:sz w:val="10"/>
                <w:szCs w:val="10"/>
                <w:color w:val="auto"/>
              </w:rPr>
            </w:pPr>
          </w:p>
        </w:tc>
        <w:tc>
          <w:tcPr>
            <w:tcW w:w="1880" w:type="dxa"/>
            <w:vAlign w:val="bottom"/>
            <w:vMerge w:val="restart"/>
            <w:shd w:val="clear" w:color="auto" w:fill="DBDBDB"/>
          </w:tcPr>
          <w:p>
            <w:pPr>
              <w:ind w:left="60"/>
              <w:spacing w:after="0"/>
              <w:rPr>
                <w:sz w:val="20"/>
                <w:szCs w:val="20"/>
                <w:color w:val="auto"/>
              </w:rPr>
            </w:pPr>
            <w:r>
              <w:rPr>
                <w:rFonts w:ascii="Arial" w:cs="Arial" w:eastAsia="Arial" w:hAnsi="Arial"/>
                <w:sz w:val="13"/>
                <w:szCs w:val="13"/>
                <w:color w:val="auto"/>
              </w:rPr>
              <w:t>Fee optimization</w:t>
            </w:r>
          </w:p>
        </w:tc>
        <w:tc>
          <w:tcPr>
            <w:tcW w:w="2040" w:type="dxa"/>
            <w:vAlign w:val="bottom"/>
            <w:shd w:val="clear" w:color="auto" w:fill="DBDBDB"/>
          </w:tcPr>
          <w:p>
            <w:pPr>
              <w:ind w:left="120"/>
              <w:spacing w:after="0" w:line="122" w:lineRule="exact"/>
              <w:rPr>
                <w:sz w:val="20"/>
                <w:szCs w:val="20"/>
                <w:color w:val="auto"/>
              </w:rPr>
            </w:pPr>
            <w:r>
              <w:rPr>
                <w:rFonts w:ascii="Arial" w:cs="Arial" w:eastAsia="Arial" w:hAnsi="Arial"/>
                <w:sz w:val="13"/>
                <w:szCs w:val="13"/>
                <w:color w:val="auto"/>
              </w:rPr>
              <w:t>risk prediction</w:t>
            </w:r>
          </w:p>
        </w:tc>
        <w:tc>
          <w:tcPr>
            <w:tcW w:w="0" w:type="dxa"/>
            <w:vAlign w:val="bottom"/>
          </w:tcPr>
          <w:p>
            <w:pPr>
              <w:spacing w:after="0"/>
              <w:rPr>
                <w:sz w:val="1"/>
                <w:szCs w:val="1"/>
                <w:color w:val="auto"/>
              </w:rPr>
            </w:pPr>
          </w:p>
        </w:tc>
      </w:tr>
      <w:tr>
        <w:trPr>
          <w:trHeight w:val="122"/>
        </w:trPr>
        <w:tc>
          <w:tcPr>
            <w:tcW w:w="940" w:type="dxa"/>
            <w:vAlign w:val="bottom"/>
            <w:shd w:val="clear" w:color="auto" w:fill="DBDBDB"/>
          </w:tcPr>
          <w:p>
            <w:pPr>
              <w:spacing w:after="0"/>
              <w:rPr>
                <w:sz w:val="10"/>
                <w:szCs w:val="10"/>
                <w:color w:val="auto"/>
              </w:rPr>
            </w:pPr>
          </w:p>
        </w:tc>
        <w:tc>
          <w:tcPr>
            <w:tcW w:w="140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c>
          <w:tcPr>
            <w:tcW w:w="1680" w:type="dxa"/>
            <w:vAlign w:val="bottom"/>
            <w:shd w:val="clear" w:color="auto" w:fill="DBDBDB"/>
          </w:tcPr>
          <w:p>
            <w:pPr>
              <w:spacing w:after="0"/>
              <w:rPr>
                <w:sz w:val="10"/>
                <w:szCs w:val="10"/>
                <w:color w:val="auto"/>
              </w:rPr>
            </w:pPr>
          </w:p>
        </w:tc>
        <w:tc>
          <w:tcPr>
            <w:tcW w:w="1880" w:type="dxa"/>
            <w:vAlign w:val="bottom"/>
            <w:shd w:val="clear" w:color="auto" w:fill="DBDBDB"/>
          </w:tcPr>
          <w:p>
            <w:pPr>
              <w:spacing w:after="0"/>
              <w:rPr>
                <w:sz w:val="10"/>
                <w:szCs w:val="10"/>
                <w:color w:val="auto"/>
              </w:rPr>
            </w:pPr>
          </w:p>
        </w:tc>
        <w:tc>
          <w:tcPr>
            <w:tcW w:w="1880" w:type="dxa"/>
            <w:vAlign w:val="bottom"/>
            <w:vMerge w:val="continue"/>
            <w:shd w:val="clear" w:color="auto" w:fill="DBDBDB"/>
          </w:tcPr>
          <w:p>
            <w:pPr>
              <w:spacing w:after="0"/>
              <w:rPr>
                <w:sz w:val="10"/>
                <w:szCs w:val="10"/>
                <w:color w:val="auto"/>
              </w:rPr>
            </w:pPr>
          </w:p>
        </w:tc>
        <w:tc>
          <w:tcPr>
            <w:tcW w:w="2040" w:type="dxa"/>
            <w:vAlign w:val="bottom"/>
            <w:shd w:val="clear" w:color="auto" w:fill="DBDBDB"/>
          </w:tcPr>
          <w:p>
            <w:pPr>
              <w:ind w:left="120"/>
              <w:spacing w:after="0" w:line="122" w:lineRule="exact"/>
              <w:rPr>
                <w:sz w:val="20"/>
                <w:szCs w:val="20"/>
                <w:color w:val="auto"/>
              </w:rPr>
            </w:pPr>
            <w:r>
              <w:rPr>
                <w:rFonts w:ascii="Arial" w:cs="Arial" w:eastAsia="Arial" w:hAnsi="Arial"/>
                <w:sz w:val="13"/>
                <w:szCs w:val="13"/>
                <w:color w:val="auto"/>
              </w:rPr>
              <w:t>Fee optimization</w:t>
            </w:r>
          </w:p>
        </w:tc>
        <w:tc>
          <w:tcPr>
            <w:tcW w:w="0" w:type="dxa"/>
            <w:vAlign w:val="bottom"/>
          </w:tcPr>
          <w:p>
            <w:pPr>
              <w:spacing w:after="0"/>
              <w:rPr>
                <w:sz w:val="1"/>
                <w:szCs w:val="1"/>
                <w:color w:val="auto"/>
              </w:rPr>
            </w:pPr>
          </w:p>
        </w:tc>
      </w:tr>
      <w:tr>
        <w:trPr>
          <w:trHeight w:val="122"/>
        </w:trPr>
        <w:tc>
          <w:tcPr>
            <w:tcW w:w="940" w:type="dxa"/>
            <w:vAlign w:val="bottom"/>
            <w:shd w:val="clear" w:color="auto" w:fill="DBDBDB"/>
          </w:tcPr>
          <w:p>
            <w:pPr>
              <w:spacing w:after="0"/>
              <w:rPr>
                <w:sz w:val="10"/>
                <w:szCs w:val="10"/>
                <w:color w:val="auto"/>
              </w:rPr>
            </w:pPr>
          </w:p>
        </w:tc>
        <w:tc>
          <w:tcPr>
            <w:tcW w:w="140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c>
          <w:tcPr>
            <w:tcW w:w="1680" w:type="dxa"/>
            <w:vAlign w:val="bottom"/>
            <w:shd w:val="clear" w:color="auto" w:fill="DBDBDB"/>
          </w:tcPr>
          <w:p>
            <w:pPr>
              <w:spacing w:after="0"/>
              <w:rPr>
                <w:sz w:val="10"/>
                <w:szCs w:val="10"/>
                <w:color w:val="auto"/>
              </w:rPr>
            </w:pPr>
          </w:p>
        </w:tc>
        <w:tc>
          <w:tcPr>
            <w:tcW w:w="188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auto"/>
              </w:rPr>
              <w:t>Income fraud</w:t>
            </w:r>
          </w:p>
        </w:tc>
        <w:tc>
          <w:tcPr>
            <w:tcW w:w="1880" w:type="dxa"/>
            <w:vAlign w:val="bottom"/>
            <w:shd w:val="clear" w:color="auto" w:fill="DBDBDB"/>
          </w:tcPr>
          <w:p>
            <w:pPr>
              <w:ind w:left="60"/>
              <w:spacing w:after="0" w:line="122" w:lineRule="exact"/>
              <w:rPr>
                <w:sz w:val="20"/>
                <w:szCs w:val="20"/>
                <w:color w:val="auto"/>
              </w:rPr>
            </w:pPr>
            <w:r>
              <w:rPr>
                <w:rFonts w:ascii="Arial" w:cs="Arial" w:eastAsia="Arial" w:hAnsi="Arial"/>
                <w:sz w:val="13"/>
                <w:szCs w:val="13"/>
                <w:color w:val="auto"/>
              </w:rPr>
              <w:t>Income fraud</w:t>
            </w:r>
          </w:p>
        </w:tc>
        <w:tc>
          <w:tcPr>
            <w:tcW w:w="2040" w:type="dxa"/>
            <w:vAlign w:val="bottom"/>
            <w:shd w:val="clear" w:color="auto" w:fill="DBDBDB"/>
          </w:tcPr>
          <w:p>
            <w:pPr>
              <w:ind w:left="120"/>
              <w:spacing w:after="0" w:line="122" w:lineRule="exact"/>
              <w:rPr>
                <w:sz w:val="20"/>
                <w:szCs w:val="20"/>
                <w:color w:val="auto"/>
              </w:rPr>
            </w:pPr>
            <w:r>
              <w:rPr>
                <w:rFonts w:ascii="Arial" w:cs="Arial" w:eastAsia="Arial" w:hAnsi="Arial"/>
                <w:sz w:val="13"/>
                <w:szCs w:val="13"/>
                <w:color w:val="auto"/>
              </w:rPr>
              <w:t>Income fraud</w:t>
            </w:r>
          </w:p>
        </w:tc>
        <w:tc>
          <w:tcPr>
            <w:tcW w:w="0" w:type="dxa"/>
            <w:vAlign w:val="bottom"/>
          </w:tcPr>
          <w:p>
            <w:pPr>
              <w:spacing w:after="0"/>
              <w:rPr>
                <w:sz w:val="1"/>
                <w:szCs w:val="1"/>
                <w:color w:val="auto"/>
              </w:rPr>
            </w:pPr>
          </w:p>
        </w:tc>
      </w:tr>
      <w:tr>
        <w:trPr>
          <w:trHeight w:val="122"/>
        </w:trPr>
        <w:tc>
          <w:tcPr>
            <w:tcW w:w="940" w:type="dxa"/>
            <w:vAlign w:val="bottom"/>
            <w:vMerge w:val="restart"/>
            <w:shd w:val="clear" w:color="auto" w:fill="DBDBDB"/>
          </w:tcPr>
          <w:p>
            <w:pPr>
              <w:jc w:val="center"/>
              <w:ind w:left="17"/>
              <w:spacing w:after="0"/>
              <w:rPr>
                <w:sz w:val="20"/>
                <w:szCs w:val="20"/>
                <w:color w:val="auto"/>
              </w:rPr>
            </w:pPr>
            <w:r>
              <w:rPr>
                <w:rFonts w:ascii="Arial" w:cs="Arial" w:eastAsia="Arial" w:hAnsi="Arial"/>
                <w:sz w:val="13"/>
                <w:szCs w:val="13"/>
                <w:color w:val="auto"/>
                <w:w w:val="95"/>
              </w:rPr>
              <w:t>Model</w:t>
            </w:r>
          </w:p>
        </w:tc>
        <w:tc>
          <w:tcPr>
            <w:tcW w:w="140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c>
          <w:tcPr>
            <w:tcW w:w="1680" w:type="dxa"/>
            <w:vAlign w:val="bottom"/>
            <w:shd w:val="clear" w:color="auto" w:fill="DBDBDB"/>
          </w:tcPr>
          <w:p>
            <w:pPr>
              <w:spacing w:after="0"/>
              <w:rPr>
                <w:sz w:val="10"/>
                <w:szCs w:val="10"/>
                <w:color w:val="auto"/>
              </w:rPr>
            </w:pPr>
          </w:p>
        </w:tc>
        <w:tc>
          <w:tcPr>
            <w:tcW w:w="1880" w:type="dxa"/>
            <w:vAlign w:val="bottom"/>
            <w:vMerge w:val="continue"/>
            <w:shd w:val="clear" w:color="auto" w:fill="DBDBDB"/>
          </w:tcPr>
          <w:p>
            <w:pPr>
              <w:spacing w:after="0"/>
              <w:rPr>
                <w:sz w:val="10"/>
                <w:szCs w:val="10"/>
                <w:color w:val="auto"/>
              </w:rPr>
            </w:pPr>
          </w:p>
        </w:tc>
        <w:tc>
          <w:tcPr>
            <w:tcW w:w="1880" w:type="dxa"/>
            <w:vAlign w:val="bottom"/>
            <w:shd w:val="clear" w:color="auto" w:fill="DBDBDB"/>
          </w:tcPr>
          <w:p>
            <w:pPr>
              <w:ind w:left="60"/>
              <w:spacing w:after="0" w:line="122" w:lineRule="exact"/>
              <w:rPr>
                <w:sz w:val="20"/>
                <w:szCs w:val="20"/>
                <w:color w:val="auto"/>
              </w:rPr>
            </w:pPr>
            <w:r>
              <w:rPr>
                <w:rFonts w:ascii="Arial" w:cs="Arial" w:eastAsia="Arial" w:hAnsi="Arial"/>
                <w:sz w:val="13"/>
                <w:szCs w:val="13"/>
                <w:color w:val="auto"/>
              </w:rPr>
              <w:t>Acquisition targeting</w:t>
            </w:r>
          </w:p>
        </w:tc>
        <w:tc>
          <w:tcPr>
            <w:tcW w:w="2040" w:type="dxa"/>
            <w:vAlign w:val="bottom"/>
            <w:shd w:val="clear" w:color="auto" w:fill="DBDBDB"/>
          </w:tcPr>
          <w:p>
            <w:pPr>
              <w:ind w:left="120"/>
              <w:spacing w:after="0" w:line="122" w:lineRule="exact"/>
              <w:rPr>
                <w:sz w:val="20"/>
                <w:szCs w:val="20"/>
                <w:color w:val="auto"/>
              </w:rPr>
            </w:pPr>
            <w:r>
              <w:rPr>
                <w:rFonts w:ascii="Arial" w:cs="Arial" w:eastAsia="Arial" w:hAnsi="Arial"/>
                <w:sz w:val="13"/>
                <w:szCs w:val="13"/>
                <w:color w:val="auto"/>
              </w:rPr>
              <w:t>Acquisition targeting</w:t>
            </w:r>
          </w:p>
        </w:tc>
        <w:tc>
          <w:tcPr>
            <w:tcW w:w="0" w:type="dxa"/>
            <w:vAlign w:val="bottom"/>
          </w:tcPr>
          <w:p>
            <w:pPr>
              <w:spacing w:after="0"/>
              <w:rPr>
                <w:sz w:val="1"/>
                <w:szCs w:val="1"/>
                <w:color w:val="auto"/>
              </w:rPr>
            </w:pPr>
          </w:p>
        </w:tc>
      </w:tr>
      <w:tr>
        <w:trPr>
          <w:trHeight w:val="54"/>
        </w:trPr>
        <w:tc>
          <w:tcPr>
            <w:tcW w:w="940" w:type="dxa"/>
            <w:vAlign w:val="bottom"/>
            <w:vMerge w:val="continue"/>
            <w:shd w:val="clear" w:color="auto" w:fill="DBDBDB"/>
          </w:tcPr>
          <w:p>
            <w:pPr>
              <w:spacing w:after="0"/>
              <w:rPr>
                <w:sz w:val="4"/>
                <w:szCs w:val="4"/>
                <w:color w:val="auto"/>
              </w:rPr>
            </w:pPr>
          </w:p>
        </w:tc>
        <w:tc>
          <w:tcPr>
            <w:tcW w:w="1400" w:type="dxa"/>
            <w:vAlign w:val="bottom"/>
            <w:shd w:val="clear" w:color="auto" w:fill="DBDBDB"/>
          </w:tcPr>
          <w:p>
            <w:pPr>
              <w:spacing w:after="0"/>
              <w:rPr>
                <w:sz w:val="4"/>
                <w:szCs w:val="4"/>
                <w:color w:val="auto"/>
              </w:rPr>
            </w:pPr>
          </w:p>
        </w:tc>
        <w:tc>
          <w:tcPr>
            <w:tcW w:w="1420" w:type="dxa"/>
            <w:vAlign w:val="bottom"/>
            <w:shd w:val="clear" w:color="auto" w:fill="DBDBDB"/>
          </w:tcPr>
          <w:p>
            <w:pPr>
              <w:spacing w:after="0"/>
              <w:rPr>
                <w:sz w:val="4"/>
                <w:szCs w:val="4"/>
                <w:color w:val="auto"/>
              </w:rPr>
            </w:pPr>
          </w:p>
        </w:tc>
        <w:tc>
          <w:tcPr>
            <w:tcW w:w="1680" w:type="dxa"/>
            <w:vAlign w:val="bottom"/>
            <w:vMerge w:val="restart"/>
            <w:shd w:val="clear" w:color="auto" w:fill="DBDBDB"/>
          </w:tcPr>
          <w:p>
            <w:pPr>
              <w:ind w:left="80"/>
              <w:spacing w:after="0" w:line="122" w:lineRule="exact"/>
              <w:rPr>
                <w:sz w:val="20"/>
                <w:szCs w:val="20"/>
                <w:color w:val="auto"/>
              </w:rPr>
            </w:pPr>
            <w:r>
              <w:rPr>
                <w:rFonts w:ascii="Arial" w:cs="Arial" w:eastAsia="Arial" w:hAnsi="Arial"/>
                <w:sz w:val="13"/>
                <w:szCs w:val="13"/>
                <w:color w:val="auto"/>
              </w:rPr>
              <w:t>Acquisition targeting</w:t>
            </w:r>
          </w:p>
        </w:tc>
        <w:tc>
          <w:tcPr>
            <w:tcW w:w="1880" w:type="dxa"/>
            <w:vAlign w:val="bottom"/>
            <w:vMerge w:val="restart"/>
            <w:shd w:val="clear" w:color="auto" w:fill="DBDBDB"/>
          </w:tcPr>
          <w:p>
            <w:pPr>
              <w:ind w:left="140"/>
              <w:spacing w:after="0" w:line="122" w:lineRule="exact"/>
              <w:rPr>
                <w:sz w:val="20"/>
                <w:szCs w:val="20"/>
                <w:color w:val="auto"/>
              </w:rPr>
            </w:pPr>
            <w:r>
              <w:rPr>
                <w:rFonts w:ascii="Arial" w:cs="Arial" w:eastAsia="Arial" w:hAnsi="Arial"/>
                <w:sz w:val="13"/>
                <w:szCs w:val="13"/>
                <w:color w:val="auto"/>
              </w:rPr>
              <w:t>Acquisition targeting</w:t>
            </w:r>
          </w:p>
        </w:tc>
        <w:tc>
          <w:tcPr>
            <w:tcW w:w="1880" w:type="dxa"/>
            <w:vAlign w:val="bottom"/>
            <w:vMerge w:val="restart"/>
            <w:shd w:val="clear" w:color="auto" w:fill="DBDBDB"/>
          </w:tcPr>
          <w:p>
            <w:pPr>
              <w:ind w:left="60"/>
              <w:spacing w:after="0" w:line="122" w:lineRule="exact"/>
              <w:rPr>
                <w:sz w:val="20"/>
                <w:szCs w:val="20"/>
                <w:color w:val="auto"/>
              </w:rPr>
            </w:pPr>
            <w:r>
              <w:rPr>
                <w:rFonts w:ascii="Arial" w:cs="Arial" w:eastAsia="Arial" w:hAnsi="Arial"/>
                <w:sz w:val="13"/>
                <w:szCs w:val="13"/>
                <w:color w:val="auto"/>
              </w:rPr>
              <w:t>Loan stacking</w:t>
            </w:r>
          </w:p>
        </w:tc>
        <w:tc>
          <w:tcPr>
            <w:tcW w:w="2040" w:type="dxa"/>
            <w:vAlign w:val="bottom"/>
            <w:vMerge w:val="restart"/>
            <w:shd w:val="clear" w:color="auto" w:fill="DBDBDB"/>
          </w:tcPr>
          <w:p>
            <w:pPr>
              <w:ind w:left="120"/>
              <w:spacing w:after="0" w:line="122" w:lineRule="exact"/>
              <w:rPr>
                <w:sz w:val="20"/>
                <w:szCs w:val="20"/>
                <w:color w:val="auto"/>
              </w:rPr>
            </w:pPr>
            <w:r>
              <w:rPr>
                <w:rFonts w:ascii="Arial" w:cs="Arial" w:eastAsia="Arial" w:hAnsi="Arial"/>
                <w:sz w:val="13"/>
                <w:szCs w:val="13"/>
                <w:color w:val="auto"/>
              </w:rPr>
              <w:t>Loan stacking</w:t>
            </w:r>
          </w:p>
        </w:tc>
        <w:tc>
          <w:tcPr>
            <w:tcW w:w="0" w:type="dxa"/>
            <w:vAlign w:val="bottom"/>
          </w:tcPr>
          <w:p>
            <w:pPr>
              <w:spacing w:after="0"/>
              <w:rPr>
                <w:sz w:val="1"/>
                <w:szCs w:val="1"/>
                <w:color w:val="auto"/>
              </w:rPr>
            </w:pPr>
          </w:p>
        </w:tc>
      </w:tr>
      <w:tr>
        <w:trPr>
          <w:trHeight w:val="68"/>
        </w:trPr>
        <w:tc>
          <w:tcPr>
            <w:tcW w:w="94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1"/>
              </w:rPr>
              <w:t>Applications</w:t>
            </w:r>
          </w:p>
        </w:tc>
        <w:tc>
          <w:tcPr>
            <w:tcW w:w="1400" w:type="dxa"/>
            <w:vAlign w:val="bottom"/>
            <w:shd w:val="clear" w:color="auto" w:fill="DBDBDB"/>
          </w:tcPr>
          <w:p>
            <w:pPr>
              <w:spacing w:after="0"/>
              <w:rPr>
                <w:sz w:val="5"/>
                <w:szCs w:val="5"/>
                <w:color w:val="auto"/>
              </w:rPr>
            </w:pPr>
          </w:p>
        </w:tc>
        <w:tc>
          <w:tcPr>
            <w:tcW w:w="1420" w:type="dxa"/>
            <w:vAlign w:val="bottom"/>
            <w:shd w:val="clear" w:color="auto" w:fill="DBDBDB"/>
          </w:tcPr>
          <w:p>
            <w:pPr>
              <w:spacing w:after="0"/>
              <w:rPr>
                <w:sz w:val="5"/>
                <w:szCs w:val="5"/>
                <w:color w:val="auto"/>
              </w:rPr>
            </w:pPr>
          </w:p>
        </w:tc>
        <w:tc>
          <w:tcPr>
            <w:tcW w:w="1680" w:type="dxa"/>
            <w:vAlign w:val="bottom"/>
            <w:vMerge w:val="continue"/>
            <w:shd w:val="clear" w:color="auto" w:fill="DBDBDB"/>
          </w:tcPr>
          <w:p>
            <w:pPr>
              <w:spacing w:after="0"/>
              <w:rPr>
                <w:sz w:val="5"/>
                <w:szCs w:val="5"/>
                <w:color w:val="auto"/>
              </w:rPr>
            </w:pPr>
          </w:p>
        </w:tc>
        <w:tc>
          <w:tcPr>
            <w:tcW w:w="1880" w:type="dxa"/>
            <w:vAlign w:val="bottom"/>
            <w:vMerge w:val="continue"/>
            <w:shd w:val="clear" w:color="auto" w:fill="DBDBDB"/>
          </w:tcPr>
          <w:p>
            <w:pPr>
              <w:spacing w:after="0"/>
              <w:rPr>
                <w:sz w:val="5"/>
                <w:szCs w:val="5"/>
                <w:color w:val="auto"/>
              </w:rPr>
            </w:pPr>
          </w:p>
        </w:tc>
        <w:tc>
          <w:tcPr>
            <w:tcW w:w="1880" w:type="dxa"/>
            <w:vAlign w:val="bottom"/>
            <w:vMerge w:val="continue"/>
            <w:shd w:val="clear" w:color="auto" w:fill="DBDBDB"/>
          </w:tcPr>
          <w:p>
            <w:pPr>
              <w:spacing w:after="0"/>
              <w:rPr>
                <w:sz w:val="5"/>
                <w:szCs w:val="5"/>
                <w:color w:val="auto"/>
              </w:rPr>
            </w:pPr>
          </w:p>
        </w:tc>
        <w:tc>
          <w:tcPr>
            <w:tcW w:w="204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40" w:type="dxa"/>
            <w:vAlign w:val="bottom"/>
            <w:vMerge w:val="continue"/>
            <w:shd w:val="clear" w:color="auto" w:fill="DBDBDB"/>
          </w:tcPr>
          <w:p>
            <w:pPr>
              <w:spacing w:after="0"/>
              <w:rPr>
                <w:sz w:val="8"/>
                <w:szCs w:val="8"/>
                <w:color w:val="auto"/>
              </w:rPr>
            </w:pPr>
          </w:p>
        </w:tc>
        <w:tc>
          <w:tcPr>
            <w:tcW w:w="1400" w:type="dxa"/>
            <w:vAlign w:val="bottom"/>
            <w:shd w:val="clear" w:color="auto" w:fill="DBDBDB"/>
          </w:tcPr>
          <w:p>
            <w:pPr>
              <w:spacing w:after="0"/>
              <w:rPr>
                <w:sz w:val="8"/>
                <w:szCs w:val="8"/>
                <w:color w:val="auto"/>
              </w:rPr>
            </w:pPr>
          </w:p>
        </w:tc>
        <w:tc>
          <w:tcPr>
            <w:tcW w:w="1420" w:type="dxa"/>
            <w:vAlign w:val="bottom"/>
            <w:shd w:val="clear" w:color="auto" w:fill="DBDBDB"/>
          </w:tcPr>
          <w:p>
            <w:pPr>
              <w:spacing w:after="0"/>
              <w:rPr>
                <w:sz w:val="8"/>
                <w:szCs w:val="8"/>
                <w:color w:val="auto"/>
              </w:rPr>
            </w:pPr>
          </w:p>
        </w:tc>
        <w:tc>
          <w:tcPr>
            <w:tcW w:w="1680" w:type="dxa"/>
            <w:vAlign w:val="bottom"/>
            <w:vMerge w:val="restart"/>
            <w:shd w:val="clear" w:color="auto" w:fill="DBDBDB"/>
          </w:tcPr>
          <w:p>
            <w:pPr>
              <w:ind w:left="80"/>
              <w:spacing w:after="0" w:line="122" w:lineRule="exact"/>
              <w:rPr>
                <w:sz w:val="20"/>
                <w:szCs w:val="20"/>
                <w:color w:val="auto"/>
              </w:rPr>
            </w:pPr>
            <w:r>
              <w:rPr>
                <w:rFonts w:ascii="Arial" w:cs="Arial" w:eastAsia="Arial" w:hAnsi="Arial"/>
                <w:sz w:val="13"/>
                <w:szCs w:val="13"/>
                <w:color w:val="auto"/>
              </w:rPr>
              <w:t>Loan stacking</w:t>
            </w:r>
          </w:p>
        </w:tc>
        <w:tc>
          <w:tcPr>
            <w:tcW w:w="1880" w:type="dxa"/>
            <w:vAlign w:val="bottom"/>
            <w:vMerge w:val="restart"/>
            <w:shd w:val="clear" w:color="auto" w:fill="DBDBDB"/>
          </w:tcPr>
          <w:p>
            <w:pPr>
              <w:ind w:left="140"/>
              <w:spacing w:after="0" w:line="122" w:lineRule="exact"/>
              <w:rPr>
                <w:sz w:val="20"/>
                <w:szCs w:val="20"/>
                <w:color w:val="auto"/>
              </w:rPr>
            </w:pPr>
            <w:r>
              <w:rPr>
                <w:rFonts w:ascii="Arial" w:cs="Arial" w:eastAsia="Arial" w:hAnsi="Arial"/>
                <w:sz w:val="13"/>
                <w:szCs w:val="13"/>
                <w:color w:val="auto"/>
              </w:rPr>
              <w:t>Loan stacking</w:t>
            </w:r>
          </w:p>
        </w:tc>
        <w:tc>
          <w:tcPr>
            <w:tcW w:w="1880" w:type="dxa"/>
            <w:vAlign w:val="bottom"/>
            <w:vMerge w:val="restart"/>
            <w:shd w:val="clear" w:color="auto" w:fill="DBDBDB"/>
          </w:tcPr>
          <w:p>
            <w:pPr>
              <w:ind w:left="60"/>
              <w:spacing w:after="0" w:line="122" w:lineRule="exact"/>
              <w:rPr>
                <w:sz w:val="20"/>
                <w:szCs w:val="20"/>
                <w:color w:val="auto"/>
              </w:rPr>
            </w:pPr>
            <w:r>
              <w:rPr>
                <w:rFonts w:ascii="Arial" w:cs="Arial" w:eastAsia="Arial" w:hAnsi="Arial"/>
                <w:sz w:val="13"/>
                <w:szCs w:val="13"/>
                <w:color w:val="auto"/>
              </w:rPr>
              <w:t>Time-delimited prepayment</w:t>
            </w:r>
          </w:p>
        </w:tc>
        <w:tc>
          <w:tcPr>
            <w:tcW w:w="2040" w:type="dxa"/>
            <w:vAlign w:val="bottom"/>
            <w:vMerge w:val="restart"/>
            <w:shd w:val="clear" w:color="auto" w:fill="DBDBDB"/>
          </w:tcPr>
          <w:p>
            <w:pPr>
              <w:ind w:left="120"/>
              <w:spacing w:after="0" w:line="122" w:lineRule="exact"/>
              <w:rPr>
                <w:sz w:val="20"/>
                <w:szCs w:val="20"/>
                <w:color w:val="auto"/>
              </w:rPr>
            </w:pPr>
            <w:r>
              <w:rPr>
                <w:rFonts w:ascii="Arial" w:cs="Arial" w:eastAsia="Arial" w:hAnsi="Arial"/>
                <w:sz w:val="13"/>
                <w:szCs w:val="13"/>
                <w:color w:val="auto"/>
              </w:rPr>
              <w:t>Time-delimited prepayment</w:t>
            </w:r>
          </w:p>
        </w:tc>
        <w:tc>
          <w:tcPr>
            <w:tcW w:w="0" w:type="dxa"/>
            <w:vAlign w:val="bottom"/>
          </w:tcPr>
          <w:p>
            <w:pPr>
              <w:spacing w:after="0"/>
              <w:rPr>
                <w:sz w:val="1"/>
                <w:szCs w:val="1"/>
                <w:color w:val="auto"/>
              </w:rPr>
            </w:pPr>
          </w:p>
        </w:tc>
      </w:tr>
      <w:tr>
        <w:trPr>
          <w:trHeight w:val="29"/>
        </w:trPr>
        <w:tc>
          <w:tcPr>
            <w:tcW w:w="94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680" w:type="dxa"/>
            <w:vAlign w:val="bottom"/>
            <w:vMerge w:val="continue"/>
            <w:shd w:val="clear" w:color="auto" w:fill="DBDBDB"/>
          </w:tcPr>
          <w:p>
            <w:pPr>
              <w:spacing w:after="0"/>
              <w:rPr>
                <w:sz w:val="2"/>
                <w:szCs w:val="2"/>
                <w:color w:val="auto"/>
              </w:rPr>
            </w:pPr>
          </w:p>
        </w:tc>
        <w:tc>
          <w:tcPr>
            <w:tcW w:w="1880" w:type="dxa"/>
            <w:vAlign w:val="bottom"/>
            <w:vMerge w:val="continue"/>
            <w:shd w:val="clear" w:color="auto" w:fill="DBDBDB"/>
          </w:tcPr>
          <w:p>
            <w:pPr>
              <w:spacing w:after="0"/>
              <w:rPr>
                <w:sz w:val="2"/>
                <w:szCs w:val="2"/>
                <w:color w:val="auto"/>
              </w:rPr>
            </w:pPr>
          </w:p>
        </w:tc>
        <w:tc>
          <w:tcPr>
            <w:tcW w:w="1880" w:type="dxa"/>
            <w:vAlign w:val="bottom"/>
            <w:vMerge w:val="continue"/>
            <w:shd w:val="clear" w:color="auto" w:fill="DBDBDB"/>
          </w:tcPr>
          <w:p>
            <w:pPr>
              <w:spacing w:after="0"/>
              <w:rPr>
                <w:sz w:val="2"/>
                <w:szCs w:val="2"/>
                <w:color w:val="auto"/>
              </w:rPr>
            </w:pPr>
          </w:p>
        </w:tc>
        <w:tc>
          <w:tcPr>
            <w:tcW w:w="2040" w:type="dxa"/>
            <w:vAlign w:val="bottom"/>
            <w:vMerge w:val="continue"/>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shd w:val="clear" w:color="auto" w:fill="DBDBDB"/>
          </w:tcPr>
          <w:p>
            <w:pPr>
              <w:spacing w:after="0"/>
              <w:rPr>
                <w:sz w:val="10"/>
                <w:szCs w:val="10"/>
                <w:color w:val="auto"/>
              </w:rPr>
            </w:pPr>
          </w:p>
        </w:tc>
        <w:tc>
          <w:tcPr>
            <w:tcW w:w="1400" w:type="dxa"/>
            <w:vAlign w:val="bottom"/>
            <w:shd w:val="clear" w:color="auto" w:fill="DBDBDB"/>
          </w:tcPr>
          <w:p>
            <w:pPr>
              <w:spacing w:after="0"/>
              <w:rPr>
                <w:sz w:val="10"/>
                <w:szCs w:val="10"/>
                <w:color w:val="auto"/>
              </w:rPr>
            </w:pPr>
          </w:p>
        </w:tc>
        <w:tc>
          <w:tcPr>
            <w:tcW w:w="1420" w:type="dxa"/>
            <w:vAlign w:val="bottom"/>
            <w:vMerge w:val="restart"/>
            <w:shd w:val="clear" w:color="auto" w:fill="DBDBDB"/>
          </w:tcPr>
          <w:p>
            <w:pPr>
              <w:ind w:left="60"/>
              <w:spacing w:after="0"/>
              <w:rPr>
                <w:sz w:val="20"/>
                <w:szCs w:val="20"/>
                <w:color w:val="auto"/>
              </w:rPr>
            </w:pPr>
            <w:r>
              <w:rPr>
                <w:rFonts w:ascii="Arial" w:cs="Arial" w:eastAsia="Arial" w:hAnsi="Arial"/>
                <w:sz w:val="13"/>
                <w:szCs w:val="13"/>
                <w:color w:val="auto"/>
              </w:rPr>
              <w:t>Identity fraud</w:t>
            </w:r>
          </w:p>
        </w:tc>
        <w:tc>
          <w:tcPr>
            <w:tcW w:w="1680" w:type="dxa"/>
            <w:vAlign w:val="bottom"/>
            <w:shd w:val="clear" w:color="auto" w:fill="DBDBDB"/>
          </w:tcPr>
          <w:p>
            <w:pPr>
              <w:ind w:left="80"/>
              <w:spacing w:after="0" w:line="122" w:lineRule="exact"/>
              <w:rPr>
                <w:sz w:val="20"/>
                <w:szCs w:val="20"/>
                <w:color w:val="auto"/>
              </w:rPr>
            </w:pPr>
            <w:r>
              <w:rPr>
                <w:rFonts w:ascii="Arial" w:cs="Arial" w:eastAsia="Arial" w:hAnsi="Arial"/>
                <w:sz w:val="13"/>
                <w:szCs w:val="13"/>
                <w:color w:val="auto"/>
              </w:rPr>
              <w:t>Prepayment</w:t>
            </w:r>
          </w:p>
        </w:tc>
        <w:tc>
          <w:tcPr>
            <w:tcW w:w="1880" w:type="dxa"/>
            <w:vAlign w:val="bottom"/>
            <w:shd w:val="clear" w:color="auto" w:fill="DBDBDB"/>
          </w:tcPr>
          <w:p>
            <w:pPr>
              <w:ind w:left="140"/>
              <w:spacing w:after="0" w:line="122" w:lineRule="exact"/>
              <w:rPr>
                <w:sz w:val="20"/>
                <w:szCs w:val="20"/>
                <w:color w:val="auto"/>
              </w:rPr>
            </w:pPr>
            <w:r>
              <w:rPr>
                <w:rFonts w:ascii="Arial" w:cs="Arial" w:eastAsia="Arial" w:hAnsi="Arial"/>
                <w:sz w:val="13"/>
                <w:szCs w:val="13"/>
                <w:color w:val="auto"/>
              </w:rPr>
              <w:t>Prepayment</w:t>
            </w:r>
          </w:p>
        </w:tc>
        <w:tc>
          <w:tcPr>
            <w:tcW w:w="1880" w:type="dxa"/>
            <w:vAlign w:val="bottom"/>
            <w:shd w:val="clear" w:color="auto" w:fill="DBDBDB"/>
          </w:tcPr>
          <w:p>
            <w:pPr>
              <w:ind w:left="60"/>
              <w:spacing w:after="0" w:line="122" w:lineRule="exact"/>
              <w:rPr>
                <w:sz w:val="20"/>
                <w:szCs w:val="20"/>
                <w:color w:val="auto"/>
              </w:rPr>
            </w:pPr>
            <w:r>
              <w:rPr>
                <w:rFonts w:ascii="Arial" w:cs="Arial" w:eastAsia="Arial" w:hAnsi="Arial"/>
                <w:sz w:val="13"/>
                <w:szCs w:val="13"/>
                <w:color w:val="auto"/>
              </w:rPr>
              <w:t>prediction</w:t>
            </w:r>
          </w:p>
        </w:tc>
        <w:tc>
          <w:tcPr>
            <w:tcW w:w="2040" w:type="dxa"/>
            <w:vAlign w:val="bottom"/>
            <w:shd w:val="clear" w:color="auto" w:fill="DBDBDB"/>
          </w:tcPr>
          <w:p>
            <w:pPr>
              <w:ind w:left="120"/>
              <w:spacing w:after="0" w:line="122" w:lineRule="exact"/>
              <w:rPr>
                <w:sz w:val="20"/>
                <w:szCs w:val="20"/>
                <w:color w:val="auto"/>
              </w:rPr>
            </w:pPr>
            <w:r>
              <w:rPr>
                <w:rFonts w:ascii="Arial" w:cs="Arial" w:eastAsia="Arial" w:hAnsi="Arial"/>
                <w:sz w:val="13"/>
                <w:szCs w:val="13"/>
                <w:color w:val="auto"/>
              </w:rPr>
              <w:t>prediction</w:t>
            </w:r>
          </w:p>
        </w:tc>
        <w:tc>
          <w:tcPr>
            <w:tcW w:w="0" w:type="dxa"/>
            <w:vAlign w:val="bottom"/>
          </w:tcPr>
          <w:p>
            <w:pPr>
              <w:spacing w:after="0"/>
              <w:rPr>
                <w:sz w:val="1"/>
                <w:szCs w:val="1"/>
                <w:color w:val="auto"/>
              </w:rPr>
            </w:pPr>
          </w:p>
        </w:tc>
      </w:tr>
      <w:tr>
        <w:trPr>
          <w:trHeight w:val="122"/>
        </w:trPr>
        <w:tc>
          <w:tcPr>
            <w:tcW w:w="940" w:type="dxa"/>
            <w:vAlign w:val="bottom"/>
            <w:shd w:val="clear" w:color="auto" w:fill="DBDBDB"/>
          </w:tcPr>
          <w:p>
            <w:pPr>
              <w:spacing w:after="0"/>
              <w:rPr>
                <w:sz w:val="10"/>
                <w:szCs w:val="10"/>
                <w:color w:val="auto"/>
              </w:rPr>
            </w:pPr>
          </w:p>
        </w:tc>
        <w:tc>
          <w:tcPr>
            <w:tcW w:w="1400" w:type="dxa"/>
            <w:vAlign w:val="bottom"/>
            <w:shd w:val="clear" w:color="auto" w:fill="DBDBDB"/>
          </w:tcPr>
          <w:p>
            <w:pPr>
              <w:spacing w:after="0"/>
              <w:rPr>
                <w:sz w:val="10"/>
                <w:szCs w:val="10"/>
                <w:color w:val="auto"/>
              </w:rPr>
            </w:pPr>
          </w:p>
        </w:tc>
        <w:tc>
          <w:tcPr>
            <w:tcW w:w="1420" w:type="dxa"/>
            <w:vAlign w:val="bottom"/>
            <w:vMerge w:val="continue"/>
            <w:shd w:val="clear" w:color="auto" w:fill="DBDBDB"/>
          </w:tcPr>
          <w:p>
            <w:pPr>
              <w:spacing w:after="0"/>
              <w:rPr>
                <w:sz w:val="10"/>
                <w:szCs w:val="10"/>
                <w:color w:val="auto"/>
              </w:rPr>
            </w:pPr>
          </w:p>
        </w:tc>
        <w:tc>
          <w:tcPr>
            <w:tcW w:w="1680" w:type="dxa"/>
            <w:vAlign w:val="bottom"/>
            <w:shd w:val="clear" w:color="auto" w:fill="DBDBDB"/>
          </w:tcPr>
          <w:p>
            <w:pPr>
              <w:ind w:left="80"/>
              <w:spacing w:after="0" w:line="122" w:lineRule="exact"/>
              <w:rPr>
                <w:sz w:val="20"/>
                <w:szCs w:val="20"/>
                <w:color w:val="auto"/>
              </w:rPr>
            </w:pPr>
            <w:r>
              <w:rPr>
                <w:rFonts w:ascii="Arial" w:cs="Arial" w:eastAsia="Arial" w:hAnsi="Arial"/>
                <w:sz w:val="13"/>
                <w:szCs w:val="13"/>
                <w:color w:val="auto"/>
              </w:rPr>
              <w:t>Identity fraud</w:t>
            </w:r>
          </w:p>
        </w:tc>
        <w:tc>
          <w:tcPr>
            <w:tcW w:w="1880" w:type="dxa"/>
            <w:vAlign w:val="bottom"/>
            <w:shd w:val="clear" w:color="auto" w:fill="DBDBDB"/>
          </w:tcPr>
          <w:p>
            <w:pPr>
              <w:ind w:left="140"/>
              <w:spacing w:after="0" w:line="122" w:lineRule="exact"/>
              <w:rPr>
                <w:sz w:val="20"/>
                <w:szCs w:val="20"/>
                <w:color w:val="auto"/>
              </w:rPr>
            </w:pPr>
            <w:r>
              <w:rPr>
                <w:rFonts w:ascii="Arial" w:cs="Arial" w:eastAsia="Arial" w:hAnsi="Arial"/>
                <w:sz w:val="13"/>
                <w:szCs w:val="13"/>
                <w:color w:val="auto"/>
              </w:rPr>
              <w:t>Identity fraud</w:t>
            </w:r>
          </w:p>
        </w:tc>
        <w:tc>
          <w:tcPr>
            <w:tcW w:w="1880" w:type="dxa"/>
            <w:vAlign w:val="bottom"/>
            <w:shd w:val="clear" w:color="auto" w:fill="DBDBDB"/>
          </w:tcPr>
          <w:p>
            <w:pPr>
              <w:ind w:left="60"/>
              <w:spacing w:after="0" w:line="122" w:lineRule="exact"/>
              <w:rPr>
                <w:sz w:val="20"/>
                <w:szCs w:val="20"/>
                <w:color w:val="auto"/>
              </w:rPr>
            </w:pPr>
            <w:r>
              <w:rPr>
                <w:rFonts w:ascii="Arial" w:cs="Arial" w:eastAsia="Arial" w:hAnsi="Arial"/>
                <w:sz w:val="13"/>
                <w:szCs w:val="13"/>
                <w:color w:val="auto"/>
              </w:rPr>
              <w:t>Identity fraud</w:t>
            </w:r>
          </w:p>
        </w:tc>
        <w:tc>
          <w:tcPr>
            <w:tcW w:w="2040" w:type="dxa"/>
            <w:vAlign w:val="bottom"/>
            <w:shd w:val="clear" w:color="auto" w:fill="DBDBDB"/>
          </w:tcPr>
          <w:p>
            <w:pPr>
              <w:ind w:left="120"/>
              <w:spacing w:after="0" w:line="122" w:lineRule="exact"/>
              <w:rPr>
                <w:sz w:val="20"/>
                <w:szCs w:val="20"/>
                <w:color w:val="auto"/>
              </w:rPr>
            </w:pPr>
            <w:r>
              <w:rPr>
                <w:rFonts w:ascii="Arial" w:cs="Arial" w:eastAsia="Arial" w:hAnsi="Arial"/>
                <w:sz w:val="13"/>
                <w:szCs w:val="13"/>
                <w:color w:val="auto"/>
              </w:rPr>
              <w:t>Identity fraud</w:t>
            </w:r>
          </w:p>
        </w:tc>
        <w:tc>
          <w:tcPr>
            <w:tcW w:w="0" w:type="dxa"/>
            <w:vAlign w:val="bottom"/>
          </w:tcPr>
          <w:p>
            <w:pPr>
              <w:spacing w:after="0"/>
              <w:rPr>
                <w:sz w:val="1"/>
                <w:szCs w:val="1"/>
                <w:color w:val="auto"/>
              </w:rPr>
            </w:pPr>
          </w:p>
        </w:tc>
      </w:tr>
      <w:tr>
        <w:trPr>
          <w:trHeight w:val="122"/>
        </w:trPr>
        <w:tc>
          <w:tcPr>
            <w:tcW w:w="940" w:type="dxa"/>
            <w:vAlign w:val="bottom"/>
            <w:shd w:val="clear" w:color="auto" w:fill="DBDBDB"/>
          </w:tcPr>
          <w:p>
            <w:pPr>
              <w:spacing w:after="0"/>
              <w:rPr>
                <w:sz w:val="10"/>
                <w:szCs w:val="10"/>
                <w:color w:val="auto"/>
              </w:rPr>
            </w:pPr>
          </w:p>
        </w:tc>
        <w:tc>
          <w:tcPr>
            <w:tcW w:w="1400" w:type="dxa"/>
            <w:vAlign w:val="bottom"/>
            <w:vMerge w:val="restart"/>
            <w:shd w:val="clear" w:color="auto" w:fill="DBDBDB"/>
          </w:tcPr>
          <w:p>
            <w:pPr>
              <w:ind w:left="80"/>
              <w:spacing w:after="0"/>
              <w:rPr>
                <w:sz w:val="20"/>
                <w:szCs w:val="20"/>
                <w:color w:val="auto"/>
              </w:rPr>
            </w:pPr>
            <w:r>
              <w:rPr>
                <w:rFonts w:ascii="Arial" w:cs="Arial" w:eastAsia="Arial" w:hAnsi="Arial"/>
                <w:sz w:val="13"/>
                <w:szCs w:val="13"/>
                <w:color w:val="auto"/>
                <w:w w:val="93"/>
              </w:rPr>
              <w:t>Binary default prediction</w:t>
            </w:r>
          </w:p>
        </w:tc>
        <w:tc>
          <w:tcPr>
            <w:tcW w:w="1420" w:type="dxa"/>
            <w:vAlign w:val="bottom"/>
            <w:shd w:val="clear" w:color="auto" w:fill="DBDBDB"/>
          </w:tcPr>
          <w:p>
            <w:pPr>
              <w:ind w:left="60"/>
              <w:spacing w:after="0" w:line="122" w:lineRule="exact"/>
              <w:rPr>
                <w:sz w:val="20"/>
                <w:szCs w:val="20"/>
                <w:color w:val="auto"/>
              </w:rPr>
            </w:pPr>
            <w:r>
              <w:rPr>
                <w:rFonts w:ascii="Arial" w:cs="Arial" w:eastAsia="Arial" w:hAnsi="Arial"/>
                <w:sz w:val="13"/>
                <w:szCs w:val="13"/>
                <w:color w:val="auto"/>
              </w:rPr>
              <w:t>Default timing</w:t>
            </w:r>
          </w:p>
        </w:tc>
        <w:tc>
          <w:tcPr>
            <w:tcW w:w="1680" w:type="dxa"/>
            <w:vAlign w:val="bottom"/>
            <w:shd w:val="clear" w:color="auto" w:fill="DBDBDB"/>
          </w:tcPr>
          <w:p>
            <w:pPr>
              <w:ind w:left="80"/>
              <w:spacing w:after="0" w:line="122" w:lineRule="exact"/>
              <w:rPr>
                <w:sz w:val="20"/>
                <w:szCs w:val="20"/>
                <w:color w:val="auto"/>
              </w:rPr>
            </w:pPr>
            <w:r>
              <w:rPr>
                <w:rFonts w:ascii="Arial" w:cs="Arial" w:eastAsia="Arial" w:hAnsi="Arial"/>
                <w:sz w:val="13"/>
                <w:szCs w:val="13"/>
                <w:color w:val="auto"/>
              </w:rPr>
              <w:t>Default timing</w:t>
            </w:r>
          </w:p>
        </w:tc>
        <w:tc>
          <w:tcPr>
            <w:tcW w:w="1880" w:type="dxa"/>
            <w:vAlign w:val="bottom"/>
            <w:shd w:val="clear" w:color="auto" w:fill="DBDBDB"/>
          </w:tcPr>
          <w:p>
            <w:pPr>
              <w:ind w:left="140"/>
              <w:spacing w:after="0" w:line="122" w:lineRule="exact"/>
              <w:rPr>
                <w:sz w:val="20"/>
                <w:szCs w:val="20"/>
                <w:color w:val="auto"/>
              </w:rPr>
            </w:pPr>
            <w:r>
              <w:rPr>
                <w:rFonts w:ascii="Arial" w:cs="Arial" w:eastAsia="Arial" w:hAnsi="Arial"/>
                <w:sz w:val="13"/>
                <w:szCs w:val="13"/>
                <w:color w:val="auto"/>
                <w:w w:val="91"/>
              </w:rPr>
              <w:t>Time-delimited default prediction</w:t>
            </w:r>
          </w:p>
        </w:tc>
        <w:tc>
          <w:tcPr>
            <w:tcW w:w="1880" w:type="dxa"/>
            <w:vAlign w:val="bottom"/>
            <w:shd w:val="clear" w:color="auto" w:fill="DBDBDB"/>
          </w:tcPr>
          <w:p>
            <w:pPr>
              <w:ind w:left="60"/>
              <w:spacing w:after="0" w:line="122" w:lineRule="exact"/>
              <w:rPr>
                <w:sz w:val="20"/>
                <w:szCs w:val="20"/>
                <w:color w:val="auto"/>
              </w:rPr>
            </w:pPr>
            <w:r>
              <w:rPr>
                <w:rFonts w:ascii="Arial" w:cs="Arial" w:eastAsia="Arial" w:hAnsi="Arial"/>
                <w:sz w:val="13"/>
                <w:szCs w:val="13"/>
                <w:color w:val="auto"/>
                <w:w w:val="95"/>
              </w:rPr>
              <w:t>Time-delimited default prediction</w:t>
            </w:r>
          </w:p>
        </w:tc>
        <w:tc>
          <w:tcPr>
            <w:tcW w:w="2040" w:type="dxa"/>
            <w:vAlign w:val="bottom"/>
            <w:shd w:val="clear" w:color="auto" w:fill="DBDBDB"/>
          </w:tcPr>
          <w:p>
            <w:pPr>
              <w:ind w:left="120"/>
              <w:spacing w:after="0" w:line="122" w:lineRule="exact"/>
              <w:rPr>
                <w:sz w:val="20"/>
                <w:szCs w:val="20"/>
                <w:color w:val="auto"/>
              </w:rPr>
            </w:pPr>
            <w:r>
              <w:rPr>
                <w:rFonts w:ascii="Arial" w:cs="Arial" w:eastAsia="Arial" w:hAnsi="Arial"/>
                <w:sz w:val="13"/>
                <w:szCs w:val="13"/>
                <w:color w:val="auto"/>
              </w:rPr>
              <w:t>Time-delimited default prediction</w:t>
            </w:r>
          </w:p>
        </w:tc>
        <w:tc>
          <w:tcPr>
            <w:tcW w:w="0" w:type="dxa"/>
            <w:vAlign w:val="bottom"/>
          </w:tcPr>
          <w:p>
            <w:pPr>
              <w:spacing w:after="0"/>
              <w:rPr>
                <w:sz w:val="1"/>
                <w:szCs w:val="1"/>
                <w:color w:val="auto"/>
              </w:rPr>
            </w:pPr>
          </w:p>
        </w:tc>
      </w:tr>
      <w:tr>
        <w:trPr>
          <w:trHeight w:val="175"/>
        </w:trPr>
        <w:tc>
          <w:tcPr>
            <w:tcW w:w="940" w:type="dxa"/>
            <w:vAlign w:val="bottom"/>
            <w:shd w:val="clear" w:color="auto" w:fill="DBDBDB"/>
          </w:tcPr>
          <w:p>
            <w:pPr>
              <w:spacing w:after="0"/>
              <w:rPr>
                <w:sz w:val="15"/>
                <w:szCs w:val="15"/>
                <w:color w:val="auto"/>
              </w:rPr>
            </w:pPr>
          </w:p>
        </w:tc>
        <w:tc>
          <w:tcPr>
            <w:tcW w:w="1400" w:type="dxa"/>
            <w:vAlign w:val="bottom"/>
            <w:vMerge w:val="continue"/>
            <w:shd w:val="clear" w:color="auto" w:fill="DBDBDB"/>
          </w:tcPr>
          <w:p>
            <w:pPr>
              <w:spacing w:after="0"/>
              <w:rPr>
                <w:sz w:val="15"/>
                <w:szCs w:val="15"/>
                <w:color w:val="auto"/>
              </w:rPr>
            </w:pPr>
          </w:p>
        </w:tc>
        <w:tc>
          <w:tcPr>
            <w:tcW w:w="1420" w:type="dxa"/>
            <w:vAlign w:val="bottom"/>
            <w:shd w:val="clear" w:color="auto" w:fill="DBDBDB"/>
          </w:tcPr>
          <w:p>
            <w:pPr>
              <w:ind w:left="60"/>
              <w:spacing w:after="0"/>
              <w:rPr>
                <w:sz w:val="20"/>
                <w:szCs w:val="20"/>
                <w:color w:val="auto"/>
              </w:rPr>
            </w:pPr>
            <w:r>
              <w:rPr>
                <w:rFonts w:ascii="Arial" w:cs="Arial" w:eastAsia="Arial" w:hAnsi="Arial"/>
                <w:sz w:val="13"/>
                <w:szCs w:val="13"/>
                <w:color w:val="auto"/>
                <w:w w:val="96"/>
              </w:rPr>
              <w:t>Binary default prediction</w:t>
            </w:r>
          </w:p>
        </w:tc>
        <w:tc>
          <w:tcPr>
            <w:tcW w:w="1680" w:type="dxa"/>
            <w:vAlign w:val="bottom"/>
            <w:shd w:val="clear" w:color="auto" w:fill="DBDBDB"/>
          </w:tcPr>
          <w:p>
            <w:pPr>
              <w:ind w:left="80"/>
              <w:spacing w:after="0"/>
              <w:rPr>
                <w:sz w:val="20"/>
                <w:szCs w:val="20"/>
                <w:color w:val="auto"/>
              </w:rPr>
            </w:pPr>
            <w:r>
              <w:rPr>
                <w:rFonts w:ascii="Arial" w:cs="Arial" w:eastAsia="Arial" w:hAnsi="Arial"/>
                <w:sz w:val="13"/>
                <w:szCs w:val="13"/>
                <w:color w:val="auto"/>
              </w:rPr>
              <w:t>Binary default prediction</w:t>
            </w:r>
          </w:p>
        </w:tc>
        <w:tc>
          <w:tcPr>
            <w:tcW w:w="1880" w:type="dxa"/>
            <w:vAlign w:val="bottom"/>
            <w:shd w:val="clear" w:color="auto" w:fill="DBDBDB"/>
          </w:tcPr>
          <w:p>
            <w:pPr>
              <w:ind w:left="140"/>
              <w:spacing w:after="0"/>
              <w:rPr>
                <w:sz w:val="20"/>
                <w:szCs w:val="20"/>
                <w:color w:val="auto"/>
              </w:rPr>
            </w:pPr>
            <w:r>
              <w:rPr>
                <w:rFonts w:ascii="Arial" w:cs="Arial" w:eastAsia="Arial" w:hAnsi="Arial"/>
                <w:sz w:val="13"/>
                <w:szCs w:val="13"/>
                <w:color w:val="auto"/>
              </w:rPr>
              <w:t>Binary default prediction</w:t>
            </w:r>
          </w:p>
        </w:tc>
        <w:tc>
          <w:tcPr>
            <w:tcW w:w="1880" w:type="dxa"/>
            <w:vAlign w:val="bottom"/>
            <w:shd w:val="clear" w:color="auto" w:fill="DBDBDB"/>
          </w:tcPr>
          <w:p>
            <w:pPr>
              <w:ind w:left="60"/>
              <w:spacing w:after="0"/>
              <w:rPr>
                <w:sz w:val="20"/>
                <w:szCs w:val="20"/>
                <w:color w:val="auto"/>
              </w:rPr>
            </w:pPr>
            <w:r>
              <w:rPr>
                <w:rFonts w:ascii="Arial" w:cs="Arial" w:eastAsia="Arial" w:hAnsi="Arial"/>
                <w:sz w:val="13"/>
                <w:szCs w:val="13"/>
                <w:color w:val="auto"/>
              </w:rPr>
              <w:t>Binary default prediction</w:t>
            </w:r>
          </w:p>
        </w:tc>
        <w:tc>
          <w:tcPr>
            <w:tcW w:w="2040" w:type="dxa"/>
            <w:vAlign w:val="bottom"/>
            <w:shd w:val="clear" w:color="auto" w:fill="DBDBDB"/>
          </w:tcPr>
          <w:p>
            <w:pPr>
              <w:ind w:left="120"/>
              <w:spacing w:after="0"/>
              <w:rPr>
                <w:sz w:val="20"/>
                <w:szCs w:val="20"/>
                <w:color w:val="auto"/>
              </w:rPr>
            </w:pPr>
            <w:r>
              <w:rPr>
                <w:rFonts w:ascii="Arial" w:cs="Arial" w:eastAsia="Arial" w:hAnsi="Arial"/>
                <w:sz w:val="13"/>
                <w:szCs w:val="13"/>
                <w:color w:val="auto"/>
              </w:rPr>
              <w:t>Binary default prediction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-2750820</wp:posOffset>
            </wp:positionV>
            <wp:extent cx="82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-2750820</wp:posOffset>
            </wp:positionV>
            <wp:extent cx="889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aspects of our AI models include: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Variables in our AI models have increased from 23 in 2014 to more than 1,000 as of December 31, 2020. These include factors related to credit experience, employment, educational history, bank account transactions, cost of living and loan application interactions.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Data</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2020, our models have been trained by more than 10.5 million repayment events such as a successful repayment or a delinquency. Upstart’s models learn from repayment data even while loan principal remains outstanding, allowing the models to improve in real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Modeling Techniques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Growth in training data has enabled the development of increasingly sophisticated modeling techniques. For example, while earlier versions of our AI models were centered on logistic regression, our more recent models incorporate stochastic gradient boosting. We expect that our data science investments and continued growth of training data will unlock even more powerful techniques over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While our first model focused on predicting the likelihood of loan default, we have since applied models throughout the process of credit origination. These models quantify and reduce risk in various ways, while also increasing automation and funnel conversion.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currently active AI models within the Upstart platform—shared by and available to all Upstart’s bank partners—include:</w:t>
      </w:r>
    </w:p>
    <w:p>
      <w:pPr>
        <w:spacing w:after="0" w:line="11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Fee optimization</w:t>
      </w:r>
      <w:r>
        <w:rPr>
          <w:rFonts w:ascii="Arial" w:cs="Arial" w:eastAsia="Arial" w:hAnsi="Arial"/>
          <w:sz w:val="18"/>
          <w:szCs w:val="18"/>
          <w:color w:val="auto"/>
        </w:rPr>
        <w:t>—optimizes assignment of origination fees;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Income fraud</w:t>
      </w:r>
      <w:r>
        <w:rPr>
          <w:rFonts w:ascii="Arial" w:cs="Arial" w:eastAsia="Arial" w:hAnsi="Arial"/>
          <w:sz w:val="18"/>
          <w:szCs w:val="18"/>
          <w:color w:val="auto"/>
        </w:rPr>
        <w:t>—quantifies potential misrepresentation of borrower income;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Acquisition targeting</w:t>
      </w:r>
      <w:r>
        <w:rPr>
          <w:rFonts w:ascii="Arial" w:cs="Arial" w:eastAsia="Arial" w:hAnsi="Arial"/>
          <w:sz w:val="18"/>
          <w:szCs w:val="18"/>
          <w:color w:val="auto"/>
        </w:rPr>
        <w:t>—identifies consumers likely to qualify for and have need for a loan;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Loan stacking</w:t>
      </w:r>
      <w:r>
        <w:rPr>
          <w:rFonts w:ascii="Arial" w:cs="Arial" w:eastAsia="Arial" w:hAnsi="Arial"/>
          <w:sz w:val="18"/>
          <w:szCs w:val="18"/>
          <w:color w:val="auto"/>
        </w:rPr>
        <w:t>—identifies consumers likely to take out multiple loans in a short period of time;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Prepayment prediction</w:t>
      </w:r>
      <w:r>
        <w:rPr>
          <w:rFonts w:ascii="Arial" w:cs="Arial" w:eastAsia="Arial" w:hAnsi="Arial"/>
          <w:sz w:val="18"/>
          <w:szCs w:val="18"/>
          <w:color w:val="auto"/>
        </w:rPr>
        <w:t>—quantifies the likelihood that a consumer will make payments on a loan earlier than originally scheduled;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Identity fraud</w:t>
      </w:r>
      <w:r>
        <w:rPr>
          <w:rFonts w:ascii="Arial" w:cs="Arial" w:eastAsia="Arial" w:hAnsi="Arial"/>
          <w:sz w:val="18"/>
          <w:szCs w:val="18"/>
          <w:color w:val="auto"/>
        </w:rPr>
        <w:t>—quantifies the risk that an applicant is misrepresenting their identity;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Time-delimited default prediction</w:t>
      </w:r>
      <w:r>
        <w:rPr>
          <w:rFonts w:ascii="Arial" w:cs="Arial" w:eastAsia="Arial" w:hAnsi="Arial"/>
          <w:sz w:val="18"/>
          <w:szCs w:val="18"/>
          <w:color w:val="auto"/>
        </w:rPr>
        <w:t>—quantifies the likelihood of default for each period of the loan term.</w:t>
      </w:r>
    </w:p>
    <w:p>
      <w:pPr>
        <w:spacing w:after="0" w:line="23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Technology Infrastructure</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cloud-based software platform incorporates modern technologies and software development approaches to allow for rapid development of new features.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Cloud-Native Technologies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run our technology platform as containerized services on the AWS cloud. Our architecture is designed for high availability and horizontal scalability. Our primary development platforms are Ruby on Rails and Python, but our Kubernetes-based compute environment gives us the flexibility to run heterogeneous workloads with minimal operational overhead. We deploy new software regularly without platform downtime, allowing borrowers and banks to immediately benefit from the latest updates to our platform.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Integrity and Security</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information security program governs how we safeguard the confidentiality, integrity, and availability of our consumer data. Our environment is continuously monitored with a suite of tools designed to detect security events in both internal and user-facing systems. We engage with third parties to audit our security program and to perform regular penetration tests of our Web application and cloud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Configurable Multi-Tenant Architecture</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bank partners, allowing customizations to everything from the applicant user interface to the core rules governing credit decisioning.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Learning Platform</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order to support innovation in our underwriting, fraud detection and acquisition models, we have developed proprietary technologies to enable our machine learning team to develop, train, test and deploy new model updates with minimal engineering support. Our backend systems are designed to flexibly integrate with multiple third-party data sources to feed these models and support real-time decisioning.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Responsive Web Design</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user interface is responsive to ensure applicants and borrowers have a smooth experience regardless of whether they are accessing our website from a desktop, mobile device or tablet.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Reporting and Integration Capabilities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reporting APIs provide investors and bank partners the ability to access data through a programmatic interface. Our integration capabilities with bank partners include an ability to pre-fill applicant information via API and provide loan details in real-time to facilitate a seamless process from application to origination. In December 2020, we launched a bank reporting portal which provides our bank partners with a centralized console to view real time performance metrics of their lending program, view and verify their credit policy and program configuration, and on-demand access to operational reports and documents.</w:t>
      </w:r>
    </w:p>
    <w:p>
      <w:pPr>
        <w:spacing w:after="0" w:line="21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Consumer Marketing</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our ability to offer lower rates than our competitors has improved significantly. Because our model changes in real time, we are able to extend new offer loans to applicants who were previously not eligible or were previously quoted a higher rate.</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growth and marketing initiatives are primarily focused on bringing potential borrowers to Upstart.com, where they can learn if they qualify for a loan from one of our bank partners and on what terms in only a few minutes. Our consumer acquisition channels combine a mix of online and offline, as well as paid and unpaid, channels. While we constantly experiment to expand and optimize our acquisition strategies, our largest channels include:</w:t>
      </w:r>
    </w:p>
    <w:p>
      <w:pPr>
        <w:spacing w:after="0" w:line="41" w:lineRule="exact"/>
        <w:rPr>
          <w:sz w:val="20"/>
          <w:szCs w:val="20"/>
          <w:color w:val="auto"/>
        </w:rPr>
      </w:pPr>
    </w:p>
    <w:p>
      <w:pPr>
        <w:ind w:left="980" w:hanging="324"/>
        <w:spacing w:after="0" w:line="324"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Marketing affiliates</w:t>
      </w:r>
      <w:r>
        <w:rPr>
          <w:rFonts w:ascii="Arial" w:cs="Arial" w:eastAsia="Arial" w:hAnsi="Arial"/>
          <w:sz w:val="16"/>
          <w:szCs w:val="16"/>
          <w:color w:val="auto"/>
        </w:rPr>
        <w:t>—A variety of online media partners, such as loan aggregators, send us traffic on a cost per origination basis. Many loan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aggregators also incorporate credit data to provide online prescreened offers, which leads to highly targeted and interested referrals.</w:t>
      </w:r>
    </w:p>
    <w:p>
      <w:pPr>
        <w:spacing w:after="0" w:line="16" w:lineRule="exact"/>
        <w:rPr>
          <w:rFonts w:ascii="Arial" w:cs="Arial" w:eastAsia="Arial" w:hAnsi="Arial"/>
          <w:sz w:val="16"/>
          <w:szCs w:val="16"/>
          <w:color w:val="auto"/>
        </w:rPr>
      </w:pPr>
    </w:p>
    <w:p>
      <w:pPr>
        <w:jc w:val="both"/>
        <w:ind w:left="980" w:hanging="324"/>
        <w:spacing w:after="0" w:line="248"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Direct mail</w:t>
      </w:r>
      <w:r>
        <w:rPr>
          <w:rFonts w:ascii="Arial" w:cs="Arial" w:eastAsia="Arial" w:hAnsi="Arial"/>
          <w:sz w:val="18"/>
          <w:szCs w:val="18"/>
          <w:color w:val="auto"/>
        </w:rPr>
        <w:t>—We apply our strengths in data science to target individuals who both qualify for and may have a need for an Upstart-powered</w:t>
      </w:r>
      <w:r>
        <w:rPr>
          <w:rFonts w:ascii="Arial" w:cs="Arial" w:eastAsia="Arial" w:hAnsi="Arial"/>
          <w:sz w:val="18"/>
          <w:szCs w:val="18"/>
          <w:i w:val="1"/>
          <w:iCs w:val="1"/>
          <w:color w:val="auto"/>
        </w:rPr>
        <w:t xml:space="preserve"> </w:t>
      </w:r>
      <w:r>
        <w:rPr>
          <w:rFonts w:ascii="Arial" w:cs="Arial" w:eastAsia="Arial" w:hAnsi="Arial"/>
          <w:sz w:val="18"/>
          <w:szCs w:val="18"/>
          <w:color w:val="auto"/>
        </w:rPr>
        <w:t>loan. The ability to analyze an individual’s credit data to target and mail prescreened offers of credit gives this channel a meaningful data advantage over other channels.</w:t>
      </w:r>
    </w:p>
    <w:p>
      <w:pPr>
        <w:spacing w:after="0" w:line="73"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Organic traffic</w:t>
      </w:r>
      <w:r>
        <w:rPr>
          <w:rFonts w:ascii="Arial" w:cs="Arial" w:eastAsia="Arial" w:hAnsi="Arial"/>
          <w:sz w:val="18"/>
          <w:szCs w:val="18"/>
          <w:color w:val="auto"/>
        </w:rPr>
        <w:t>—As our brand recognition and reputation grow, an increasing number of potential borrowers come directly to Upstart.com</w:t>
      </w:r>
      <w:r>
        <w:rPr>
          <w:rFonts w:ascii="Arial" w:cs="Arial" w:eastAsia="Arial" w:hAnsi="Arial"/>
          <w:sz w:val="18"/>
          <w:szCs w:val="18"/>
          <w:i w:val="1"/>
          <w:iCs w:val="1"/>
          <w:color w:val="auto"/>
        </w:rPr>
        <w:t xml:space="preserve"> </w:t>
      </w:r>
      <w:r>
        <w:rPr>
          <w:rFonts w:ascii="Arial" w:cs="Arial" w:eastAsia="Arial" w:hAnsi="Arial"/>
          <w:sz w:val="18"/>
          <w:szCs w:val="18"/>
          <w:color w:val="auto"/>
        </w:rPr>
        <w:t>simply by word of mouth.</w:t>
      </w:r>
    </w:p>
    <w:p>
      <w:pPr>
        <w:spacing w:after="0" w:line="62"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Email marketing</w:t>
      </w:r>
      <w:r>
        <w:rPr>
          <w:rFonts w:ascii="Arial" w:cs="Arial" w:eastAsia="Arial" w:hAnsi="Arial"/>
          <w:sz w:val="18"/>
          <w:szCs w:val="18"/>
          <w:color w:val="auto"/>
        </w:rPr>
        <w:t>—We have an automated email program that sends customized messages and reminders to potential borrowers once they</w:t>
      </w:r>
      <w:r>
        <w:rPr>
          <w:rFonts w:ascii="Arial" w:cs="Arial" w:eastAsia="Arial" w:hAnsi="Arial"/>
          <w:sz w:val="18"/>
          <w:szCs w:val="18"/>
          <w:i w:val="1"/>
          <w:iCs w:val="1"/>
          <w:color w:val="auto"/>
        </w:rPr>
        <w:t xml:space="preserve"> </w:t>
      </w:r>
      <w:r>
        <w:rPr>
          <w:rFonts w:ascii="Arial" w:cs="Arial" w:eastAsia="Arial" w:hAnsi="Arial"/>
          <w:sz w:val="18"/>
          <w:szCs w:val="18"/>
          <w:color w:val="auto"/>
        </w:rPr>
        <w:t>have created accounts to encourage them to complete their loan application.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Online advertising</w:t>
      </w:r>
      <w:r>
        <w:rPr>
          <w:rFonts w:ascii="Arial" w:cs="Arial" w:eastAsia="Arial" w:hAnsi="Arial"/>
          <w:sz w:val="17"/>
          <w:szCs w:val="17"/>
          <w:color w:val="auto"/>
        </w:rPr>
        <w:t>—Search engines and social channels enable targeted outreach to potential borrowers with specific messages.</w:t>
      </w:r>
    </w:p>
    <w:p>
      <w:pPr>
        <w:spacing w:after="0" w:line="115" w:lineRule="exact"/>
        <w:rPr>
          <w:rFonts w:ascii="Arial" w:cs="Arial" w:eastAsia="Arial" w:hAnsi="Arial"/>
          <w:sz w:val="17"/>
          <w:szCs w:val="17"/>
          <w:color w:val="auto"/>
        </w:rPr>
      </w:pPr>
    </w:p>
    <w:p>
      <w:pPr>
        <w:ind w:left="980" w:hanging="324"/>
        <w:spacing w:after="0" w:line="324"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Podcast advertising</w:t>
      </w:r>
      <w:r>
        <w:rPr>
          <w:rFonts w:ascii="Arial" w:cs="Arial" w:eastAsia="Arial" w:hAnsi="Arial"/>
          <w:sz w:val="16"/>
          <w:szCs w:val="16"/>
          <w:color w:val="auto"/>
        </w:rPr>
        <w:t>—We purchase 30 or 60-second advertising placements on podcasts with a listener base that we believe overlaps with</w:t>
      </w:r>
      <w:r>
        <w:rPr>
          <w:rFonts w:ascii="Arial" w:cs="Arial" w:eastAsia="Arial" w:hAnsi="Arial"/>
          <w:sz w:val="16"/>
          <w:szCs w:val="16"/>
          <w:i w:val="1"/>
          <w:iCs w:val="1"/>
          <w:color w:val="auto"/>
        </w:rPr>
        <w:t xml:space="preserve"> </w:t>
      </w:r>
      <w:r>
        <w:rPr>
          <w:rFonts w:ascii="Arial" w:cs="Arial" w:eastAsia="Arial" w:hAnsi="Arial"/>
          <w:sz w:val="16"/>
          <w:szCs w:val="16"/>
          <w:color w:val="auto"/>
        </w:rPr>
        <w:t>Upstart’s target consumer base. These advertisements are designed by the Upstart team but are delivered to listeners by the podcast hosts.</w:t>
      </w:r>
    </w:p>
    <w:p>
      <w:pPr>
        <w:spacing w:after="0" w:line="151"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A significant number of consumers that apply for a loan on Upstart.com learn about and access Upstart.com through the website of a loan aggregator, Credit Karma. The percentage of loan originations that were derived from traffic from Credit Karma was 38%, 38% and 52% in 2018, 2019 and 2020, respectively, and the percentage of loan originations that were derived from direct mail was 28%, 23% and 12%, in 2018, 2019 and 2020, respectively. No other marketing channel contributed significantly compared to Credit Karma and direct mail. We have entered into a promotion agreement with Credit Karma that governs the terms and conditions between us and Credit Karma with respect to advertising the loans offered on our platform. Either party may terminate our arrangement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6"/>
          <w:szCs w:val="16"/>
          <w:color w:val="auto"/>
        </w:rPr>
        <w:t>upon a material breach of any provision of the agreement or at any time, with or without cause, by providing no less than 30 days’ notice. Our agreement does not require Credit Karma to display offers from lenders on Upstart.com 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To date, Upstart has opted not to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w:t>
      </w:r>
    </w:p>
    <w:p>
      <w:pPr>
        <w:spacing w:after="0" w:line="18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Bank Partnerships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predominantly target small to medium-sized banks with an appetite to invest in improved underwriting, digital originations and unsecured lending. As of December 31, 2020, we had twelve bank partners.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CRB, originates a large fraction of the whole loans sold to institutional investors under our loan funding programs. For the years ended December 31, 2018, 2019 and 2020, fees received from CRB accounted for 81%, 80% and 63%, of our total revenue, respectively. We have entered into a loan program agreement that governs the terms and conditions between us and CRB with respect to loans facilitated through our platform and issued by CRB.</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also entered into separate agreements with each of our other bank partners. Our agreements with our bank partners are non-exclusive, generally have 12-month terms that automatically renew, subject to certain early termination provisions and minimum fee amounts, and do not include any minimum origination obligations or origination limits.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platform includes a cloud-based web application for all user interactions, including rate inquiry, loan offer presentation, adverse action notification, bank account verification and connectivity, borrower identity and credential verification, disclosure presentation and loan servicing. The software includes a variety of embedded AI models supporting and automating fraud prevention, credit decisioning and borrower verification. Bank partners also have access to an administrative interface for reporting and program management. We also perform regulatory fairness tests on bank partners’ behalf.</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Institutional Investors</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platform allows bank partners to originate and retain loans that meet their business objectives. Because banks vary with respect to program objectives, risk tolerance and funding capacity, each bank’s program parameters can vary significantly. In the year ended December 31, 2020, approximately 21% of Upstart-powered loans originated by bank partners were retained by those bank partners.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By leveraging our institutional investors’ broad and diverse capacity to absorb and distribute credit risk, we can develop our business and our AI models faster than if we relied only on the funding capacity of our bank partners. Accordingly, our growth is not limited by bank funding capacity or risk tolerance. The combination of bank and institutional investor funding provides our platform with competitive and diverse capital.</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network of institutional investors includes purchasers of whole loans originated via Upstart’s platform, as well as capital markets investors that buy securities, such as pass-through certificates. In the case of whole loan purchasers, we typically enter into loan purchase agreements and loan servicing agreements with such purchasers. The loan purchase agreements provide for the purchaser to place requests (ordinarily on a monthly basis) to purchase pools of whole loans originated via Upstart’s platform by certain bank partners. Investors may also purchase interests in loans originated via Upstart’s platform in the form of pass-through certificates rather than whole loans. We have pass-through certificate programs sponsored by certain financial institutions under which investors can purchase securities collateralized by Upstart-powered loans from an issuer trust.</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there are minimal differences between whole loan sales and sales of pass-through certificates from Upstart’s perspective, both programs are offered to provide flexibility to investors in our loan funding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Institutional investors may prefer pass-through certificates, which are more liquid, while other institutional investors may prefer whole loan purchases, which are generally more cost effective.</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whole loans or pass-through certificates purchased after origination may later be included in our asset-backed securitization transactions whereby interests in these Upstart-powered loans are sold to other institutional investors.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our asset-backed securitization transactions, we engage with investment banks to structure investments under which we and/or certain of the purchasers of whole loans or pass-through certificates described in the preceding paragraphs sell pools of whole loans to a bankruptcy-remote securitization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 We are typically retained by participating institutional investors to service the loans, and act in such servicing capacity for the life of the investment transaction.</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Operations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developed sophisticated tools that our internal operations team uses to support the origination and servicing of credit. 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teams, including credit analysts, fraud specialists, customer support and payments specialists, work to deliver a seamless user experience to consumers on behalf of our bank partners.</w:t>
      </w:r>
    </w:p>
    <w:p>
      <w:pPr>
        <w:spacing w:after="0" w:line="197"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Customer operations is divided functionally by teams that focus on pre-origination experience (verification and customer support) and post-origination experience (loan servicing). Team members are distributed between our headquarters in San Mateo, California and our second headquarters in Columbus, Ohio.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Verification and Customer Support Operations</w:t>
      </w:r>
    </w:p>
    <w:p>
      <w:pPr>
        <w:spacing w:after="0" w:line="23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team focuses on the minority of borrowers whose applications are not entirely automated or any applicant who has questions or issues throughout the application process. While approximately 30% of Upstart-powered loans involve human intervention, the vast majority of these loans are not fraudulent. Thus, our team focuses on expediting applicants through the process to the extent possible, while identifying and rejecting fraudulent applications. Our operations team works closely with our engineering and machine learning teams to further increase our levels of automation.</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Most prospective borrowers and applicants interact with Upstart via our online platform and help center, but we also make agent-based support readily available to all borrowers. For phone support, we partner with an external call center vendor and have a team of dedicated Upstart agents with specialized training.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Operations</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Upstart-powered loans are serviced via our homegrown platform. For borrowers who miss payments, we focus on early intervention and attempt to reach them via emails, calls, texts and skip-trace to help bring their account current or offer hardship options in accordance with our servicing policies. Borrowers on our platform are supported via a combination of internal payments specialists and a third-party service provider.</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conduct collections activities in house. Accounts that are more than 30 days past due are referred to third-party collection agencies for collections. Debt collection calls and collection performance are reviewed regularly by our vendor management and quality assurance teams. Our operations and compliance teams each also perform onsite audits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15" w:name="page16"/>
    <w:bookmarkEnd w:id="15"/>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Competition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Consumer lending is a vast and competitive market, and we compete in varying degrees with all other sources of unsecured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the bank partnership side, we compete with a variety of technology companies that aim to help banks with the digital transformation of their business, particularly with respect to all-digital lending. This includes new products from legacy bank technology providers as well as newer companies focused entirely on lending software infrastructure for banks. We may also face competition from banks or companies that have not previously competed in the consumer lending market, including companies with large and experienced machine learning teams and access to vast amounts of consumer-related information that could be used in the development of their own credit risk models.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1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Constantly improving AI models;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Compelling loan offers to consumers that improve regularly;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Automated and user-friendly loan application process;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Consistent and predictable loan performance;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Cloud-native, multi-tenant architecture;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Combination of technology and customer acquisition for bank partners;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Robust and diverse loan funding program;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recognition and trust.</w:t>
      </w:r>
    </w:p>
    <w:p>
      <w:pPr>
        <w:spacing w:after="0" w:line="23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Government Regulation</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and the loans made through our platform by our bank partners are subject to extensive and complex rules and regulations and examination by various federal, state and local government authorities. Failure to comply with any of the applicable rules and regulations may result in, among other things, revocation of required licenses or registration, loss of approved status, effective voiding or rescission of the loan contracts, class action lawsuits, administrative enforcement actions and civil and criminal liability. While compliance with such requirements is at times complicated by our novel business model, we believe we are, at a minimum, in substantial compliance with these rules and regulations.</w:t>
      </w:r>
    </w:p>
    <w:p>
      <w:pPr>
        <w:spacing w:after="0" w:line="2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currently, and expect in the future, to be regulated by the CFPB. In addition to the CFPB, the Federal Trade Commission has jurisdiction to investigate aspects of our business, including with respect to marketing practices. Other state and federal agencies, including prudential bank regulators and state attorneys general have the ability to regulate aspects of our business. Further, we are subject to inspections, examinations, supervision and regulation by applicable agencies in each state in which we are licensed. Regulatory oversight of our business may change over time. By way of example, in 2020, the California Consumer Financial Protection Law was enacted, which seeks to emulate the CFPB with respect to its enforcement and supervisory capabilities as well as require additional state registration for certain covered persons. We expect that regulatory examinations by both federal and state agencies will continue, and there can be no assurance that the results of such examinations will not have a material adverse effect on us.</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Below, we summarize several of the material federal lending, servicing and related laws applicable to our business. Many states have laws and regulations that are similar to the federal consumer protection laws referred to below, but the degree and nature of such laws and regulations vary from state to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Lending and Related Laws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Truth in Lending Act</w:t>
      </w:r>
    </w:p>
    <w:p>
      <w:pPr>
        <w:spacing w:after="0" w:line="2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rules apply to loans facilitated through our platform, and we assist with compliance as part of the services we provide to our bank partners. For closed-end credit transactions, required disclosures include, among others, providing the annual percentage rate, the finance charge, the amount financed, the number of payments, the amount of the monthly payment, the presence and amount of certain fees, and the presence of certain contractual terms. TILA also regulates the advertising of credit and gives borrowers, among other things, certain rights regarding updated disclosures and the treatment of credit balances. We, on behalf of the applicable bank partner, provide applicants with a TILA disclosure when applicants complete their loan applications on our platform. If the applicant’s request is not fully funded and the applicant chooses to accept a lesser amount offered, we provide an updated TILA disclosure on behalf of the applicable bank partner. We also seek to comply with TILA’s disclosure requirements related to credit advertising and, to the extent that we hold or service loans, TILA’s requirements related to treatment of credit balances for closed-end loans. We also can facilitate the origination of a limited number of credit card accounts through our platform. In connection with such accounts, TILA requires the provision of certain solicitation and account-opening disclosures. TILA also imposes requirements on the terms of credit card accounts, and the process of originating and servicing such accounts. Though our platform may facilitate the origination of credit card accounts by a bank partner, we do not originate or service such accounts at this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Credit Opportunity Act</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Equal Credit Opportunity Act, or ECOA, prohibits creditors from discriminating against credit applicants on the basis of race, color, sex, age (provided that the applicant has the capacity to enter 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restricts creditors from requesting certain types of information from loan applicants or engaging in certain loan-related practices, and from using advertising or making statements that would discourage on a prohibited basis a reasonable person from making or pursuing an application. These requirements apply to bank partners for loans facilitated through our platform as well as to us as a service provider that assists in the process. We abide by policies and procedures implemented by our bank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their having been declined. On behalf of our bank partners, we provide prospective borrowers who apply for a loan through our platform but are denied credit with an adverse action notice in compliance with applicable requirements.</w:t>
      </w:r>
    </w:p>
    <w:p>
      <w:pPr>
        <w:spacing w:after="0" w:line="20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February 5, 2020, a consumer advocacy group released a report alleging that lenders may charge higher rates to certain borrowers who attend community colleges or historically Black or Hispanic colleges or universities. To support this conclusion, the consumer advocacy group selectively compared the results from only a small number of consumer interest rate inquiries made to, among others, lenders using Upstart’s platform. In addition, on February 13, 2020, we received an inquiry from five members of the U.S. Senate seeking information regarding our compliance with ECOA, and in July 2020, three of these Senators recommended to the CFPB as part of their inquiry findings, that the CFPB further review Upstart’s use of educational variables in its model and requested that the CFPB stop issuing no-action letters related to the ECOA. Upstart strongly disputes the underlying conclusions of the consumer advocacy group’s report as it pertained to Upstart’s practices, given that Upstart’s model considers over 1,000 variables, all of which contribute to the quoted rate. Notwithstanding that we believe our model and our bank partners’ lending facilitated by our model comply with ECOA, reports from consumer advocacy groups and associated legislative and/or regulatory inquiries could create negative publicity and increase the risk of private litigation or government enforcement. On December 1, 2020, in connection with these inquiries, we entered into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agreement with the NAACP Legal Defense and Education Fund, or the LDF, and the Student Borrower Protection Center, or SBPC, in which we agreed to, among other things, participate in fair lending reviews of our AI model. See the section titled “</w:t>
      </w:r>
      <w:r>
        <w:rPr>
          <w:rFonts w:ascii="Arial" w:cs="Arial" w:eastAsia="Arial" w:hAnsi="Arial"/>
          <w:sz w:val="18"/>
          <w:szCs w:val="18"/>
          <w:i w:val="1"/>
          <w:iCs w:val="1"/>
          <w:color w:val="auto"/>
        </w:rPr>
        <w:t>Risk Factors—Risks Related to Our Business and Industry</w:t>
      </w:r>
      <w:r>
        <w:rPr>
          <w:rFonts w:ascii="Arial" w:cs="Arial" w:eastAsia="Arial" w:hAnsi="Arial"/>
          <w:sz w:val="18"/>
          <w:szCs w:val="18"/>
          <w:color w:val="auto"/>
        </w:rPr>
        <w:t>”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Credit Reporting Act</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federal Fair Credit Reporting Act, or FCRA, as amended by the Fair and Accurate Credit Transactions Act, and administered by the CFPB, promotes the accuracy, fairness, and privacy of information in the files of consumer reporting agencies. FCRA requires a permissible purpose to obtain a consumer credit report and requires that persons who report loan payment information to credit bureaus do so accurately and to resolve disputes regarding reported information timely. FCRA also imposes disclosure requirements on creditors who take adverse action on credit applications based on information contained in a credit report.</w:t>
      </w:r>
    </w:p>
    <w:p>
      <w:pPr>
        <w:spacing w:after="0" w:line="2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FCRA, certain information must be provided to applicants whose credit applications are not approved on the basis of a report obtained from a consumer reporting agency, promptly update any credit information reported to a credit reporting agency about a customer and have a process by which customers may inquire about credit information furnished by us to a consumer reporting agency. We and our bank partners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We provide an adverse action notice to a rejected applicants on behalf of each bank partner on our platform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Debt Collection Practices Act</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federal Fair Debt Collection Practices Act, or FDCPA,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third-party debt collectors, debt collection laws of certain states impose similar requirements more broadly on creditors who collect their own debts. In addition, the CFPB prohibits unfair, deceptive or abusive acts or practices, or UDAAPs in debt collection, including first-party debt collection. In addition, on October 30, 2020, the CFPB issued a final rule implementing the requirements of the FDCPA, which will likely take effect in late 2021. The CFPB also issued a second final rule on debt collection focused on consumer disclosures in December 2020. These rules are set to take effect November 30, 2021. We use our internal collection team and professional third-party debt collection agents to collect delinquent accounts. Any third-party debt collection agents we use are required to comply with the FDCPA and all other applicable laws in collecting delinquent accounts of borrowers. While our internal servicing team is not subject to the formal requirements of the FDCPA in most cases, we have established policies intended to substantially comply with the collection practice requirements under the FDCPA as a means of complying with more general UDAAP standards.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Laws</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federal Gramm-Leach-Bliley Act, or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We collect and use a wide variety of information to help ensure the integrity of our services and to provide features and functionality to our customers. This aspect of our business, including the collection, use, and protection of the information we acquire from our own services as well as from third-party sources, is subject to laws and regulations in the United States. Accordingly, we publish our privacy policies and terms of service, which describe our practices concerning the use, transmission, and disclosure of information.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18" w:name="page19"/>
    <w:bookmarkEnd w:id="18"/>
    <w:p>
      <w:pPr>
        <w:jc w:val="both"/>
        <w:ind w:right="20"/>
        <w:spacing w:after="0" w:line="257" w:lineRule="auto"/>
        <w:rPr>
          <w:sz w:val="20"/>
          <w:szCs w:val="20"/>
          <w:color w:val="auto"/>
        </w:rPr>
      </w:pPr>
      <w:r>
        <w:rPr>
          <w:rFonts w:ascii="Arial" w:cs="Arial" w:eastAsia="Arial" w:hAnsi="Arial"/>
          <w:sz w:val="18"/>
          <w:szCs w:val="18"/>
          <w:color w:val="auto"/>
        </w:rPr>
        <w:t>have a detailed privacy policy, which complies with GLBA and is accessible from every page of our website. We maintain consumers’ personal information securely, and we do not sell, rent or share such information with third parties for marketing purposes unless previously agreed to by the consumer. In addition, we take measures to safeguard the personal information of borrowers and investors and protect against unauthorized access to this information. As our business continues to expand, and as state and federal laws and regulations continue to be passed and their interpretations continue to evolve, additional laws and regulations may become relevant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2010, the Dodd-Frank Act was signed into law. The Dodd-Frank Act is extensive and significant legislation that includes consumer protection provisions. Among other things, the Dodd-Frank Act created the CFPB, which commenced operations in July 2011 and has significant authority to implement and enforce federal consumer financial laws, such as the TILA and the ECOA. The CFPB is authorized to prevent “unfair, deceptive or abusive acts or practices” through its regulatory, supervisory and enforcement authority. The CFPB also engages in consumer financial education, requests data and promotes the availability of financial services to underserved customers and communities. The CFPB has regulatory and enforcement powers over most providers of consumer financial products and services, including us. It also has supervisory and examination powers over certain providers of consumer financial products and services, including large banks, payday lenders, “larger participants” in certain financial services markets defined by CFPB regulation, and non-bank entities determined to present a risk to consumers after notice and an opportunity to respond.</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CFPB has imposed, and will continue to impose, restrictions on lending practices, including with respect to the terms of certain loans. We and our bank partners are subject to the CFPB’s enforcement authority. The CFPB may request reports concerning our organization, business conduct, markets and activities. In addition, the CFPB may, in connection with its supervisory authority, also conduct on-site examinations of our and our bank partners’ businesses on a periodic basis, subject to whether the applicable bank partner satisfies the assets threshold for CFPB supervision. If the CFPB were to conclude that our loan origination assistance or servicing activities, or any loans originated by our bank partners on our platform, violate applicable laws or regulations, we could be subject to a formal or informal inquiry, investigation and/or enforcement action. Formal enforcement actions are generally made public. We are not currently subject to any enforcement actions by the CFPB.</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more information regarding the CFPB and the CFPB rules to which we are subject or may become subject, see Item 1A. Risk Factors of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Section 5 of the Federal Trade Commission Act, we and our bank partners are prohibited from engaging in unfair and deceptive acts and practices, or UDAP. For nonbank financial institutions, the FTC is the primary regulator enforcing this prohibition, and in recent years the FTC has been focused on practices of financial technology companies. Based on publicly available actions, the FTC’s primary focus has been with respect to financial technology company marketing and disclosure practices. We maintain policies and procedures that require our marketing and loan application and servicing operations comply with UDAP standards. For more information regarding the FTC’s enforcement actions, see Item “</w:t>
      </w:r>
      <w:r>
        <w:rPr>
          <w:rFonts w:ascii="Arial" w:cs="Arial" w:eastAsia="Arial" w:hAnsi="Arial"/>
          <w:sz w:val="16"/>
          <w:szCs w:val="16"/>
          <w:i w:val="1"/>
          <w:iCs w:val="1"/>
          <w:color w:val="auto"/>
        </w:rPr>
        <w:t>1A. Risk Factors</w:t>
      </w:r>
      <w:r>
        <w:rPr>
          <w:rFonts w:ascii="Arial" w:cs="Arial" w:eastAsia="Arial" w:hAnsi="Arial"/>
          <w:sz w:val="16"/>
          <w:szCs w:val="16"/>
          <w:color w:val="auto"/>
        </w:rPr>
        <w:t>” of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Fund Transfer Act and NACHA Rules</w:t>
      </w:r>
    </w:p>
    <w:p>
      <w:pPr>
        <w:spacing w:after="0" w:line="2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our bank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While NACHA guidelines are not laws, failure to comply with them may nevertheless result in commercial harm to our business. All transfers of funds related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6"/>
          <w:szCs w:val="16"/>
          <w:color w:val="auto"/>
        </w:rPr>
        <w:t>operations conform to the EFTA, its regulations and NACHA guidelines. As part of our servicing activities, we obtain necessary electronic authorization from borrowers and investors for such transfers in compliance with such rules. The loans offered on our platform by our bank partners must also comply with the requirement that a loan cannot be conditioned on the borrower’s agreement to repay the loan through recurring electronic fund transfers.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Signatures in Global and National Commerce Act</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and provide disclosures to consumers (otherwise required to be “in writing” in electronic form), to obtain the consumer’s consent to receive information electronically. When a consumer registers on our platform, we obtain his or her consent to transact business electronically, receive electronic disclosures and maintain electronic records in compliance with ESIGN and UETA requirements, and we maintain electronic signatures and records in a manner intended to support enforceability of relevant consumer agreements and consents.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Marketing Regulations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Telephone Consumer Protection Act, or TCPA,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Upstart’s policies address the requirements of the TCPA as well as FTC Telemarketing Sales Rule and other laws limiting telephone outreach. Furthermore, Upstart does not engage in certain activities covered by the TCPA, such as using an automated dialer.</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Controlling the Assault of Non-Solicited Pornography and Marketing, or CAN-SPAM, Act makes it unlawful to send certain electronic mail messages that contain false or deceptive information and provide other protections for email users. CAN-SPAM also requires the need to provide a functioning mechanism that allows the recipient to opt-out of receiving future commercial e-mail messages from the sender of such messages. Upstart’s email communications with all consumers are formulated to comply with the CAN-SPAM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Servicemembers Civil Relief Act</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Servicemembers Civil Relief Act, or SCRA, there are limits on interest rates chargeable to military personnel and civil judicial proceedings against them, and there are limitations on our ability to collect on a loan to servicemembers on active duty originated prior to the servicemember entering active duty status and, in certain cases, for a period of time thereafter. The SCRA allows military members to suspend or postpone certain civil obligations so that the military member can devote his or her full attention to military duties. The SCRA requires us to adjust the interest rate of borrowers who qualify for and request relief. If a borrower with an outstanding loan qualifies for SCRA protection the interest rate on their loan (including certain fees) will be reduced to 6% for the duration of the borrower’s active duty. During this period, any interest holder in the loan will not receive the difference between 6% and the loan’s original interest rate. As part of the services we provide, we require the borrower to send us a written request and a copy of the borrower’s mobilization orders to obtain an interest rate reduction on a loan due to military service. Other protections offered to servicemembers under the SCRA, including protections related to the collection of loans, do not require the servicemember to take any particular action, such as submitting military orders, to claim benefits.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Military Lending Act</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Under the Military Lending Act, certain members of the armed forces serving on active duty and their dependents must be identified and be provided with certain protections when becoming obligated on a consumer credit transaction. These protections include: a limit on the Military Annual Percentage Rate (an all-in cost-of-credit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measure which is the same as the APR for loans facilitated on our platform) of 36%, certain required disclosures before origination, a prohibition on charging prepayment penalties and a prohibition on arbitration agreements and certain other loan agreement terms. As part of the services we provide, we ensure compliance with the requirements of the Military Lending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Secrecy Act, USA PATRIOT Act, and U.S. Sanctions Laws</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the Bank Secrecy Act, the Uniting and Strengthening America by Providing Appropriate Tools Required to Intercept and Obstruct Terrorism Act, or USA PATRIOT ACT, and certain U.S. sanctions laws, our bank partners are required to maintain anti-money laundering, customer due diligence and record-keeping policies and procedures, which we perform on behalf of our bank partners, and to avoid doing business with certain sanctioned persons or entities or certain types of sanctioned activity in certain countries. We have implemented an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the U.S. Department of the Treasury and OFAC pursuant to the USA PATRIOT Act amendments to the Bank Secrecy Act and its implementing regulation.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Code</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Bankruptcy Code, we are regulated and in certain circumstances prohibited by the automatic stay, reorganization plan and discharge provisions, among others, in seeking enforcement of debts against parties who have filed for bankruptcy protection. Our policies are designed to support compliance with the Bankruptcy Code as we service and collect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Lending Regulations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Usury Limitations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bank partners that are subject to Section 521 of the Depository Institution Deregulation and Monetary Control Act of 1980, or DIDMCA, (for FDIC-insured, state banks originating loans on our platform, which represent the vast majority of loans originated) or Section 85 of the National Bank Act, or NBA, (for national banks originating loans on our platform), federal case law interpreting such provisions (including interpretations of the NBA under Tiffany v. National Bank of Missouri and Marquette National Bank of Minneapolis v. First Omaha Service Corporation), and relevant regulatory guidance (including FDIC advisory opinion 92-47) permit certain depository institutions to “export” requirements regarding interest rates and certain fees considered to be “interest” under federal law from the state or U.S. territory where the bank is located for all loans originated from such state, regardless of the usury limitations imposed by the state law of the borrower’s residence or other states with which the loan may have a geographic nexus, unless the state has chosen to opt out of the exportation regime. We believe, however, if a state or U.S. territory in which we operate opted out of rate exportation, judicial interpretations support the view that such opt outs would apply only to loans “made” in those states. We believe that the “opt-out” of any state would not affect the ability of our platform to benefit from the exportation of rates. See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of this Form 10-K for more information about the risk if any loans were deemed subject to any state’s usury limits.</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also been recent judicial decisions that could affect the collectability of loans sold by our bank partners after origination and the exposure of loan purchasers to potential fines or other penalties for usury violations. See the section titled “Risk Factors” for more information about recent case law developments.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Disclosure and Lending Practice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21" w:right="339" w:bottom="1440" w:gutter="0" w:footer="0" w:header="0"/>
        </w:sectPr>
      </w:pPr>
    </w:p>
    <w:bookmarkStart w:id="21" w:name="page22"/>
    <w:bookmarkEnd w:id="21"/>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loans originated on our platform by our bank partners may be subject to state laws and regulations that impose requirements related to loan disclosures and terms, credit discrimination, credit reporting, debt collection, and unfair or deceptive business practices. Our ongoing compliance program seeks to comply with these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Licensing/Registration</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hold licenses, registrations, and similar filings so that we can conduct business, including providing referral services and origination assistance to lenders on our platform and servicing and collecting loans, in all states and the District of Columbia where our activities require such licensure, registration or filing. With respect to our securitization trusts, we have a national bank that serves as our owner trustee and is itself exempt from licensure. Although we are not aware of a state taking the position that the trust itself needs licensure, it is possible that a state or states could take such position in the future. Licenses granted by the regulatory agencies in various states are subject to periodic renewal and may be revoked or suspended for failure to comply with applicable state and federal laws and regulations. In addition, as the product offerings of Upstart or our bank partners change, as states enact new licensing requirements or amend existing licensing laws or regulations, or as states regulators or courts adjust their interpretations of licensing statutes and regulations, we may be required to obtain additional licenses. To that end, we have a small number of applications submitted and pending to obtain additional licenses, particularly with respect to obtaining additional authorization to engage in student loan servicing and collection activities. We are also typically required to complete an annual report (or its equivalent) to each state’s regulator. The statutes also typically subject us to the supervisory and examination authority of state regulators.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licensing statutes impose a variety of requirements and restrictions, including:</w:t>
      </w:r>
    </w:p>
    <w:p>
      <w:pPr>
        <w:spacing w:after="0" w:line="104"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record-keeping requirements;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collection and servicing practices;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requirements governing electronic payments, transactions, signatures and disclosures;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examination requirements;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surety bond and minimum net worth requirements;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reporting requirements;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notification requirements for changes in principal officers, stock ownership or corporate control;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advertising and other loan solicitation activity, as well as restrictions on loan referral or similar practices.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Securities Regulations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Act</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and certain of our subsidiaries have relied on Section 4(a)(2) of the Securities Act for placement of asset-backed securities directly to investors or to investment bank initial purchasers, which have relied on Rule 144A and Regulation S exemptions from registration to place such asset-backed securities to qualified institutional buyers and non-U.S. investors,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Regulations under the Exchange Act</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 Risk Retention Rules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of assets that the securitizer transfers or sells to an issuing entity and that collateralize asset-backed securities that are sold to a third party. We believe we have structured our organization such that we are in compliance with Regulation RR and will continue to conduct our business in a manner that allows us to remain in compliance with this regulation.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review our policies and procedures to ensure compliance with applicable regulatory laws and regulations applicable to us and our bank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21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Intellectual Property</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protect our intellectual property through a combination of patents, trademarks, domain names, copyrights and trade secrets, as well as through contractual provisions, our information security infrastructure and restrictions on access to or use of our proprietary technology. As of December 31, 2020, we had 2 patent applications in the United States related to our proprietary risk model. We may file additional patent applications or pursue additional patent protection in the future to the extent we believe it will be beneficial.</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trademark rights in our name, our logo and other brand indicia, and have trademark registrations for select marks in the United States. We will pursue additional trademark registrations to the extent we believe it will be beneficial. We also have registered domain names for websites that we use in our business. We may be subject to third party claims from time to time with respect to our intellectual property.</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and Industry.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3" w:name="page24"/>
    <w:bookmarkEnd w:id="23"/>
    <w:p>
      <w:pPr>
        <w:jc w:val="center"/>
        <w:ind w:left="640"/>
        <w:spacing w:after="0"/>
        <w:rPr>
          <w:sz w:val="20"/>
          <w:szCs w:val="20"/>
          <w:color w:val="auto"/>
        </w:rPr>
      </w:pPr>
      <w:r>
        <w:rPr>
          <w:rFonts w:ascii="Arial" w:cs="Arial" w:eastAsia="Arial" w:hAnsi="Arial"/>
          <w:sz w:val="18"/>
          <w:szCs w:val="18"/>
          <w:b w:val="1"/>
          <w:bCs w:val="1"/>
          <w:color w:val="auto"/>
        </w:rPr>
        <w:t>Human Capital</w:t>
      </w:r>
    </w:p>
    <w:p>
      <w:pPr>
        <w:spacing w:after="0" w:line="2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built something very special at Upstart in terms of our company culture. Building a great place to work for the best talent was a priority for us from day one. It is not an accident that we have received best place to work awards in both our San Mateo and Columbus locations. Our employee engagement results are seven points higher than our technology peers and have even increased over the past year during the COVID-19 pandemic.</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have brought together a remarkable diversity of thinkers. The members of our management team come from diverse backgrounds with varying ethnicities, education backgrounds, genders and ages. As the focal point of our human capital strategy, we attract and recruit diverse, exceptionally talented, highly educated, experienced and motivated employees.</w:t>
      </w:r>
    </w:p>
    <w:p>
      <w:pPr>
        <w:spacing w:after="0" w:line="20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an extremely rigorous recruiting and employee candidate screening process. Our machine learning team, responsible for the development and constant improvement of our AI models, is unlike any other in consumer lending. The majority of the members of our machine learning team have doctorate degrees in statistics, mathematics, computer science, economics or physics and many have extensive past experience in quantitative finance.</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Beyond delivering on business results, our employees are engaged in a culture of collaboration and community—they have founded more than 20 clubs and special interest groups, created seven employee resource groups and hosted countless lunch and learns on topics ranging from startup financing to salsa classes taught by our chief compliance officer.</w:t>
      </w:r>
    </w:p>
    <w:p>
      <w:pPr>
        <w:spacing w:after="0" w:line="209"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As of December 31, 2020, we had 554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Corporate Information</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300, San Mateo, California 94403, and our telephone number is (650) 204-1000. Our website address is www.upstart.com.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19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website is located at www.upstart.com and our investor relations website at ir.upstart.com. Copies of our Annual Report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announce material information to the public about us, our products and services and other matters through a variety of means, including filings with the SEC, press releases, public conference calls, webcasts, the investor relations section of our website (ir.upstart.com),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17" w:right="339" w:bottom="1440" w:gutter="0" w:footer="0" w:header="0"/>
        </w:sectPr>
      </w:pPr>
    </w:p>
    <w:bookmarkStart w:id="24" w:name="page25"/>
    <w:bookmarkEnd w:id="24"/>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 FACTORS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material risks that may affect our business, financial condition or results of operations include, but are not limited to, those relating to the following:</w:t>
      </w:r>
    </w:p>
    <w:p>
      <w:pPr>
        <w:spacing w:after="0" w:line="140" w:lineRule="exact"/>
        <w:rPr>
          <w:sz w:val="20"/>
          <w:szCs w:val="20"/>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rapidly growing company with a relatively limited operating history, which may result in increased risks, uncertainties, expenses and difficulties, and makes it difficult to evaluate our future prospects.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 growth rate and financial performance in recent periods may not be indicative of future performance and such growth may slow over time.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pandemic has harmed and could continue to harm our business, financial condition and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effectively manage our growth, our business, financial condition and results of operations could be adversely affected.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net losses in the past, and we may not be able to maintain or increase our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results are likely to fluctuate and as a result may adversely affect the trading price of our common stock.</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Cross River Bank and one other bank partner account for a substantial portion of the total number of loans facilitated by our platform and our revenue.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sales and onboarding process of new bank partners could take longer than expected, leading to fluctuations or variability in expected revenues and results of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may be adversely affected by economic conditions and other factors that we cannot control.</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2" w:lineRule="exact"/>
        <w:rPr>
          <w:sz w:val="20"/>
          <w:szCs w:val="20"/>
          <w:color w:val="auto"/>
        </w:rPr>
      </w:pPr>
    </w:p>
    <w:p>
      <w:pPr>
        <w:ind w:left="6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95"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maintain a diverse and robust loan funding program, our growth prospects, business, financial condition and results of operations could be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rapidly growing company with a relatively limited operating history, which may result in increased risks, uncertainties, expenses and difficulties, and makes it difficult to evaluate our future prospects.</w:t>
      </w:r>
    </w:p>
    <w:p>
      <w:pPr>
        <w:spacing w:after="0" w:line="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7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increase the volume of loans facilitated by our AI lending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new and maintain existing bank partnerships;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fund a sufficient quantity of our borrower loan demand with low cost bank funding to help keep interest rates offered to borrowers competitive;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build our brand and protect our reputation from negative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effectiveness of our marketing strategies, including our direct consumer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expand the number of potential borrowers;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adjust our proprietary AI models, products and services in a timely manner in response to changing macroeconomic conditions and fluctuations in the credit market;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and successfully adapt to complex and evolving regulatory environments;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 against increasingly sophisticated fraudulent borrowing and online theft;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new markets and introduce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obtain and maintain funding and liquidity to support continued growth and general corporate purposes;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integrate and retain qualified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26" w:name="page27"/>
    <w:bookmarkEnd w:id="26"/>
    <w:p>
      <w:pPr>
        <w:spacing w:after="0" w:line="9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manage and expand the capabilities of our operations teams, outsourcing relationships and other business operations.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not able to timely and effectively address these risks and difficulties as well as those described elsewhere in this “Risk Factors” section, our business and results of operations may be harmed.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revenue growth rate and financial performance in recent years may not be indicative of future performance and such growth may slow over time.</w:t>
      </w:r>
    </w:p>
    <w:p>
      <w:pPr>
        <w:spacing w:after="0" w:line="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grown rapidly over the last several years, and our recent revenue growth rate and financial performance may not be indicative of our future performance. In 2018, 2019, and 2020, our revenue was $99.3, million, $164.2 million, and $233.4 million, respectively, representing a 65% growth rate from 2018 to 2019 and a 42% growth rate from 2019 to 2020. You should not rely on our revenue for any previous quarterly or annual period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53% in 2018 and increased to 70% in 2020. We expect the Percentage of Loans Fully Automated to level off and remain relatively constant in the long term, and to the extent we expand our loan offerings beyond unsecured personal loans, we expect that such percentage may decrease in the short term. As a result of these factors, our revenue growth rates may slow, and our financial performance may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has harmed and could continue to harm our business, financial condition and 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In particular, the impact of the COVID-19 pandemic on the finances of borrowers on our platform has been profound, as many have been, and will likely continue to be, impacted by unemployment, reduced earnings and/or elevated economic disruption and insecurity.</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magnitude and duration of the resulting decline in business activity cannot currently be estimated with any degree of certainty and has had several effects on our business and results of operations, including, among other things:</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origination volumes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potential for increased losses for new and existing originations using our AI models resulting from a rapid rise in U.S. unemployment;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temporary reduction in the availability of loan funding from institutional investors and the capital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restricted sales operations and marketing efforts, and a reduction in the effectiveness of such efforts in some cases.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COVID-19 pandemic may lead to a continued economic downturn, which is expected to decrease technology spending generally and could adversely affect demand for our platforms and services, in addition to prolonging the foregoing challenges in our business.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response to the impact of the COVID-19 pandemic, we have undertaken a number of initiatives to support borrowers on our platform who have suffered income loss or other hardships as a result of the pandemic. We worked with our bank partners to offer revised hardship and temporary relief plans to support borrowers impacted by the COVID-19 pandemic and adjust credit and underwriting processes and standards. While these changes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hardship and temporary relief plans were designed to help borrowers impacted by the COVID-19 pandemic, the changes were implemented quickly and may not have had all the intended effects or desired impact. We continue to actively monitor the situation, assess possible implications to our business and take appropriate actions in an effort to mitigate the adverse consequences of the COVID-19 pandemic. However, there can be no assurances that the initiatives we take will be sufficient or successful.</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also taken precautionary measures intended to reduce the risk of the virus spreading to our employees, bank partners, vendors, and the communities in which we operate, including temporarily closing our offices and virtualizing, postponing, or canceling partner bank, employee, or industry events, which may negatively impact our business. Furthermore, as a result of the COVID-19 pandemic, we have required all employees who are able to do so to work remotely through the end of the second quarter of 2021. It is possible that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19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Further, in response to the market conditions caused by the COVID-19 pandemic, we made certain operational changes, including increases to the fees we charge our bank partners and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extent to which the COVID-19 pandemic continues to impact our business and results of operations will also depend on future developments that are highly uncertain and cannot be predicted, including new information which may emerge concerning the severity of the disease, the duration and spread of the outbreak, the scope of travel restrictions imposed in geographic areas in which we operate, mandatory or voluntary business closures, the impact on businesses and financial and capital markets, and the extent and effectiveness of actions taken throughout the world to contain the virus or treat its impact.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effectively manage our growth, our business, financial condition and results of operations could be adversely affected.</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Over the last several years, we have experienced rapid growth in our business and the Number of Loans Transacted on our AI lending platform, and we expect to continue to experience growth in the future. The Number of Loans Transacted on our platform increased from 114,125 in 2018 to 300,379 in 2020 representing a compound annual growth rate of 62%.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1" w:right="339" w:bottom="1440" w:gutter="0" w:footer="0" w:header="0"/>
        </w:sectPr>
      </w:pPr>
    </w:p>
    <w:bookmarkStart w:id="28" w:name="page29"/>
    <w:bookmarkEnd w:id="28"/>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systems and procedures, recruit, train and retain highly skilled personnel and maintain user satisfaction. Any of the foregoing factors could negatively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net losses in the past, and we may not be able to maintain or increase our profitability in the future.</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years ended December 31, 2018 and 2019 we have experienced net losses of $12.3 million and $0.5 million, respectively. For the year ended December 31, 2020 we have experienced net income of $6.0 million.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are likely to fluctuate and as a result may adversely affect the trading price of our common stock.</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results of operations, including the levels of our revenue, net income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7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new bank partners and investors of our loan funding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bank partners and investors of our loan funding programs;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or increase loan volumes, and improve loan mix and the channels through which the loans, bank partners and loan funding are sourced;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effective relationships with loan aggregators from which prospective borrowers access our website;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and tightening of credit markets, including due to the economic impact of the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improvements to our AI models that negatively impact transaction volume, such as lower approval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direct marketing and other marketing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cost of borrowing money and access to loan funding sources;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extent of loans facilitated on our platform that are subject to loan modifications and/or temporary assistance due to disasters or emergencies;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extent of prepayments of loans facilitated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fair value of assets and liabilities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9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involvement in litigation or regulatory enforcement efforts (or the threat thereof) or those that impact our industry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length of the onboarding process related to acquisitions of new bank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or the development of competitive products by larger well-funded incumbents.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we experience significant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has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22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and harm our ability to maintain a diverse and robust loan funding program and could adversely affect our business, financial condition and results of operations.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year ended December 31, 2020, approximately 98% of our revenue was generated from platform, referral and servicing fees that we receive from our bank partners. If any of our bank partners 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entered into separate agreements with each of our bank partners. Our agreements with our bank partners are nonexclusive, generally have 12-month terms that automatically renew, subject to certain early termination provisions and minimum fee amounts, and do not include any minimum origination obligations or origination limits.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our bank partners have generally increasingly retained loans for their own customer base and balance sheet. In the year ended December 31, 2020, approximately 21% of Upstart-powered loans were retained by the originating bank, while about 77% of Upstart-powered loans were purchased by institutional investors through our loan funding programs. The percentage of Upstart-powered loans retained by the originating banks has fluctuated from quarter-to-quarter, but generally increased over the last few years.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attract new bank partners or if we are unable to maintain or expand the number of loans held on their balance sheets, our financial performance would suffer.</w:t>
      </w:r>
    </w:p>
    <w:p>
      <w:pPr>
        <w:spacing w:after="0" w:line="19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Cross River Bank and one other bank partner account for a substantial portion of the total number of loans facilitated by our platform and our revenue.</w:t>
      </w:r>
    </w:p>
    <w:p>
      <w:pPr>
        <w:spacing w:after="0" w:line="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Cross River Bank, or CRB, a New Jersey-chartered community bank, originates a substantial majority of the loans on our platform. In the year ended December 31, 2019 and 2020, CRB originated approximately 89% and 67%, respectively, of the loans facilitated on our platform. CRB also accounts for a large portion of our revenues. In the year ended December 31, 2019 and 2020, fees received from CRB accounted for 80% and 63%,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3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year ended December 31, 2020 , one of our other bank partners originated approximately 24% of the loans facilitated on our platform. In the year ended December 31, 2020, the fees received from this bank partner accounted for 18% of our total revenue.</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sales and onboarding process of new bank partners could take longer than expected, leading to fluctuations or variability in expected revenues and results of operations.</w:t>
      </w:r>
    </w:p>
    <w:p>
      <w:pPr>
        <w:spacing w:after="0" w:line="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sales and onboarding process with new bank partners can be long and typically takes between six to 15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and/or hardware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affected by economic conditions and other factors that we cannot control.</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32" w:name="page33"/>
    <w:bookmarkEnd w:id="32"/>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policies, gas prices, energy costs, government shutdowns, trade wars and delays in tax refunds, as well as events such as natural disasters, acts of war, terrorism, catastrophes and pandemics.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response to the COVID-19 pandemic, bank partners tightened their credit requirements or paused originations, and investors in our loan funding programs temporarily suspended making investments in Upstart-powered loans.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example,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improve in the near term. The increase in the unemployment rate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the COVID-19 pandemic has caused some borrowers on our platform to request a temporary extension or modification of the payment schedules of their loans under the temporary relief or loan modification programs, or hardship programs, offered by our bank partners and investors in our loan funding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3" w:name="page34"/>
    <w:bookmarkEnd w:id="33"/>
    <w:p>
      <w:pPr>
        <w:jc w:val="both"/>
        <w:spacing w:after="0" w:line="312" w:lineRule="auto"/>
        <w:rPr>
          <w:sz w:val="20"/>
          <w:szCs w:val="20"/>
          <w:color w:val="auto"/>
        </w:rPr>
      </w:pPr>
      <w:r>
        <w:rPr>
          <w:rFonts w:ascii="Arial" w:cs="Arial" w:eastAsia="Arial" w:hAnsi="Arial"/>
          <w:sz w:val="17"/>
          <w:szCs w:val="17"/>
          <w:b w:val="1"/>
          <w:b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3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In addition, the fair value of the loans on our balance sheet may decline. Any of these factors could adversely affect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no-action letter regarding the use of our Al model to underwrite and price unsecured closed-end loans. The current no-action letter expires on November 30, 2023, unless terminated by the CFPB earlier for one of the bases provided for by the no-action letter, and we can provide no assurance that the CFPB will continue to permit us to operate under its current no-action letter policies beyond that date, or will not change its position regarding supervisory or enforcement action against us in the future. Further, this no-action letter does not extend to other credit products offered on Upstart’s platform.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17" w:right="3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7"/>
          <w:szCs w:val="17"/>
          <w:color w:val="auto"/>
        </w:rPr>
        <w:t>of the CFPB recommending the CFPB further review Upstart’s use of educational variables in its model and requesting that the CFPB stop issuing no-action letters related to the Equal Credit Opportunity Act, or ECOA. 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2020, we expanded the type of loan products offered on our platform to include auto loans, however the vast majority of loan originations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For example, FICO has recently changed its methodology in calculating credit scores in a manner that potentially penalizes borrowers who take out personal loans to pay off or consolidate credit card debt. This change could negatively affect the overall demand for personal loans.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 because such personal loans are unsecured, there is a risk that borrowers will not prioritize repayment of such loans, particularly in any economic downcycle. For example, the economic downcycle resulting from the COVID-19 pandemic may cause borrowers to incur additional debt. To the extent borrowers have or incur other indebtedness that is secured, such as a mortgage, a home equity line of credit or an auto loan, borrowers may choose to repay obligations under such secured indebtedness before repaying their Upstart-powered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forgoing could lead to higher default rates and decreased demand by our bank partners and institutional investors to fund loans facilitated by our platform, which would adversely affect our business, financial condition and results of operations.</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21" w:right="339" w:bottom="1440" w:gutter="0" w:footer="0" w:header="0"/>
        </w:sectPr>
      </w:pPr>
    </w:p>
    <w:bookmarkStart w:id="35" w:name="page36"/>
    <w:bookmarkEnd w:id="35"/>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2020, we began offering auto loans and a credit decision application programming interface to allow our bank partners to utilize our AI underwriting models to support their loan origination process for personal, auto, and student loans. We are continuing to invest in developing new loan products and service offerings, which may include credit cards, mortgages, student loans, point-of-sale loans and HELOCs.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2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small-dollar lending programs. Bank regulators have even required banks to exit third-party programs that the regulators determined involved unsafe and unsound practices. The payday or “small-dollar”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rates of many payday or small dollar loans that have been subject to such criticism. If we are nevertheless associated with such payday or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Artificial intelligence and related technologies are subject to public debate and heightened regulatory scrutiny.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21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will also prepare and make public periodic reports that summarize any general findings, recommendations and best practices, as well as any aspects of our AI model that raise particular fair lending concerns or implicate novel insights on educational equity that serve the public interest. While we will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37" w:name="page38"/>
    <w:bookmarkEnd w:id="37"/>
    <w:p>
      <w:pPr>
        <w:jc w:val="both"/>
        <w:spacing w:after="0" w:line="273" w:lineRule="auto"/>
        <w:rPr>
          <w:sz w:val="20"/>
          <w:szCs w:val="20"/>
          <w:color w:val="auto"/>
        </w:rPr>
      </w:pPr>
      <w:r>
        <w:rPr>
          <w:rFonts w:ascii="Arial" w:cs="Arial" w:eastAsia="Arial" w:hAnsi="Arial"/>
          <w:sz w:val="17"/>
          <w:szCs w:val="17"/>
          <w:color w:val="auto"/>
        </w:rPr>
        <w:t>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or the third-party firm 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been subject to other governmental inquiries on this topic including an inquiry in June 2020 from the North Carolina Department of Justice. See the risk factor titled “</w:t>
      </w:r>
      <w:r>
        <w:rPr>
          <w:rFonts w:ascii="Arial" w:cs="Arial" w:eastAsia="Arial" w:hAnsi="Arial"/>
          <w:sz w:val="18"/>
          <w:szCs w:val="18"/>
          <w:i w:val="1"/>
          <w:iCs w:val="1"/>
          <w:color w:val="auto"/>
        </w:rPr>
        <w:t>—</w:t>
      </w:r>
      <w:r>
        <w:rPr>
          <w:rFonts w:ascii="Arial" w:cs="Arial" w:eastAsia="Arial" w:hAnsi="Arial"/>
          <w:sz w:val="18"/>
          <w:szCs w:val="18"/>
          <w:color w:val="auto"/>
        </w:rPr>
        <w:t>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Harm to our reputation can also arise from many other sources, including employee or former employee misconduct, misconduct by outsourced service providers or other counterparties, failure by us or our bank partners to meet minimum standards of service and quality, and inadequate protection of borrower information and compliance failures and claims. If we are unable to protect our reputation, our business, financial condition and results of operations would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in our target markets, our business, results of operations and financial condition could be harmed.</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or point-of-sale lending,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38" w:name="page39"/>
    <w:bookmarkEnd w:id="38"/>
    <w:p>
      <w:pPr>
        <w:jc w:val="both"/>
        <w:spacing w:after="0" w:line="288" w:lineRule="auto"/>
        <w:rPr>
          <w:sz w:val="20"/>
          <w:szCs w:val="20"/>
          <w:color w:val="auto"/>
        </w:rPr>
      </w:pPr>
      <w:r>
        <w:rPr>
          <w:rFonts w:ascii="Arial" w:cs="Arial" w:eastAsia="Arial" w:hAnsi="Arial"/>
          <w:sz w:val="16"/>
          <w:szCs w:val="16"/>
          <w:color w:val="auto"/>
        </w:rPr>
        <w:t>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39" w:name="page40"/>
    <w:bookmarkEnd w:id="39"/>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Competition for highly skilled personnel, including engineering and data analytics personnel, is extremely intense, particularly in the San Francisco Bay Area where one of our headquarters is located. We have experienced, and expect to continue to face, difficulty identifying and hiring qualified personnel in many areas, especially as we pursue our growth strategy. Further, as a result of the COVID-19 pandemic, a large and increasing number of companies have adopted permanent work-from-home policies, which further increases the challenges associated with hiring and retaining qualified personnel.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of borrowers’ confidential information that we store may harm our reputation, adversely affect our results of operations and expose us to liability.</w:t>
      </w:r>
    </w:p>
    <w:p>
      <w:pPr>
        <w:spacing w:after="0" w:line="5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is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remote working environment due to the COVID-19 pandemic could increase the risk of a security breach. Significant disruptions of our, our bank partners and third-party vendors’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techniques used to obtain unauthorized access or to sabotage systems change frequently and generally are not recognized until they are launched against a target, we and our vendors may be unable to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Thus far,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41" w:name="page42"/>
    <w:bookmarkEnd w:id="41"/>
    <w:p>
      <w:pPr>
        <w:jc w:val="both"/>
        <w:ind w:firstLine="648"/>
        <w:spacing w:after="0" w:line="254" w:lineRule="auto"/>
        <w:rPr>
          <w:sz w:val="20"/>
          <w:szCs w:val="20"/>
          <w:color w:val="auto"/>
        </w:rPr>
      </w:pPr>
      <w:r>
        <w:rPr>
          <w:rFonts w:ascii="Arial" w:cs="Arial" w:eastAsia="Arial" w:hAnsi="Arial"/>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75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during the COVID-19 pandemic certain states prohibited or restricted collection activities. If we are unable to comply with such laws and regulations, we could lose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primarily rely on three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evaluate and potentially consummate acquisitions, which could require significant management attention, consume our financial resources, disrupt our business and adversely affect our financial results.</w:t>
      </w:r>
    </w:p>
    <w:p>
      <w:pPr>
        <w:spacing w:after="0" w:line="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will depend, in part, on our ability to grow our business.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utilization of our financial resources for acquisitions or investments that may fail to realize the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coordination of technology, product development and sales and marketing functions and integration of administrative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transition of the acquired company’s borrowers to our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financing;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write-offs of loans or intangibles or other assets acquired in such transactions that may have an adverse effect on our results of operations in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21" w:right="339" w:bottom="1440" w:gutter="0" w:footer="0" w:header="0"/>
        </w:sectPr>
      </w:pPr>
    </w:p>
    <w:bookmarkStart w:id="43" w:name="page44"/>
    <w:bookmarkEnd w:id="43"/>
    <w:p>
      <w:pPr>
        <w:spacing w:after="0" w:line="90"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or increase our risk for liability;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claims or other liabilities in connection with the acquired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address these risks or other problems encountered in connection with any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Borrowers may prepay a loan at any time without penalty, which could reduce our servicing fees and deter our bank partners and investors from investing in loans facilitated by our platform.</w:t>
      </w:r>
    </w:p>
    <w:p>
      <w:pPr>
        <w:spacing w:after="0" w:line="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efforts and brand promotion activities may not be effective.</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bank-branded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outcomes in legal proceedings may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in the past and may in the future be subject to litigation, claims, examinations, investigations, legal and administrative cases and proceedings related to the offer and sale of Upstart-powered loans.</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risks of natural disasters and other catastrophic events, and to interruption by man-made problems.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has had a significant impact on the global economy and consumer confidence. If the outbreak persists or worsens, it could continue to adversely impact the economy and consumer confidence, and could negatively impact our operations and our platform, each of which could seriously harm our business. In addition, it is possible that continued widespread remote work arrangements may have a negative impact on our operations, the execution of our business plans, the productivity and availability of key personnel and other employees necessary to conduct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business, or otherwise cause operational failures due to changes in our normal business practices necessitated by the outbreak and related governmental actions. There is no guarantee that we will be as effective while working remotely because our team is dispersed,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Additionally, remote work arrangements may make it more difficult to scale our operations efficiently, as the recruitment, onboarding and training of new employees may be prolonged or delayed.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Further, one of our headquarters is located in the San Francisco Bay Area, a region known for seismic activity and wildfires, and our other headquarters is located in Columbus, Ohio, a region subject to blizzards.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acts of war and other armed conflicts, disruptions in global trade, travel restrictions and quarantines, terrorism and other civil, political and geo-political unrest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282" w:lineRule="auto"/>
        <w:rPr>
          <w:sz w:val="20"/>
          <w:szCs w:val="20"/>
          <w:color w:val="auto"/>
        </w:rPr>
      </w:pPr>
      <w:r>
        <w:rPr>
          <w:rFonts w:ascii="Arial" w:cs="Arial" w:eastAsia="Arial" w:hAnsi="Arial"/>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19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17" w:right="339" w:bottom="1440" w:gutter="0" w:footer="0" w:header="0"/>
        </w:sectPr>
      </w:pPr>
    </w:p>
    <w:bookmarkStart w:id="47" w:name="page48"/>
    <w:bookmarkEnd w:id="47"/>
    <w:p>
      <w:pPr>
        <w:jc w:val="both"/>
        <w:spacing w:after="0" w:line="289" w:lineRule="auto"/>
        <w:rPr>
          <w:sz w:val="20"/>
          <w:szCs w:val="20"/>
          <w:color w:val="auto"/>
        </w:rPr>
      </w:pPr>
      <w:r>
        <w:rPr>
          <w:rFonts w:ascii="Arial" w:cs="Arial" w:eastAsia="Arial" w:hAnsi="Arial"/>
          <w:sz w:val="16"/>
          <w:szCs w:val="16"/>
          <w:color w:val="auto"/>
        </w:rPr>
        <w:t>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common stock. We expect to lose our “emerging growth company” status upon the filing of the Form 10-K for the year ending December 31, 2021.</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00" w:lineRule="exact"/>
        <w:rPr>
          <w:sz w:val="20"/>
          <w:szCs w:val="20"/>
          <w:color w:val="auto"/>
        </w:rPr>
      </w:pPr>
    </w:p>
    <w:p>
      <w:pPr>
        <w:spacing w:after="0" w:line="22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may be difficult and costly to protect our intellectual property rights, and we may not be able to ensure their protection.</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21" w:right="339" w:bottom="1440" w:gutter="0" w:footer="0" w:header="0"/>
        </w:sectPr>
      </w:pPr>
    </w:p>
    <w:bookmarkStart w:id="48" w:name="page49"/>
    <w:bookmarkEnd w:id="48"/>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8"/>
          <w:szCs w:val="18"/>
          <w:b w:val="1"/>
          <w:bCs w:val="1"/>
          <w:color w:val="auto"/>
        </w:rPr>
        <w:t>Our platform and internal systems rely on software that is highly technical, and if our software contains undetected errors, our business could be adversely affected.</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aspects of our business processes include open source software, and any failure to comply with the terms of one or more of these open source licenses could negatively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open source licenses contain requirements that we make source code available at no cost for modifications or derivative works we create based upon the type of open source software we use.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 significant number of consumers that apply for a loan on Upstart.com learn about and access Upstart.com through the website of a loan aggregator, typically with a hyperlink from such loan aggregator’s website to a landing page on our website. For example, for the year ended December 31, 2019 and 2020, 38% and 52%, respectively,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17" w:right="339" w:bottom="1440" w:gutter="0" w:footer="0" w:header="0"/>
        </w:sectPr>
      </w:pPr>
    </w:p>
    <w:bookmarkStart w:id="50" w:name="page51"/>
    <w:bookmarkEnd w:id="50"/>
    <w:p>
      <w:pPr>
        <w:jc w:val="both"/>
        <w:spacing w:after="0" w:line="270" w:lineRule="auto"/>
        <w:rPr>
          <w:sz w:val="20"/>
          <w:szCs w:val="20"/>
          <w:color w:val="auto"/>
        </w:rPr>
      </w:pPr>
      <w:r>
        <w:rPr>
          <w:rFonts w:ascii="Arial" w:cs="Arial" w:eastAsia="Arial" w:hAnsi="Arial"/>
          <w:sz w:val="16"/>
          <w:szCs w:val="16"/>
          <w:color w:val="auto"/>
        </w:rPr>
        <w:t>loan originations were derived from traffic from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Upstart currently does not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 If traffic from Credit Karma decreases again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21" w:right="339" w:bottom="1440" w:gutter="0" w:footer="0" w:header="0"/>
        </w:sectPr>
      </w:pPr>
    </w:p>
    <w:bookmarkStart w:id="51" w:name="page52"/>
    <w:bookmarkEnd w:id="51"/>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 to verify the accuracy of applicant-reported information. Data from national credit bureaus and other consumer reporting agencies and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 relies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Most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to quality standards or safety concerns, could adversely affect our reputation and brand, and could potentially lead to increased regulatory or litigation exposure.</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8"/>
          <w:szCs w:val="18"/>
          <w:color w:val="auto"/>
        </w:rPr>
        <w:t>.</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percentage rates of the loans facilitated through our platform typically range from approximately 6.5% to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6"/>
          <w:szCs w:val="16"/>
          <w:color w:val="auto"/>
        </w:rPr>
        <w:t>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has issued a rule pertaining to the “true lender” issue, which was challenged by state attorneys general in a complaint filed January 5,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loans facilitated through our platform for one or more bank partners were subject to successful challenge that the bank partner was not the “true lender,” such loans may be unenforceable, subject to rescission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21" w:right="339" w:bottom="1440" w:gutter="0" w:footer="0" w:header="0"/>
        </w:sectPr>
      </w:pPr>
    </w:p>
    <w:bookmarkStart w:id="55" w:name="page56"/>
    <w:bookmarkEnd w:id="55"/>
    <w:p>
      <w:pPr>
        <w:jc w:val="both"/>
        <w:spacing w:after="0" w:line="282" w:lineRule="auto"/>
        <w:rPr>
          <w:sz w:val="20"/>
          <w:szCs w:val="20"/>
          <w:color w:val="auto"/>
        </w:rPr>
      </w:pPr>
      <w:r>
        <w:rPr>
          <w:rFonts w:ascii="Arial" w:cs="Arial" w:eastAsia="Arial" w:hAnsi="Arial"/>
          <w:sz w:val="18"/>
          <w:szCs w:val="18"/>
          <w:b w:val="1"/>
          <w:bCs w:val="1"/>
          <w:color w:val="auto"/>
        </w:rPr>
        <w:t>otherwise impaired, we or other program participants may be subject to penalties, and/or our commercial relationships may suffer, each which would adversely affect our business and results of operations.</w:t>
      </w:r>
    </w:p>
    <w:p>
      <w:pPr>
        <w:spacing w:after="0" w:line="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on January 5, 2021, Attorneys General from seven states – New York, California, Colorado, Massachusetts, Minnesota, New Jersey, and North Carolina – and the District of Columbia filed suit against the OCC in the U.S. District Court for the Southern District of New York, challenging the rule, and the outcome of the litigation is uncertain. In addition, the OCC rule does not apply to state-chartered banks and there can be no assurance that the FDIC will issue a similar rule applicable to state-chartered banks.</w:t>
      </w:r>
    </w:p>
    <w:p>
      <w:pPr>
        <w:spacing w:after="0" w:line="22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enforceable in whole or in part, any of which could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17"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effect on our business (directly, or as a result of adverse impact on our relationships with our bank partners, institutional investors or other commercial counterparties).</w:t>
      </w:r>
    </w:p>
    <w:p>
      <w:pPr>
        <w:spacing w:after="0" w:line="19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do-not-call, credit reporting and collections.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improvement efforts,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or facilitate compliance with a variety of federal, state, and local laws, including those related to consumer protection and loan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21" w:right="339" w:bottom="1440" w:gutter="0" w:footer="0" w:header="0"/>
        </w:sectPr>
      </w:pPr>
    </w:p>
    <w:bookmarkStart w:id="57" w:name="page58"/>
    <w:bookmarkEnd w:id="57"/>
    <w:p>
      <w:pPr>
        <w:jc w:val="both"/>
        <w:ind w:firstLine="648"/>
        <w:spacing w:after="0" w:line="289" w:lineRule="auto"/>
        <w:rPr>
          <w:sz w:val="20"/>
          <w:szCs w:val="20"/>
          <w:color w:val="auto"/>
        </w:rPr>
      </w:pPr>
      <w:r>
        <w:rPr>
          <w:rFonts w:ascii="Arial" w:cs="Arial" w:eastAsia="Arial" w:hAnsi="Arial"/>
          <w:sz w:val="16"/>
          <w:szCs w:val="16"/>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While these requirements will not immediately change with the incoming presidential administration, this new administration is expected to bring an increased focus on enforcement of federal consumer protection laws and appoint consumer-oriented regulators at federal agencies such as the CFPB, the OCC and the FDIC.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new forbearance initiatives related to the COVID-19 pandemic, and could otherwise revise or create new regulatory requirements that apply to us (or our bank partner), impacting our business, operations, and profitability.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state laws generally regulate interest rates and other charges and require certain disclosures. In addition, other federal and state laws may apply to the origination, servicing and collection of loans originated on our platform, the purchase and sale of whole loans or asset-backed securitizations. In particular, certain laws, regulations and rules we or our bank partners are subject to include:</w:t>
      </w:r>
    </w:p>
    <w:p>
      <w:pPr>
        <w:spacing w:after="0" w:line="76" w:lineRule="exact"/>
        <w:rPr>
          <w:sz w:val="20"/>
          <w:szCs w:val="20"/>
          <w:color w:val="auto"/>
        </w:rPr>
      </w:pPr>
    </w:p>
    <w:p>
      <w:pPr>
        <w:jc w:val="both"/>
        <w:ind w:left="660" w:hanging="328"/>
        <w:spacing w:after="0" w:line="279"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63"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2" w:lineRule="exact"/>
        <w:rPr>
          <w:rFonts w:ascii="Arial" w:cs="Arial" w:eastAsia="Arial" w:hAnsi="Arial"/>
          <w:sz w:val="18"/>
          <w:szCs w:val="18"/>
          <w:color w:val="auto"/>
        </w:rPr>
      </w:pPr>
    </w:p>
    <w:p>
      <w:pPr>
        <w:ind w:left="660" w:right="120" w:hanging="328"/>
        <w:spacing w:after="0"/>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Debt Collection Practices Act, Regulation F (including new federal requirements set to take effect November 30, 2021), and similar state debt collection laws, which provide guidelines and limitations on the conduct of third-party debt collectors (and some limitation on creditors collecting their own debts) in connection with the collection of consumer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21" w:right="339" w:bottom="1440" w:gutter="0" w:footer="0" w:header="0"/>
        </w:sectPr>
      </w:pPr>
    </w:p>
    <w:bookmarkStart w:id="58" w:name="page59"/>
    <w:bookmarkEnd w:id="58"/>
    <w:p>
      <w:pPr>
        <w:spacing w:after="0" w:line="90" w:lineRule="exact"/>
        <w:rPr>
          <w:sz w:val="20"/>
          <w:szCs w:val="20"/>
          <w:color w:val="auto"/>
        </w:rPr>
      </w:pPr>
    </w:p>
    <w:p>
      <w:pPr>
        <w:jc w:val="both"/>
        <w:ind w:left="328" w:hanging="328"/>
        <w:spacing w:after="0" w:line="275" w:lineRule="auto"/>
        <w:tabs>
          <w:tab w:leader="none" w:pos="3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68"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62"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5"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8"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57"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75"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2" w:lineRule="exact"/>
        <w:rPr>
          <w:rFonts w:ascii="Arial" w:cs="Arial" w:eastAsia="Arial" w:hAnsi="Arial"/>
          <w:sz w:val="18"/>
          <w:szCs w:val="18"/>
          <w:color w:val="auto"/>
        </w:rPr>
      </w:pPr>
    </w:p>
    <w:p>
      <w:pPr>
        <w:jc w:val="both"/>
        <w:ind w:left="328" w:hanging="328"/>
        <w:spacing w:after="0" w:line="311" w:lineRule="auto"/>
        <w:tabs>
          <w:tab w:leader="none" w:pos="32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40" w:lineRule="exact"/>
        <w:rPr>
          <w:rFonts w:ascii="Arial" w:cs="Arial" w:eastAsia="Arial" w:hAnsi="Arial"/>
          <w:sz w:val="16"/>
          <w:szCs w:val="16"/>
          <w:color w:val="auto"/>
        </w:rPr>
      </w:pPr>
    </w:p>
    <w:p>
      <w:pPr>
        <w:ind w:left="328" w:right="20" w:hanging="328"/>
        <w:spacing w:after="0" w:line="27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to Financial Privacy Act and similar state laws enacted to provide the financial records of financial institution customers a reasonable amount of privacy from government scrutiny;</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Bank Secrecy Act and the USA PATRIOT Act, which relate to compliance with anti-money laundering, borrower due diligence and record-keeping policies and procedures;</w:t>
      </w:r>
    </w:p>
    <w:p>
      <w:pPr>
        <w:spacing w:after="0" w:line="62"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5"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8"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state-specific and local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08"/>
          </w:cols>
          <w:pgMar w:left="652" w:top="1440" w:right="339" w:bottom="1440" w:gutter="0" w:footer="0" w:header="0"/>
        </w:sectPr>
      </w:pPr>
    </w:p>
    <w:bookmarkStart w:id="59" w:name="page60"/>
    <w:bookmarkEnd w:id="59"/>
    <w:p>
      <w:pPr>
        <w:spacing w:after="0" w:line="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California recently enacted legislation to create a “mini-CFPB,” which could increase its oversight over bank partnership relationships and strengthen state consumer protection authority of state regulators to police debt collections and unfair, deceptive or abusive acts and practices. Additionally, voter referendums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Internet-based loan origination processes may give rise to greater risks than paper-based processes and may not always be allowed under state law.</w:t>
      </w:r>
    </w:p>
    <w:p>
      <w:pPr>
        <w:spacing w:after="0" w:line="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auto loans issued under our new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19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CFPB is a relatively new agency that has sometimes taken expansive views of its authority to regulate consumer financial services, creating uncertainty as to how the agency’s actions or the actions of any other agency could impact our business.</w:t>
      </w:r>
    </w:p>
    <w:p>
      <w:pPr>
        <w:spacing w:after="0" w:line="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There continues to be uncertainty about the future of the CFPB and as to how its strategies and priorities, including in both its examination and enforcement processes, will impact our business and our results of operations going forward.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other credit products offered on Upstart’s platform.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7"/>
          <w:szCs w:val="17"/>
          <w:color w:val="auto"/>
        </w:rPr>
        <w:t>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new presidential administration is expected to appoint consumer-oriented regulators at federal agencies such as the CFPB, Federal Trade Commission, the OCC and the FDIC and the government’s focus on enforcement of federal consumer protection laws is expected to increase. It is possible that these newly appointed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in the past and may in the future be subject to federal and state regulatory inquiries regarding our business.</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 heightened enforcement risk by the CFPB.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21" w:right="339" w:bottom="1440" w:gutter="0" w:footer="0" w:header="0"/>
        </w:sectPr>
      </w:pPr>
    </w:p>
    <w:bookmarkStart w:id="62" w:name="page63"/>
    <w:bookmarkEnd w:id="62"/>
    <w:p>
      <w:pPr>
        <w:jc w:val="both"/>
        <w:ind w:firstLine="648"/>
        <w:spacing w:after="0" w:line="269" w:lineRule="auto"/>
        <w:rPr>
          <w:sz w:val="20"/>
          <w:szCs w:val="20"/>
          <w:color w:val="auto"/>
        </w:rPr>
      </w:pPr>
      <w:r>
        <w:rPr>
          <w:rFonts w:ascii="Arial" w:cs="Arial" w:eastAsia="Arial" w:hAnsi="Arial"/>
          <w:sz w:val="17"/>
          <w:szCs w:val="17"/>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The FTC also is currently engaged in litigation with LendingClub regarding, among other things, the adequacy of its disclosures of an origination fee associated with the product. Based upon recent statements by FTC officials, we believe this scrutiny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21" w:right="339" w:bottom="1440" w:gutter="0" w:footer="0" w:header="0"/>
        </w:sectPr>
      </w:pPr>
    </w:p>
    <w:bookmarkStart w:id="63" w:name="page64"/>
    <w:bookmarkEnd w:id="63"/>
    <w:p>
      <w:pPr>
        <w:jc w:val="both"/>
        <w:spacing w:after="0" w:line="287" w:lineRule="auto"/>
        <w:rPr>
          <w:sz w:val="20"/>
          <w:szCs w:val="20"/>
          <w:color w:val="auto"/>
        </w:rPr>
      </w:pPr>
      <w:r>
        <w:rPr>
          <w:rFonts w:ascii="Arial" w:cs="Arial" w:eastAsia="Arial" w:hAnsi="Arial"/>
          <w:sz w:val="16"/>
          <w:szCs w:val="16"/>
          <w:color w:val="auto"/>
        </w:rPr>
        <w:t>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The CPRA creates obligations relating to consumer data beginning on January 1, 2022, with implementing regulations expected on or before July 1, 2022, and enforcement beginning July 1, 2023. Additionally, other U.S. states, such as Virginia,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 the regulatory framework for artificial intelligence and machine learning technology evolves, our business, financial condition and results of operations may be adversely affected.</w:t>
      </w:r>
    </w:p>
    <w:p>
      <w:pPr>
        <w:spacing w:after="0" w:line="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21"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transactions in our loan funding programs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required to register with the SEC or under state securities laws as a broker-dealer, our ability to conduct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17" w:right="339" w:bottom="1440" w:gutter="0" w:footer="0" w:header="0"/>
        </w:sectPr>
      </w:pPr>
    </w:p>
    <w:bookmarkStart w:id="65" w:name="page66"/>
    <w:bookmarkEnd w:id="65"/>
    <w:p>
      <w:pPr>
        <w:spacing w:after="0" w:line="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1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who contribute loans to the transactions receive cash and/or securities representing equity interests in such SPE, which are the proceeds from the sale of the securities. The equity interests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periods of financial disruption, such as the financial crisis that began in 2008 and the COVID-19 pandemic that began in early 2020, the securitization market has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gain on sale and related servicing fees generated by our whole loan sales, and the servicing fees based on sales of asset-backed securities and interests in our legacy fractional loan program, also represent a significant source of our earnings. We cannot assure you that our loan purchasers will continue to purchase loans or interests in loans on our platform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80"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servicing fees and other expenses may reduce overall net return on purchased pools of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actual or perceived credit performance and loan grade and term mix of the portfolios of loans offered for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loan purchasers’ sector and company investment diversification requirements and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yielding investment opportunities at a risk profile deemed similar to our sold loan portfolios;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borrower prepayment behavior within the underlying pools;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or investment practices related to maintaining net asset value, mark-to-market and similar metrics surrounding pools of purchased loans; and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loan purchasers to access funding and liquidity channels, including securitization markets, on terms they find acceptable to deliver an appropriate return net of funding costs, as well as general market trends that affect the appetite for loan financing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1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0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RISKS RELATED TO LOAN FUNDING AND INDEBTEDNESS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maintain a diverse and robust loan funding program, our growth prospects, business, financial condition and results of operations could be adversely affected.</w:t>
      </w:r>
    </w:p>
    <w:p>
      <w:pPr>
        <w:spacing w:after="0" w:line="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depends on sourcing and maintaining a diverse and robust loan funding program to fund Upstart-powered loans that our bank partners are unable or unwilling to retain on their balance sheets. In the year ended December 31, 2020, approximately 21% of Upstart-powered loans were retained by the originating bank while approximately 77% of Upstart-powered loans were purchased by investors through our loan funding program, which includes whole loan sales to institutional investors, asset-backed securitization transactions, and utilization of committed and uncommitted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 events of default or breaches of financial, performance or other covenants, or worse than expected performance of certain pools of loans underpinning our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credit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our loan funding programs, including asset-backed securitizations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December 31, 2020, the number of repurchased Upstart-powered loans as a result of inaccurate representations and warranties represents less than 0.34%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unsecured senior corporate debt currently has no rating, and we have never issued unsecured debt securities in the capital markets. Asset-backed securities sponsored or co-sponsored by us are currently rated by a limited number of debt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borrowings under our corporate and warehouse credit facility to fund certain aspects of our operations, and any inability to meet our obligations as they come due or to comply with various covenants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credit facilities consist of term loans and revolving loan facilities that we have drawn on to finance our operations and for other corporate purposes. As of December 31, 2020, we had $20.5 million outstanding principal under the term loans and revolving credit facilities. These borrowings are secured by all the assets of the company that have not otherwise been sold or pledged to secure bank debt or securities associated with structured finance facilities, such as assets belonging to our consolidated warehouse trust special purpose entities and securitization trusts. These credit agreements contain operating and financial covenants, including customary limitations on the incurrence of certain indebtedness and liens, restrictions on certain transactions and limitations on dividends and stock repurchases. We have in the past, and may in the future, fail to comply with certain operating or financial covenants in our credit agreements, requiring a waiver from our lenders. Our ability to comply with or renegotiate these covenants may be affected by events beyond our control, and breaches of these covenants could result in a default under such agreements and any future financial agreements into which we may enter. If we were to default on our credit obligations and such defaults were not waived, our lenders may require repayment of any outstanding debt and terminate their agreements with us.</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 On November 2, 2020, we repaid all outstanding borrowings under one of our warehouse credit facilities in the amount of $4.0 million and terminated the corresponding warehouse credit facility.</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our warehouse credit facility, we may borrow up to $100.0 million until May 2021, and any outstanding principal, together with any accrued and unpaid interest, are due and payable by the warehouse trust special purpose entity in May 2022. As of December 31, 2020, the amount borrowed under this credit facility was $35.0 million, and $60.2 million of aggregated fair value of loans purchased were pledged as collateral.</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warehouse credit facility imposes operating and financial covenants on the warehouse trust special purpose entity, and under certain events of default, the lender could require that all outstanding borrowings become immediately due and payable or terminate their agreement with us. We have in the past, and may in the future, fail to comply with certain operating or financial covenants in our warehouse credit facility, requiring a waiver from our lenders. If we are unable to repay our obligations at maturity or in the event of default, the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In particular, the interest rate of borrowings under our warehouse credit facilities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0" w:name="page71"/>
    <w:bookmarkEnd w:id="70"/>
    <w:p>
      <w:pPr>
        <w:jc w:val="both"/>
        <w:ind w:right="20"/>
        <w:spacing w:after="0" w:line="282" w:lineRule="auto"/>
        <w:rPr>
          <w:sz w:val="20"/>
          <w:szCs w:val="20"/>
          <w:color w:val="auto"/>
        </w:rPr>
      </w:pPr>
      <w:r>
        <w:rPr>
          <w:rFonts w:ascii="Arial" w:cs="Arial" w:eastAsia="Arial" w:hAnsi="Arial"/>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loan products, enhance our AI models, improve our operating infrastructure, or acquire complementary businesses and technologies. Accordingly, we may need to engage in equity, debt or convertible debt financings to secure additional funds. If we raise additional funds by issuing equity securities or securities convertible into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200" w:lineRule="exact"/>
        <w:rPr>
          <w:sz w:val="20"/>
          <w:szCs w:val="20"/>
          <w:color w:val="auto"/>
        </w:rPr>
      </w:pPr>
    </w:p>
    <w:p>
      <w:pPr>
        <w:spacing w:after="0" w:line="25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RISKS RELATED TO TAXES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use our deferred tax assets to offset future taxable income may be subject to certain limitations that could subject our business to higher tax liability.</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may be limited in the portion of net operating loss carryforwards, or NOLs, that we can use in the future to offset taxable income for U.S. federal and state income tax purposes. The Tax Cuts and Jobs Act, or the Tax Act, made broad and complex changes to U.S. tax law, including changes to the uses and limitations of NOLs. For example, in the Tax Act, as modified by the Coronavirus Aid, Relief, and Economic Security Act, or the CARES Act, NOLs arising in taxable years beginning after December 31, 2017 and before January 1, 2021 may be carried back to each of the five taxable years preceding the taxable year of such loss, but NOLs arising in taxable years beginning after December 31, 2020 may not be carried back. Additionally, under the Tax Act, as modified by the CARES Act, NOLs from taxable years that began after December 31, 2017 may offset no more than 80% of current taxable income annually for taxable years beginning after December 31, 2020, but the 80% limitation on the use of NOLs from taxable years that began after December 31, 2017 does not apply for taxable income in taxable years beginning before January 1, 2021. NOLs arising in taxable years ending after December 31, 2017 can be carried forward indefinitely, but NOLs generated in taxable years ending before January 1, 2018 will continue to have a two-year carryback and twenty-year carryforward period.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this or future offerings, as well as other changes that may be outside of our control, could result in additional ownership changes under Section 382 of the Code. Our NOLs may also be impaired under similar provisions of state law. We assess the available positive and negative evidence to estimate if sufficient future taxable income will be generated to utilize the existing deferred tax assets. On the basis of this evaluation, a full valuation allowance has historically been recorded to recognize only deferred tax assets that are more likely than not to be realized. Certain of our deferred tax assets may expire unutilized or underutilized, which could prevent us from offsetting future taxable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Changes in tax laws could have a material adverse effect on our business, financial condition and results of operations. For example, the Tax Act contained significant changes to U.S. tax law, including a reduction in the corporate tax rate and a transition to a new territorial system of taxation. The primary impact of the Tax Act on our provision for income taxes was a reduction of the future tax benefits of our deferred tax assets as a result of the reduction in the corporate tax rate. The impact of the Tax Act may be subject to ongoing technical guidance and accounting interpretation, which we will continue to monitor and assess. As we expand the scale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17" w:right="339" w:bottom="1440" w:gutter="0" w:footer="0" w:header="0"/>
        </w:sectPr>
      </w:pPr>
    </w:p>
    <w:bookmarkStart w:id="71" w:name="page72"/>
    <w:bookmarkEnd w:id="71"/>
    <w:p>
      <w:pPr>
        <w:jc w:val="both"/>
        <w:spacing w:after="0" w:line="261" w:lineRule="auto"/>
        <w:rPr>
          <w:sz w:val="20"/>
          <w:szCs w:val="20"/>
          <w:color w:val="auto"/>
        </w:rPr>
      </w:pPr>
      <w:r>
        <w:rPr>
          <w:rFonts w:ascii="Arial" w:cs="Arial" w:eastAsia="Arial" w:hAnsi="Arial"/>
          <w:sz w:val="18"/>
          <w:szCs w:val="18"/>
          <w:color w:val="auto"/>
        </w:rPr>
        <w:t>activities, any changes in the U.S. taxation of such activities may increase our effective tax rate and harm our business, financial condition and results of operations.</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the recent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w:t>
      </w:r>
    </w:p>
    <w:p>
      <w:pPr>
        <w:spacing w:after="0" w:line="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new and existing statutes might apply to our business.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The trading price of our common stock may be volatile, and you could lose all or part of your investment.</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financial technology stocks;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financial technology companies and technology companies that offer services to financial institutions;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fluctuations in demand for the loans we facilitate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government policies or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any cease-and-desist orders from regulatory agencies that we are subject 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data security breaches or other data security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political unrest, natural disasters, pandemics or responses to these events;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17" w:right="339" w:bottom="1440" w:gutter="0" w:footer="0" w:header="0"/>
        </w:sectPr>
      </w:pPr>
    </w:p>
    <w:bookmarkStart w:id="73" w:name="page74"/>
    <w:bookmarkEnd w:id="73"/>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insiders have significant voting power, which could limit your ability to influence the outcome of key transactions, including a change of control.</w:t>
      </w:r>
    </w:p>
    <w:p>
      <w:pPr>
        <w:spacing w:after="0" w:line="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substantial portion of the outstanding shares of our common stock are restricted from immediate resale but may be sold on a stock exchange in the near future. The large number of shares of our capital stock eligible for public sale or subject to rights requiring us to register them for public sale could depress the market price of our common stock.</w:t>
      </w:r>
    </w:p>
    <w:p>
      <w:pPr>
        <w:spacing w:after="0" w:line="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and the perception that these sales could occur may also depress the market price of our common stock.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of our stock for 180 days after December 15, 2020. We refer to such period as the lock-up period. In addition, the underwriter representatives may, in their discretion, release all or some portion of the shares subject to lock-up agreements prior to the expiration of the lock-up period.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provisions of Rule 144 or Rule 701 under the Securities Act, beginning 181 days after December 15, 2020 (subject to the terms of the lock-up agreements and market standoff agreements described above), a significant number shares of our common stock will be eligible for sale in the public market from time to time thereafter, subject in some cases to the volume and other restrictions of Rule 144, as described below.</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spacing w:after="0" w:line="21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does not provide any rights directly related to the loans we hold.</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us to issue our 626,685,974 shares of authorized but unissued common stock and rights relating to common stock for the consideration and on the terms and conditions established by our Board of Directors in its sole discretion, whether in connection with acquisitions or otherwise. We have reserved 5,520,000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80"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or a majority of our entire Board of Directors are authorized to call a special meeting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district court for the District of Delaware), in all cases subject to the court having jurisdiction over indispensable parties named as defendants.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common stock less attractive to investors.</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In addition, 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exemptions for so long as we are an “emerging growth company.” We cannot predict if investors will find our common stock less attractive to the extent that we rely on these exemptions. If some investors find our common stock less attractive as a result,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 be a less active trading market for our common stock and the price of our common stock may be more volatile. We expect to lose our “emerging growth company” status upon the filing of the Form 10-K for the year ending December 31, 2021.</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qualified board members.</w:t>
      </w:r>
    </w:p>
    <w:p>
      <w:pPr>
        <w:spacing w:after="0" w:line="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expect that being a public company will make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 has limited experience managing a public company.</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corporate headquarters are located in San Mateo, California and Columbus, Ohio and consist of approximately 48,244 square feet and 54,870 square feet of space, respectively, under leases that expire in March 2024 and June 2027, respectively. We also lease and license facilities in New York, New York.</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add employees and expand geographically. We believe our facilities are adequate and suitable for our current needs and that, should it be needed, suitable additional or alternative space will be available to accommodate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of our material pending legal proceedings, please see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xml:space="preserve"> in Part II, Item 8 of this Form 10-K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43" w:lineRule="exact"/>
        <w:rPr>
          <w:sz w:val="20"/>
          <w:szCs w:val="20"/>
          <w:color w:val="auto"/>
        </w:rPr>
      </w:pPr>
    </w:p>
    <w:p>
      <w:pPr>
        <w:ind w:right="840"/>
        <w:spacing w:after="0" w:line="26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common stock has been traded on the Nasdaq Global Select Market under the ticker symbol “UPST” since December 16, 2020. Prior to that date, there was no public trading market for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1, 2021, we had 257 holders of record of our common stock. Because many of our shares of common stock are held in street name by brokers and other nominees on behalf of stockholders, we are unable to estimate the total number of beneficial owners of our common stock represented by these holders of record.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never declared nor paid cash dividends on our capital stock and we do not expect to declare or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40"/>
          </w:cols>
          <w:pgMar w:left="320" w:top="1440" w:right="339" w:bottom="1440" w:gutter="0" w:footer="0" w:header="0"/>
          <w:type w:val="continuous"/>
        </w:sectPr>
      </w:pPr>
    </w:p>
    <w:bookmarkStart w:id="78" w:name="page79"/>
    <w:bookmarkEnd w:id="78"/>
    <w:p>
      <w:pPr>
        <w:jc w:val="both"/>
        <w:ind w:firstLine="648"/>
        <w:spacing w:after="0" w:line="263" w:lineRule="auto"/>
        <w:rPr>
          <w:sz w:val="20"/>
          <w:szCs w:val="20"/>
          <w:color w:val="auto"/>
        </w:rPr>
      </w:pPr>
      <w:r>
        <w:rPr>
          <w:rFonts w:ascii="Arial" w:cs="Arial" w:eastAsia="Arial" w:hAnsi="Arial"/>
          <w:sz w:val="18"/>
          <w:szCs w:val="18"/>
          <w:color w:val="auto"/>
        </w:rPr>
        <w:t>From January 1, 2020 through December 16, 2020 (the date of the filing of our registration statement on Form S-8), we granted to our directors, officers, employees, and consultants options to purchase an aggregate of 5,709,030 shares of our common stock under our 2012 Stock Plan at exercise prices ranging from $8.39 to $20.23 per share.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January 1, 2020 through December 16, 2020 (the date of the filing of our registration statement on Form S-8) we issued to our directors, officers, employees, and consultants an aggregate of 1,284,468 shares of common stock upon the exercise of options issued under our 2012 Stock Plan at exercise prices ranging from $0.15 to $8.88 per share, for an aggregate exercise price of $2.3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Proxy Statement for the 2021 Meeting of Stockholders to be filed with the SEC within 120 days of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December 18, 2020, we closed our initial public offering in which we sold 9,000,000 shares of common stock at a price to the public of $20.00 per shares. The offer and sale of all of the shares in the IPO were registered under the Securities Act pursuant to a registration statement on Form S-1 (File No. 333-249860), which was declared effective by the SEC on December 15, 2020. We raised net proceeds of $167.4 million from the IPO, after deducting underwriting discounts and commissions and before deferred offering costs of $7.9 million. There has been no material change in the planned use of proceeds from the IPO as described in our final prospectus filed with the SEC on December 16, 2020 pursuant to Rule 424(b)(4) of the Securities Act.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of our IPO were Goldman Sachs &amp; Co. LLC, BofA Securities, Inc., Citigroup Global Markets Inc., Jefferies LLC, Barclays Capital Inc., JMP Securities LLC, and Blaylock Van,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Upstart Holdings, Inc. under the Securities Act of 1933, as amended, or the Exchange Act.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Nasdaq Global Select Index and the S&amp;P Information Technology Index. An investment of $100 (with reinvestment of all dividends) is assumed to have been made in our common stock and in each index on December 16, 2020, the date our common stock began trading on the Nasdaq Global Select Market, and its relative performance is tracked through December 31, 2020. The returns shown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21" w:right="3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5349240" cy="3574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*$100 invested on 12/16/20 in stock or 11/30/20 index, including reinvestment of dividends</w:t>
      </w:r>
    </w:p>
    <w:p>
      <w:pPr>
        <w:sectPr>
          <w:pgSz w:w="11900" w:h="16838" w:orient="portrait"/>
          <w:cols w:equalWidth="0" w:num="1">
            <w:col w:w="9639"/>
          </w:cols>
          <w:pgMar w:left="8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9639"/>
          </w:cols>
          <w:pgMar w:left="820" w:top="1440" w:right="1440" w:bottom="1440" w:gutter="0" w:footer="0" w:header="0"/>
          <w:type w:val="continuous"/>
        </w:sectPr>
      </w:pPr>
    </w:p>
    <w:bookmarkStart w:id="80" w:name="page81"/>
    <w:bookmarkEnd w:id="80"/>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5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selected consolidated statements of operations data for the years ended December 31, 2017, 2018, 2019, and 2020 and the consolidated balance sheet data as of December 31, 2018, 2019, and 2020 have been derived from our audited consolidated financial statements included elsewhere in this Form 10-K. Our historical results are not necessarily indicative of the results that may be expected in the future. You should read the following selected consolidated financial and other data below in conjunction with the section titled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and our consolidated financial statements and related notes included elsewhere in this Form 10-K.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51,161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88,482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159,847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228,600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and fair value adjustments,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233,416</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99,659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Engineering and product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38,802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221,651</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on warrants and other non-operating expenses,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55"/>
        </w:trPr>
        <w:tc>
          <w:tcPr>
            <w:tcW w:w="5400" w:type="dxa"/>
            <w:vAlign w:val="bottom"/>
          </w:tcPr>
          <w:p>
            <w:pPr>
              <w:ind w:left="20"/>
              <w:spacing w:after="0" w:line="156" w:lineRule="exact"/>
              <w:rPr>
                <w:sz w:val="20"/>
                <w:szCs w:val="20"/>
                <w:color w:val="auto"/>
              </w:rPr>
            </w:pPr>
            <w:r>
              <w:rPr>
                <w:rFonts w:ascii="Arial" w:cs="Arial" w:eastAsia="Arial" w:hAnsi="Arial"/>
                <w:sz w:val="18"/>
                <w:szCs w:val="18"/>
                <w:color w:val="auto"/>
              </w:rPr>
              <w:t>Net income (loss) attributable to Upstart Holdings, Inc. common</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08"/>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per share attributable to Upstart Holdings, Inc. common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3"/>
              </w:rPr>
              <w:t>Weighted-average number of shares outstanding used in computing net</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6"/>
              </w:rPr>
              <w:t>income (loss) per share attributable to Upstart Holdings, Inc. common</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13,873,810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14,128,183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14,335,611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17,513,670</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stockholders, basic and diluted</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6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250,819</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Loans (at fair value)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78,460</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19,074</w:t>
            </w:r>
          </w:p>
        </w:tc>
      </w:tr>
      <w:tr>
        <w:trPr>
          <w:trHeight w:val="22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477,255</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62,626</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Payable to securitization note holders and residual certificate holders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177,003</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157,923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Total Upstart Holdings, Inc. stockholders’ equity (deficit)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300,252</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300,252</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80"/>
          </w:cols>
          <w:pgMar w:left="320" w:top="1440" w:right="799" w:bottom="1440" w:gutter="0" w:footer="0" w:header="0"/>
        </w:sectPr>
      </w:pPr>
    </w:p>
    <w:bookmarkStart w:id="82" w:name="page83"/>
    <w:bookmarkEnd w:id="82"/>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parts of this Annual Report on Form 10-K. Our historical results are not necessarily indicative of the results that may be expected for any period in the future.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believe that banks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215"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7"/>
          <w:szCs w:val="17"/>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191"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In the year ended December 31, 2020, approximately 21% of Upstart-powered loans were retained by the originating bank, while about 77% of Upstart-powered loans were purchased by institutional investors through our loan funding programs. Over the last few years, the percentage of loans retained by bank partners has fluctuated, but generally increased, while the percentage of loans funded through our balance sheet has generally decreased and the percentage of loans purchased by institutional investors has remained high and relatively stable.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Economic Model</w:t>
      </w:r>
    </w:p>
    <w:p>
      <w:pPr>
        <w:spacing w:after="0" w:line="229"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Upstart’s revenues are primarily earned in the form of three separate usage-based fees, which can be either dollar or percentage based depending on the contractual arrangement. We charge our bank partners a referral fee each time we refer a borrower who obtains a loan. Separately, we charge bank partners a platform fee each time they originate a loan using our platform. These fees are contracted for and charged separately, although they are generally combined for accounting purposes as they usually represent a single performance obligation. We do not charge the borrowers on our platform any referral, platform or other similar fees for our loan matching services.</w:t>
      </w:r>
    </w:p>
    <w:p>
      <w:pPr>
        <w:spacing w:after="0" w:line="216"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We also charge the holder of the loan (either a bank or institutional investor) an ongoing annualized servicing fee based on the outstanding principal over the lifetime of the loan for ongoing servicing of the loan. In addition, we earn a small portion of our revenue from interest income and our securitization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229" w:right="339" w:bottom="1440" w:gutter="0" w:footer="0" w:header="0"/>
        </w:sectPr>
      </w:pPr>
    </w:p>
    <w:bookmarkStart w:id="83" w:name="page84"/>
    <w:bookmarkEnd w:id="83"/>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567"/>
        <w:spacing w:after="0" w:line="274" w:lineRule="auto"/>
        <w:rPr>
          <w:sz w:val="20"/>
          <w:szCs w:val="20"/>
          <w:color w:val="auto"/>
        </w:rPr>
      </w:pPr>
      <w:r>
        <w:rPr>
          <w:rFonts w:ascii="Arial" w:cs="Arial" w:eastAsia="Arial" w:hAnsi="Arial"/>
          <w:sz w:val="16"/>
          <w:szCs w:val="16"/>
          <w:color w:val="auto"/>
        </w:rPr>
        <w:t>Loans on our platform today are predominantly sourced from Upstart.com. For these loans, we incur variable costs in the form of borrower acquisition costs and borrower verification and servicing costs. Borrower acquisition costs and borrower verification and servicing costs are highly correlated with the Number of Loans Transacted on our platform and trended upwards on an annual basis. A small number of loans were sourced directly through bank partners in which we received no referral fee and incurred no acquisition cost. The rising level of automation and continued improvements to our Conversion Rate achieved through our increasingly sophisticated risk models and our evolving channel mix have contributed to improving loan unit economics over time. We further believe that bank-sourced loans can be an important driver of volume growth in the medium-term future; to the extent we are able to increase the number of loans sourced directly through our bank partners, our contribution margin would be positively impacted.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Impact</w:t>
      </w:r>
    </w:p>
    <w:p>
      <w:pPr>
        <w:spacing w:after="0" w:line="2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onset of the COVID-19 pandemic began to impact origination volumes on our platform in the second half of March 2020. A rapid rise in unemployment in the United States led to the potential for increased losses for new originations by our AI models, reduction in originations by bank partners, and a temporary pause in loan funding from institutions and capital markets. These factors collectively resulted in an 86% reduction in the number of loans originated and a 73% reduction in revenue in the second quarter of 2020 compared to the first quarter of 2020.</w:t>
      </w:r>
    </w:p>
    <w:p>
      <w:pPr>
        <w:spacing w:after="0" w:line="19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response to the market conditions caused by the COVID-19 pandemic, we made certain operational changes, including increases to the fees we charge our bank partners and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7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Origination volumes recovered quickly, beginning in June 2020, as unemployment plateaued. For the year ended December 31, 2020, the Number of Loans Transacted was 300,379, representing a 40% increase compared to the Number of Loans Transacted in the year ended December 31, 2019.</w:t>
      </w:r>
    </w:p>
    <w:p>
      <w:pPr>
        <w:spacing w:after="0" w:line="15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To support borrowers suffering from income loss due to the pandemic, Upstart worked with its bank partners to offer hardship plans that, among other things, allowed affected borrowers to defer loan payments for up to two months. At the peak, approximately 5.6% of borrowers on our platform had enrolled in a hardship program, less than half the rate of online lending industry benchmarks. Since this time, approximately 95% of these impacted borrowers have exited the hardship program and resumed making loan payments. Due to the strength of our AI model, we expect that the COVID-19 pandemic will have minimal impact on bank partners and institutional investor performance for Upstart-powered loans originated prior to the second quarter of 2020.</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Although significant government assistance was provided during the COVID-19 pandemic, the resilience of our bank partner results during this time provides evidence of the benefits that our AI models can offer to bank lending programs. We believe these benefits are even more compelling and valuable during periods of economic downturn.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Improvements to Our AI Models</w:t>
      </w:r>
    </w:p>
    <w:p>
      <w:pPr>
        <w:spacing w:after="0" w:line="225"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229" w:right="339" w:bottom="1440" w:gutter="0" w:footer="0" w:header="0"/>
        </w:sectPr>
      </w:pPr>
    </w:p>
    <w:bookmarkStart w:id="84" w:name="page85"/>
    <w:bookmarkEnd w:id="84"/>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 us to unlock new marketing channels over time that have previously been unprofitable.</w:t>
      </w:r>
    </w:p>
    <w:p>
      <w:pPr>
        <w:spacing w:after="0" w:line="215"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and Market Adoption</w:t>
      </w:r>
    </w:p>
    <w:p>
      <w:pPr>
        <w:spacing w:after="0" w:line="104"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color w:val="auto"/>
        </w:rPr>
        <w:t>Banks play two key roles in Upstart’s ecosystem: funding loans and acquiring new customers.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w:t>
      </w:r>
    </w:p>
    <w:p>
      <w:pPr>
        <w:spacing w:after="0" w:line="191"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182"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To provide funding support for our bank partners, we have built a broad network of institutional investors that can fund Upstart-powered loans through secondary loan purchasing, issuance of pass-through certificates and investment in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Expansion and Innovation</w:t>
      </w:r>
    </w:p>
    <w:p>
      <w:pPr>
        <w:spacing w:after="0" w:line="117" w:lineRule="exact"/>
        <w:rPr>
          <w:sz w:val="20"/>
          <w:szCs w:val="20"/>
          <w:color w:val="auto"/>
        </w:rPr>
      </w:pPr>
    </w:p>
    <w:p>
      <w:pPr>
        <w:jc w:val="both"/>
        <w:ind w:firstLine="567"/>
        <w:spacing w:after="0" w:line="238" w:lineRule="auto"/>
        <w:rPr>
          <w:sz w:val="20"/>
          <w:szCs w:val="20"/>
          <w:color w:val="auto"/>
        </w:rPr>
      </w:pPr>
      <w:r>
        <w:rPr>
          <w:rFonts w:ascii="Arial" w:cs="Arial" w:eastAsia="Arial" w:hAnsi="Arial"/>
          <w:sz w:val="18"/>
          <w:szCs w:val="18"/>
          <w:color w:val="auto"/>
        </w:rPr>
        <w:t>We intend to continue developing new financial products that address a broader set of consumer needs over time. We recently announced our entry into the auto lending market and we believe that significant growth opportunities exist to apply our evolving technology to additional segments of credit, such as credit cards, mortgages, student loans, point-of-sale loans, and HELOCs. In addition, we aim to serve a broader role of technology enablement for banks, which we believe will seek more comprehensive technology solutions from their suppliers. For example, we recently began offering an application programming interface product to banks that allows them to utilize our AI underwriting models to support their loan origination process for personal, auto, and student loans. We will incur expenses and opportunity cost to develop and launch new products. Monetization prospects for new products are uncertain, and costs associated with developing and marketing new products might not be recovered, which could weigh on our top-line growth and profitability.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Cycles</w:t>
      </w:r>
    </w:p>
    <w:p>
      <w:pPr>
        <w:spacing w:after="0" w:line="117"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Economic cycles can impact our financial performance and related metrics, including consumer demand for loans, conversion rates and the interest rates our bank partners and institutional investors 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229" w:right="339" w:bottom="1440" w:gutter="0" w:footer="0" w:header="0"/>
        </w:sectPr>
      </w:pPr>
    </w:p>
    <w:bookmarkStart w:id="85" w:name="page86"/>
    <w:bookmarkEnd w:id="85"/>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focus on several key operating and financial metrics to measure the performance of our business and help determine strategic direction.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Loans Transacted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114,125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215,122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300,379</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Conversion Rate</w:t>
            </w:r>
          </w:p>
        </w:tc>
        <w:tc>
          <w:tcPr>
            <w:tcW w:w="3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15.2%</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Loans Fully Automated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29"/>
        </w:trPr>
        <w:tc>
          <w:tcPr>
            <w:tcW w:w="6640" w:type="dxa"/>
            <w:vAlign w:val="bottom"/>
          </w:tcPr>
          <w:p>
            <w:pPr>
              <w:ind w:left="20"/>
              <w:spacing w:after="0" w:line="230" w:lineRule="exact"/>
              <w:rPr>
                <w:sz w:val="20"/>
                <w:szCs w:val="20"/>
                <w:color w:val="auto"/>
              </w:rPr>
            </w:pPr>
            <w:r>
              <w:rPr>
                <w:rFonts w:ascii="Arial" w:cs="Arial" w:eastAsia="Arial" w:hAnsi="Arial"/>
                <w:sz w:val="18"/>
                <w:szCs w:val="18"/>
                <w:color w:val="auto"/>
              </w:rPr>
              <w:t>Contribution Profit</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13,098</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48,940</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105,088</w:t>
            </w:r>
          </w:p>
        </w:tc>
      </w:tr>
      <w:tr>
        <w:trPr>
          <w:trHeight w:val="230"/>
        </w:trPr>
        <w:tc>
          <w:tcPr>
            <w:tcW w:w="66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i w:val="1"/>
                <w:iCs w:val="1"/>
                <w:color w:val="auto"/>
              </w:rPr>
              <w:t>Contribution Margin</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r>
      <w:tr>
        <w:trPr>
          <w:trHeight w:val="229"/>
        </w:trPr>
        <w:tc>
          <w:tcPr>
            <w:tcW w:w="6640" w:type="dxa"/>
            <w:vAlign w:val="bottom"/>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(6,226)</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5,595</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31,509</w:t>
            </w:r>
          </w:p>
        </w:tc>
      </w:tr>
      <w:tr>
        <w:trPr>
          <w:trHeight w:val="229"/>
        </w:trPr>
        <w:tc>
          <w:tcPr>
            <w:tcW w:w="66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i w:val="1"/>
                <w:iCs w:val="1"/>
                <w:color w:val="auto"/>
              </w:rPr>
              <w:t>Adjusted EBITDA Margin</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6640" w:type="dxa"/>
            <w:vAlign w:val="bottom"/>
          </w:tcPr>
          <w:p>
            <w:pPr>
              <w:ind w:left="20"/>
              <w:spacing w:after="0" w:line="230" w:lineRule="exact"/>
              <w:rPr>
                <w:sz w:val="20"/>
                <w:szCs w:val="20"/>
                <w:color w:val="auto"/>
              </w:rPr>
            </w:pPr>
            <w:r>
              <w:rPr>
                <w:rFonts w:ascii="Arial" w:cs="Arial" w:eastAsia="Arial" w:hAnsi="Arial"/>
                <w:sz w:val="18"/>
                <w:szCs w:val="18"/>
                <w:color w:val="auto"/>
              </w:rPr>
              <w:t>Adjusted net income (loss)</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(10,274)</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3,340</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17,496</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(loss)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40" w:type="dxa"/>
            <w:vAlign w:val="bottom"/>
          </w:tcPr>
          <w:p>
            <w:pPr>
              <w:ind w:left="24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(0.73)</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30"/>
        </w:trPr>
        <w:tc>
          <w:tcPr>
            <w:tcW w:w="66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_______</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ind w:left="500" w:hanging="492"/>
        <w:spacing w:after="0" w:line="255" w:lineRule="auto"/>
        <w:tabs>
          <w:tab w:leader="none" w:pos="49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 Financial Measures</w:t>
      </w:r>
      <w:r>
        <w:rPr>
          <w:rFonts w:ascii="Arial" w:cs="Arial" w:eastAsia="Arial" w:hAnsi="Arial"/>
          <w:sz w:val="14"/>
          <w:szCs w:val="14"/>
          <w:color w:val="auto"/>
        </w:rPr>
        <w:t>” for further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Loans Transacted</w:t>
      </w:r>
    </w:p>
    <w:p>
      <w:pPr>
        <w:spacing w:after="0" w:line="117"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7"/>
          <w:szCs w:val="17"/>
          <w:color w:val="auto"/>
        </w:rPr>
        <w:t>We define the Number of Loans Transacted as the transaction volume, measured by number of loans facilitated on our platform, between a borrower and originating bank during the period presented. We believe this metric to be a good proxy for our overall scale and reach as a platform.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Rate</w:t>
      </w:r>
    </w:p>
    <w:p>
      <w:pPr>
        <w:spacing w:after="0" w:line="117"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We define Conversion Rate as the Number of Loans Transacted in a period divided by the number of rate inquiries received,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Loans Fully Automated</w:t>
      </w:r>
    </w:p>
    <w:p>
      <w:pPr>
        <w:spacing w:after="0" w:line="117"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18"/>
          <w:szCs w:val="18"/>
          <w:color w:val="auto"/>
        </w:rPr>
        <w:t>A key driver of our contribution margin and operating efficiency is the Percentage of Loans Fully Automated, which is defined as the total number of loans in a given period originated end-to-end (from initial rate request to final funding) with no human involvement divided by the Number of Loans Transacted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constant in the long term, and to the extent we expand our loan offerings beyond unsecured personal loans, we expect that such percentage may decrease in the short term.</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229" w:right="339" w:bottom="1440" w:gutter="0" w:footer="0" w:header="0"/>
          <w:type w:val="continuous"/>
        </w:sectPr>
      </w:pPr>
    </w:p>
    <w:bookmarkStart w:id="86" w:name="page87"/>
    <w:bookmarkEnd w:id="86"/>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calculation of Contribution Profit and Contribution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r>
      <w:tr>
        <w:trPr>
          <w:trHeight w:val="237"/>
        </w:trPr>
        <w:tc>
          <w:tcPr>
            <w:tcW w:w="6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Referral fees,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90,672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133,425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Platform fees,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53,383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66,832</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15,792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28,343</w:t>
            </w:r>
          </w:p>
        </w:tc>
      </w:tr>
      <w:tr>
        <w:trPr>
          <w:trHeight w:val="223"/>
        </w:trPr>
        <w:tc>
          <w:tcPr>
            <w:tcW w:w="6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Revenue from fees,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159,847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228,600</w:t>
            </w:r>
          </w:p>
        </w:tc>
      </w:tr>
      <w:tr>
        <w:trPr>
          <w:trHeight w:val="223"/>
        </w:trPr>
        <w:tc>
          <w:tcPr>
            <w:tcW w:w="6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Borrower acquisition costs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(89,569)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(91,700)</w:t>
            </w:r>
          </w:p>
        </w:tc>
      </w:tr>
      <w:tr>
        <w:trPr>
          <w:trHeight w:val="230"/>
        </w:trPr>
        <w:tc>
          <w:tcPr>
            <w:tcW w:w="64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Borrower verification and servicing costs</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(13,726)</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(21,338)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(31,812)</w:t>
            </w:r>
          </w:p>
        </w:tc>
      </w:tr>
      <w:tr>
        <w:trPr>
          <w:trHeight w:val="223"/>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direct expenses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(75,384)</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(110,907)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(123,512)</w:t>
            </w:r>
          </w:p>
        </w:tc>
      </w:tr>
      <w:tr>
        <w:trPr>
          <w:trHeight w:val="223"/>
        </w:trPr>
        <w:tc>
          <w:tcPr>
            <w:tcW w:w="6400" w:type="dxa"/>
            <w:vAlign w:val="bottom"/>
          </w:tcPr>
          <w:p>
            <w:pPr>
              <w:ind w:left="160"/>
              <w:spacing w:after="0"/>
              <w:rPr>
                <w:sz w:val="20"/>
                <w:szCs w:val="20"/>
                <w:color w:val="auto"/>
              </w:rPr>
            </w:pPr>
            <w:r>
              <w:rPr>
                <w:rFonts w:ascii="Arial" w:cs="Arial" w:eastAsia="Arial" w:hAnsi="Arial"/>
                <w:sz w:val="18"/>
                <w:szCs w:val="18"/>
                <w:color w:val="auto"/>
              </w:rPr>
              <w:t>Contribution Profit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48,940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105,088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Contribution Margin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317"/>
        </w:trPr>
        <w:tc>
          <w:tcPr>
            <w:tcW w:w="6400" w:type="dxa"/>
            <w:vAlign w:val="bottom"/>
          </w:tcPr>
          <w:p>
            <w:pPr>
              <w:spacing w:after="0"/>
              <w:rPr>
                <w:sz w:val="20"/>
                <w:szCs w:val="20"/>
                <w:color w:val="auto"/>
              </w:rPr>
            </w:pPr>
            <w:r>
              <w:rPr>
                <w:rFonts w:ascii="Arial" w:cs="Arial" w:eastAsia="Arial" w:hAnsi="Arial"/>
                <w:sz w:val="18"/>
                <w:szCs w:val="18"/>
                <w:color w:val="auto"/>
              </w:rPr>
              <w:t>_______</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ind w:left="500" w:hanging="492"/>
        <w:spacing w:after="0" w:line="241"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500" w:hanging="492"/>
        <w:spacing w:after="0" w:line="248"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00" w:lineRule="exact"/>
        <w:rPr>
          <w:sz w:val="20"/>
          <w:szCs w:val="20"/>
          <w:color w:val="auto"/>
        </w:rPr>
      </w:pPr>
    </w:p>
    <w:p>
      <w:pPr>
        <w:spacing w:after="0" w:line="2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Management’s Discussion and Analysis of Financial Condition and Results of Operations—Reconciliation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 reconciliation of income (loss) from operations to Contribution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calculate Adjusted EBITDA as net income (loss) attributable to Upstart Holdings, Inc. stockholders adjusted to exclude stock-based compensation expense, depreciation and amortization, expense on warrants and other non-operating expenses, net and provision for income taxes.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Arial" w:cs="Arial" w:eastAsia="Arial" w:hAnsi="Arial"/>
          <w:sz w:val="16"/>
          <w:szCs w:val="16"/>
          <w:i w:val="1"/>
          <w:iCs w:val="1"/>
          <w:color w:val="auto"/>
        </w:rPr>
        <w:t>Management’s Discussion and Analysis of Financial Condition and Results of Operations—Reconciliation of Non-GAAP Financial Measure</w:t>
      </w:r>
      <w:r>
        <w:rPr>
          <w:rFonts w:ascii="Arial" w:cs="Arial" w:eastAsia="Arial" w:hAnsi="Arial"/>
          <w:sz w:val="16"/>
          <w:szCs w:val="16"/>
          <w:color w:val="auto"/>
        </w:rPr>
        <w:t>s” for a reconciliation of net loss attributable to Upstart Holdings, Inc. common stockholders to Adjusted EBITDA and Adjusted EBITDA Margin.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Net Income (Loss) Per Share</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See the section titled “</w:t>
      </w:r>
      <w:r>
        <w:rPr>
          <w:rFonts w:ascii="Arial" w:cs="Arial" w:eastAsia="Arial" w:hAnsi="Arial"/>
          <w:sz w:val="18"/>
          <w:szCs w:val="18"/>
          <w:i w:val="1"/>
          <w:iCs w:val="1"/>
          <w:color w:val="auto"/>
        </w:rPr>
        <w:t>Management’s Discussion and Analysis of Financial Condition and Results of Operations—Reconciliation of Non-GAAP Financial Measures</w:t>
      </w:r>
      <w:r>
        <w:rPr>
          <w:rFonts w:ascii="Arial" w:cs="Arial" w:eastAsia="Arial" w:hAnsi="Arial"/>
          <w:sz w:val="18"/>
          <w:szCs w:val="18"/>
          <w:color w:val="auto"/>
        </w:rPr>
        <w:t>” for a reconciliation of net income (loss) attributable to Upstart Holdings, Inc. common stockholders to Adjusted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and Adjusted Net Income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22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Platform and Referral Fees, Net</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For bank partners that use our loan funding capabilities,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consolidated financial statements in Part II, Item 8 of this Form 10-K for more information about loan premium fees and trailing fees.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Servicing Fees, Net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loan-servicer for substantially all outstanding loans facilitated through the Upstart platform.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receives certain ancillary fees on a per transaction basis inclusive of late payment fees and ACH fail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common stock warrant liabilities, and convertible preferred stock warrant liabilities. Interest income and fair value adjustments, net also includes the full amount of net interest income and expense incurred by consolidated variable interest entities, or VIEs, the majority of which has been historically allocated to third parties in the line item net income (loss) attributable to noncontrolling interests on our consolidated statements of operations and comprehensive income (loss). Interest income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22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Operations</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Number of Loans Transacted.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Product Development</w:t>
      </w:r>
    </w:p>
    <w:p>
      <w:pPr>
        <w:spacing w:after="0" w:line="117"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Engineering and product development expenses primarily consist of payroll and other personnel-related expenses, including stock-based compensation expense, for the engineering and product development teams as well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Administrative and Other</w:t>
      </w:r>
    </w:p>
    <w:p>
      <w:pPr>
        <w:spacing w:after="0" w:line="117"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7"/>
          <w:szCs w:val="17"/>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 Following the completion of our initial public offering in December 2020, we expect to incur additional general, administrative and other expenses as a result of operating as a public company, including expenses related to compliance with the rules and regulations of the SEC, additional insurance expenses, investor relations activities and other administrative and professional services. We also expect to increase the size of our general and administrative function to support the growth of our business. As a result, we expect that our general, administrative and other expenses will increase in absolute dollars but may fluctuate as a percentage of our total revenue from period to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18"/>
          <w:szCs w:val="18"/>
          <w:color w:val="auto"/>
        </w:rPr>
        <w:t>Other income primarily consists of dividend income earned on our unrestricted cash balances and in 2018 also included sublease income. Other income is recognized in the period earned. During the year ended December 31, 2020, other income also included the proceeds from a forgivable loan under the Paycheck Protection Program. For additional details, refer to “</w:t>
      </w:r>
      <w:r>
        <w:rPr>
          <w:rFonts w:ascii="Arial" w:cs="Arial" w:eastAsia="Arial" w:hAnsi="Arial"/>
          <w:sz w:val="18"/>
          <w:szCs w:val="18"/>
          <w:i w:val="1"/>
          <w:iCs w:val="1"/>
          <w:color w:val="auto"/>
        </w:rPr>
        <w:t>Note 1. Description of Business and Significant Accounting Policie</w:t>
      </w:r>
      <w:r>
        <w:rPr>
          <w:rFonts w:ascii="Arial" w:cs="Arial" w:eastAsia="Arial" w:hAnsi="Arial"/>
          <w:sz w:val="18"/>
          <w:szCs w:val="18"/>
          <w:color w:val="auto"/>
        </w:rPr>
        <w:t>s” of our consolidated financial statements in Part II, Item 8 of this Form 10-K. In March 2021, the Company’s Board of Directors approved the Company’s intent to voluntarily repay proceeds received under the Paycheck Protection Program in the second quarter of 2021. There has been no change in the Company’s assessment that forgiveness of the loan under the CARES Act is reasonably assured. Upon repayment, the Company’s other income will be reduced by the repayment amount of approximately $5.3 million.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on Warrants and Other Non-Operating Expenses</w:t>
      </w:r>
    </w:p>
    <w:p>
      <w:pPr>
        <w:spacing w:after="0" w:line="117"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Expense on warrants and other non-operating expenses is primarily comprised of the net changes in the fair value of our common and convertible preferred stock warrant liabilities, as well as interest expense on convertible notes outstanding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22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ind w:left="4800"/>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20" w:type="dxa"/>
            <w:vAlign w:val="bottom"/>
          </w:tcPr>
          <w:p>
            <w:pPr>
              <w:spacing w:after="0"/>
              <w:rPr>
                <w:sz w:val="20"/>
                <w:szCs w:val="20"/>
                <w:color w:val="auto"/>
              </w:rPr>
            </w:pPr>
            <w:r>
              <w:rPr>
                <w:rFonts w:ascii="Arial" w:cs="Arial" w:eastAsia="Arial" w:hAnsi="Arial"/>
                <w:sz w:val="18"/>
                <w:szCs w:val="18"/>
                <w:color w:val="auto"/>
                <w:w w:val="94"/>
              </w:rPr>
              <w:t>The following table summarizes our historical consolidated statements of operations data:</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88,482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159,847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228,600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and fair value adjustments,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233,416</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99,659</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Customer operations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line="230" w:lineRule="exact"/>
              <w:rPr>
                <w:sz w:val="20"/>
                <w:szCs w:val="20"/>
                <w:color w:val="auto"/>
              </w:rPr>
            </w:pPr>
            <w:r>
              <w:rPr>
                <w:rFonts w:ascii="Arial" w:cs="Arial" w:eastAsia="Arial" w:hAnsi="Arial"/>
                <w:sz w:val="18"/>
                <w:szCs w:val="18"/>
                <w:color w:val="auto"/>
              </w:rPr>
              <w:t>Engineering and product development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38,802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General, administrative, and other</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221,651</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on warrants and other non-operating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Net income (loss)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Net income (loss) attributable to Upstart Holdings, Inc. common stockholders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7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80" w:hanging="472"/>
        <w:spacing w:after="0" w:line="197" w:lineRule="auto"/>
        <w:tabs>
          <w:tab w:leader="none" w:pos="48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stock-based compensation expense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40" w:type="dxa"/>
            <w:vAlign w:val="bottom"/>
            <w:gridSpan w:val="9"/>
          </w:tcPr>
          <w:p>
            <w:pPr>
              <w:jc w:val="right"/>
              <w:spacing w:after="0"/>
              <w:rPr>
                <w:sz w:val="20"/>
                <w:szCs w:val="20"/>
                <w:color w:val="auto"/>
              </w:rPr>
            </w:pPr>
            <w:r>
              <w:rPr>
                <w:rFonts w:ascii="Arial" w:cs="Arial" w:eastAsia="Arial" w:hAnsi="Arial"/>
                <w:sz w:val="18"/>
                <w:szCs w:val="18"/>
                <w:b w:val="1"/>
                <w:bCs w:val="1"/>
                <w:color w:val="auto"/>
                <w:w w:val="91"/>
              </w:rPr>
              <w:t>Year Ended December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Customer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Revenue from Fees, Net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7"/>
          </w:tcPr>
          <w:p>
            <w:pPr>
              <w:ind w:left="580"/>
              <w:spacing w:after="0"/>
              <w:rPr>
                <w:sz w:val="20"/>
                <w:szCs w:val="20"/>
                <w:color w:val="auto"/>
              </w:rPr>
            </w:pPr>
            <w:r>
              <w:rPr>
                <w:rFonts w:ascii="Arial" w:cs="Arial" w:eastAsia="Arial" w:hAnsi="Arial"/>
                <w:sz w:val="18"/>
                <w:szCs w:val="18"/>
                <w:color w:val="auto"/>
                <w:w w:val="97"/>
              </w:rPr>
              <w:t>The following table set forth our revenue from fees, net in the periods shown:</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2018 to 2019</w:t>
            </w:r>
          </w:p>
        </w:tc>
        <w:tc>
          <w:tcPr>
            <w:tcW w:w="180" w:type="dxa"/>
            <w:vAlign w:val="bottom"/>
          </w:tcPr>
          <w:p>
            <w:pPr>
              <w:spacing w:after="0"/>
              <w:rPr>
                <w:sz w:val="24"/>
                <w:szCs w:val="24"/>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2019 to 2020</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0"/>
              </w:rPr>
              <w:t>% change</w:t>
            </w:r>
          </w:p>
        </w:tc>
        <w:tc>
          <w:tcPr>
            <w:tcW w:w="18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 change</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Platform and referral fees, net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Servicing fees,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 from fees,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40"/>
          </w:cols>
          <w:pgMar w:left="320" w:top="229"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2020</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fees, net increased $68.8 million, or 43%, in the year ended December 31, 2020, compared to the prior year, which included an increase of $56.2 million in revenue from platform and referral fees, net and an increase of $12.6 million in servicing fees, net. The increase of the platform and referral fees, net was primarily driven by a 40% increase in the Number of Loans Transacted from 215,122 in the year ended December 31, 2019 to 300,379 in the year ended December 31, 2020 as well as an increase in prices of our services in response to the market conditions caused by the COVID-19 pandemic. The increase in the servicing fees, net was primarily due to an 96% increase in outstanding loan principal, as well as a downward revaluation to the net liability of our servicing obligation.</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2018 Compared to 2019</w:t>
      </w:r>
    </w:p>
    <w:p>
      <w:pPr>
        <w:spacing w:after="0" w:line="117"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Revenue from fees, net increased $71.4 million, or 81%, in the year ended December 31, 2019, compared to the prior year. The increase was primarily due to an increase of $60.7 million in revenue from platform and referral fees, net. This increase was primarily driven by an 88% increase in the Number of Loans Transacted from 114,125 in 2018 to 215,122 in 2019. Servicing fees, net increased by $10.7 million due to a doubling in average outstanding loan principal, as well as a downward revaluation to the net liability of our servicing obligation.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Interest Income and Fair Value Adjustments,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2018 to 2019</w:t>
            </w: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 to 2020</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 change</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entities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19,582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560" w:type="dxa"/>
            <w:vAlign w:val="bottom"/>
          </w:tcPr>
          <w:p>
            <w:pPr>
              <w:ind w:left="160"/>
              <w:spacing w:after="0"/>
              <w:rPr>
                <w:sz w:val="20"/>
                <w:szCs w:val="20"/>
                <w:color w:val="auto"/>
              </w:rPr>
            </w:pPr>
            <w:r>
              <w:rPr>
                <w:rFonts w:ascii="Arial" w:cs="Arial" w:eastAsia="Arial" w:hAnsi="Arial"/>
                <w:sz w:val="18"/>
                <w:szCs w:val="18"/>
                <w:color w:val="auto"/>
              </w:rPr>
              <w:t>Fair value adjustments,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(10,230)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1,185 %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consolidated entities</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560" w:type="dxa"/>
            <w:vAlign w:val="bottom"/>
          </w:tcPr>
          <w:p>
            <w:pPr>
              <w:ind w:left="160"/>
              <w:spacing w:after="0"/>
              <w:rPr>
                <w:sz w:val="20"/>
                <w:szCs w:val="20"/>
                <w:color w:val="auto"/>
              </w:rPr>
            </w:pPr>
            <w:r>
              <w:rPr>
                <w:rFonts w:ascii="Arial" w:cs="Arial" w:eastAsia="Arial" w:hAnsi="Arial"/>
                <w:sz w:val="18"/>
                <w:szCs w:val="18"/>
                <w:color w:val="auto"/>
              </w:rPr>
              <w:t>Fair value adjustments,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26,408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Fair value adjustments,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Total interest income and fair value adjustments,</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CCEEFF"/>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 of balances recognized by entities participating in ongoing operating activities of the Company, including warehouse entities.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balances recognized by other entities, including securitization entities and the fractional loan program (discontinued in 2019).</w:t>
      </w:r>
    </w:p>
    <w:p>
      <w:pPr>
        <w:spacing w:after="0" w:line="3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2019 Compared to 2020</w:t>
      </w:r>
    </w:p>
    <w:p>
      <w:pPr>
        <w:spacing w:after="0" w:line="104"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color w:val="auto"/>
        </w:rPr>
        <w:t>Interest income and fair value adjustments, net increased $0.5 million, or 11%, in the year ended December 31, 2020, compared to the prior year. The increase was driven by a $40.4 million decline in interest income partially offset by a decline in interest expense and fair value adjustments, of $16.9 million and $28.4 million, respectively, recognized by other consolidated entities. These decreases were due to a reduction of consolidated loan balances from securitization-related VIEs caused by the deconsolidation of previously consolidated securitizations 2017-1, 2017-2, and 2018-1. The deconsolidation of these entities was a result of the expiration of the related risk retention requirements, which caused us to conclude that we are no longer a primary beneficiary of these entities. For additional details, refer to “</w:t>
      </w:r>
      <w:r>
        <w:rPr>
          <w:rFonts w:ascii="Arial" w:cs="Arial" w:eastAsia="Arial" w:hAnsi="Arial"/>
          <w:sz w:val="17"/>
          <w:szCs w:val="17"/>
          <w:i w:val="1"/>
          <w:iCs w:val="1"/>
          <w:color w:val="auto"/>
        </w:rPr>
        <w:t>Note 3. Securitizations and Variable Interest Entities</w:t>
      </w:r>
      <w:r>
        <w:rPr>
          <w:rFonts w:ascii="Arial" w:cs="Arial" w:eastAsia="Arial" w:hAnsi="Arial"/>
          <w:sz w:val="17"/>
          <w:szCs w:val="17"/>
          <w:color w:val="auto"/>
        </w:rPr>
        <w:t>” of our consolidated financial statements in Part II, Item 8 of this Form 10-K. The decrease of the total net interest income and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229"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adjustments, net was also caused by an increase of $9.4 million of fair value adjustments recognized by the operating entities. These negative adjustments were primarily due to the market changes caused by the COVID-19 pandemic. This increase was partially offset by an increase of $3.5 million of interest income in these entities. This increase was a result of an increased average loan balances held by the operating entities during these periods.</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2018 Compared to 2019</w:t>
      </w:r>
    </w:p>
    <w:p>
      <w:pPr>
        <w:spacing w:after="0" w:line="104"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auto"/>
        </w:rPr>
        <w:t>Interest income and fair value adjustments, net decreased $6.5 million, or 60%, in the year ended December 31, 2019 compared to the prior year. The decrease was primarily driven by a $19.5 million decline in interest income due to a reduction of consolidated loan balances from other consolidated entities, including securitization-related VIEs, in the year ended December 31, 2019. This reduction was primarily a result of the change in the structure of the risk retention for securitizations sponsored by the Company, which allowed the Company to conclude that it is not a primary beneficiary of securitizations completed after the first half of 2018. For additional details, refer to “</w:t>
      </w:r>
      <w:r>
        <w:rPr>
          <w:rFonts w:ascii="Arial" w:cs="Arial" w:eastAsia="Arial" w:hAnsi="Arial"/>
          <w:sz w:val="17"/>
          <w:szCs w:val="17"/>
          <w:i w:val="1"/>
          <w:iCs w:val="1"/>
          <w:color w:val="auto"/>
        </w:rPr>
        <w:t>Note 3. Securitizations and Variable Interest Entities</w:t>
      </w:r>
      <w:r>
        <w:rPr>
          <w:rFonts w:ascii="Arial" w:cs="Arial" w:eastAsia="Arial" w:hAnsi="Arial"/>
          <w:sz w:val="17"/>
          <w:szCs w:val="17"/>
          <w:color w:val="auto"/>
        </w:rPr>
        <w:t>” of our consolidated financial statements in Part II, Item 8 of this Form 10-K. This decrease was partially offset by the increase of $6.2 million in the amount of interest income recognized by the operating entities due to a higher average loan balances held by operating entities as well as the lower amount of fair value adjustments to consolidated assets held by the other consolidated entities, which decreased by $6.0 million, primarily due to a reduction of consolidated loan balances from these entities.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2018 to 2019</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2019 to 2020</w:t>
            </w:r>
          </w:p>
        </w:tc>
      </w:tr>
      <w:tr>
        <w:trPr>
          <w:trHeight w:val="223"/>
        </w:trPr>
        <w:tc>
          <w:tcPr>
            <w:tcW w:w="3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 change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bl>
    <w:p>
      <w:pPr>
        <w:spacing w:after="0" w:line="200" w:lineRule="exact"/>
        <w:rPr>
          <w:sz w:val="20"/>
          <w:szCs w:val="20"/>
          <w:color w:val="auto"/>
        </w:rPr>
      </w:pPr>
    </w:p>
    <w:p>
      <w:pPr>
        <w:spacing w:after="0" w:line="35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2019 Compared to 2020</w:t>
      </w:r>
    </w:p>
    <w:p>
      <w:pPr>
        <w:spacing w:after="0" w:line="104"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Sales and marketing expenses increased by $6.5 million, or 7%, in the year ended December 31, 2020 compared to the prior year. The increase was primarily due to a $3.0 million increase in payroll and other personnel-related expenses driven by increased headcount, as well as a $2.1 million increase in advertising and other traffic acquisition costs. As a percentage of total revenue, sales and marketing expenses decreased from 57% to 43%.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2019</w:t>
      </w:r>
    </w:p>
    <w:p>
      <w:pPr>
        <w:spacing w:after="0" w:line="117"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Sales and marketing expenses increased by $29.5 million, or 46%, in the year ended December 31, 2019 compared to the prior year. The increase was primarily due to increased spending of $26.8 million for partnerships with parties providing borrower referrals and a $1.6 million increase in payroll and other personnel-related expenses driven by increased headcount, as well as a $1.1 million increase in advertising and other traffic acquisition costs. As a percentage of total revenue, sales and marketing expenses decreased from 64% to 57%.</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Customer Operations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00"/>
        </w:trPr>
        <w:tc>
          <w:tcPr>
            <w:tcW w:w="3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2018 to 2019</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2019 to 2020</w:t>
            </w:r>
          </w:p>
        </w:tc>
      </w:tr>
      <w:tr>
        <w:trPr>
          <w:trHeight w:val="223"/>
        </w:trPr>
        <w:tc>
          <w:tcPr>
            <w:tcW w:w="3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 change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operations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62%</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51%</w:t>
            </w: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2019 Compared to 2020</w:t>
      </w:r>
    </w:p>
    <w:p>
      <w:pPr>
        <w:spacing w:after="0" w:line="104"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Customer operations expenses increased by $12.6 million, or 51%, in the year ended December 31, 2020, compared to the prior year. The increase was primarily due to an increase of $9.4 million in payroll and other personnel-related expenses due to an increase in headcount as well as increased spending of $3.1 million in information verification and platform operations due to a growing volume of loans facilitated through our platform. As a percentage of total revenue, customer operations expenses increased from 15% to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229"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2019</w:t>
      </w:r>
    </w:p>
    <w:p>
      <w:pPr>
        <w:spacing w:after="0" w:line="104"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Customer operations expenses increased by $9.5 million, or 62%, in the year ended December 31, 2019 compared to the prior year. The increase was primarily due to an increase of $5.0 million in payroll and other personnel-related expenses due to increases in headcount, as well as increased spending of $4.4 million in information verification and platform operations due to a growing volume of loans facilitated through our platform. As a percentage of total revenue, customer operations expenses decreased from 16% to 15%.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Engineering and Product Development</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00"/>
        </w:trPr>
        <w:tc>
          <w:tcPr>
            <w:tcW w:w="37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2018 to 2019</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2019 to 2020</w:t>
            </w:r>
          </w:p>
        </w:tc>
      </w:tr>
      <w:tr>
        <w:trPr>
          <w:trHeight w:val="223"/>
        </w:trPr>
        <w:tc>
          <w:tcPr>
            <w:tcW w:w="3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 change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123%</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107%</w:t>
            </w: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2019 Compared to 2020</w:t>
      </w:r>
    </w:p>
    <w:p>
      <w:pPr>
        <w:spacing w:after="0" w:line="104"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Engineering and product development expenses increased by $20.0 million, or 107%, year ended December 31, 2020, compared to the prior year. The increase was primarily due to an increase of $15.7 million in payroll and other personnel-related expenses driven by an increase in headcount, as well as a $4.3 million increase in spending on consultants and other engineering support services. As a percentage of total revenue, engineering and product development expenses increased from 11% to 17%.</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2019</w:t>
      </w:r>
    </w:p>
    <w:p>
      <w:pPr>
        <w:spacing w:after="0" w:line="104"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Engineering and product development expenses increased by $10.4 million, or 123%, in the year ended December 31, 2019 compared to the prior year. The increase was primarily due to an increase of $8.9 million in payroll and other personnel-related expenses driven by an increase in headcount, as well as a $1.5 million increase in spending on consultants and other engineering services. As a percentage of total revenue, engineering and product development expenses increased from 8% to 11%.</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General, Administrative, and Other</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2018 to 2019</w:t>
            </w: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 to 2020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 change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2019 Compared to 2020</w:t>
      </w:r>
    </w:p>
    <w:p>
      <w:pPr>
        <w:spacing w:after="0" w:line="104"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General, administrative, and other expenses increased by $13.7 million, or 43%, in the year ended December 31, 2020, compared to the prior year. The increase was primarily due to an increase of $6.2 million in personnel-related costs as a result of increased headcount; an increase of $2.3 million in office rent and other facility-related expenses due to the opening of our second headquarters in Columbus, Ohio, and relocation of our first headquarters from San Carlos, California to San Mateo, California; an increase of $1.9 million in legal and compliance-related expenses. As a percentage of total revenue, general, administrative, and other expenses increased from 19% to 20%.</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2018 Compared to 2019</w:t>
      </w:r>
    </w:p>
    <w:p>
      <w:pPr>
        <w:spacing w:after="0" w:line="104"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6"/>
          <w:szCs w:val="16"/>
          <w:color w:val="auto"/>
        </w:rPr>
        <w:t>General, administrative, and other expenses increased by $12.0 million, or 61%, in the year ended December 31, 2019 compared to the prior year. The increase was primarily due to an increase of $6.0 million in personnel-related costs as a result of increased headcount; an increase of $2.6 million in office rent and other facility-related expenses due to the opening of our second headquarters in Columbus, Ohio, and relocation of our first headquarters from San Carlos, California to San Mateo, California; an increase of $1.1 million in legal and compliance-related expenses; and an increase of $1.0 million in professional services fees. As a percentage of total revenue, general, administrative, and other expenses decreased from 20% to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229"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2018 to 2019</w:t>
            </w: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 to 2020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 change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2019 Compared to 2020</w:t>
      </w:r>
    </w:p>
    <w:p>
      <w:pPr>
        <w:spacing w:after="0" w:line="104" w:lineRule="exact"/>
        <w:rPr>
          <w:sz w:val="20"/>
          <w:szCs w:val="20"/>
          <w:color w:val="auto"/>
        </w:rPr>
      </w:pPr>
    </w:p>
    <w:p>
      <w:pPr>
        <w:jc w:val="both"/>
        <w:ind w:firstLine="551"/>
        <w:spacing w:after="0" w:line="291" w:lineRule="auto"/>
        <w:rPr>
          <w:sz w:val="20"/>
          <w:szCs w:val="20"/>
          <w:color w:val="auto"/>
        </w:rPr>
      </w:pPr>
      <w:r>
        <w:rPr>
          <w:rFonts w:ascii="Arial" w:cs="Arial" w:eastAsia="Arial" w:hAnsi="Arial"/>
          <w:sz w:val="17"/>
          <w:szCs w:val="17"/>
          <w:color w:val="auto"/>
        </w:rPr>
        <w:t>Other income increased by $4.5 million, or 436%, in the year ended December 31, 2020, compared to the prior year. The increase was primarily due to receipt of funds under the PPP, totaling $5.3 million, which was partially offset by a decrease in dividend income of $0.8 million.</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2018 Compared to 2019</w:t>
      </w:r>
    </w:p>
    <w:p>
      <w:pPr>
        <w:spacing w:after="0" w:line="104" w:lineRule="exact"/>
        <w:rPr>
          <w:sz w:val="20"/>
          <w:szCs w:val="20"/>
          <w:color w:val="auto"/>
        </w:rPr>
      </w:pPr>
    </w:p>
    <w:p>
      <w:pPr>
        <w:jc w:val="both"/>
        <w:ind w:right="20" w:firstLine="551"/>
        <w:spacing w:after="0" w:line="291" w:lineRule="auto"/>
        <w:rPr>
          <w:sz w:val="20"/>
          <w:szCs w:val="20"/>
          <w:color w:val="auto"/>
        </w:rPr>
      </w:pPr>
      <w:r>
        <w:rPr>
          <w:rFonts w:ascii="Arial" w:cs="Arial" w:eastAsia="Arial" w:hAnsi="Arial"/>
          <w:sz w:val="17"/>
          <w:szCs w:val="17"/>
          <w:color w:val="auto"/>
        </w:rPr>
        <w:t>Other income increased by $0.5 million, or 113%, in the year ended December 31, 2019 compared to the prior year. The increase was primarily due to an increase in unrestricted cash balances held in interest-bearing deposit accounts throughout the year at commercial banks.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4"/>
              </w:rPr>
              <w:t>Expense on Warrants and Other Non-operating Expenses, Net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2018 to 2019</w:t>
            </w: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 to 2020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change</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Expense on warrants and other non-operating</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net</w:t>
            </w:r>
          </w:p>
        </w:tc>
        <w:tc>
          <w:tcPr>
            <w:tcW w:w="3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2019 Compared to 2020</w:t>
      </w:r>
    </w:p>
    <w:p>
      <w:pPr>
        <w:spacing w:after="0" w:line="104"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Expense on warrants and other non-operating expenses, net increased by $10.0 million, or 708%, in the year ended December 31, 2020, compared to the prior year. The increase was primarily a result of a $5.9 million increase in the fair value of convertible preferred stock warrants and $4.1 million increase in the fair value of common stock warrants driven by the increase in the fair value of our common stock.</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2018 Compared to 2019</w:t>
      </w:r>
    </w:p>
    <w:p>
      <w:pPr>
        <w:spacing w:after="0" w:line="104"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Expense on warrants and other non-operating expenses, net decreased by $2.3 million, or 62%, in the year ended December 31, 2019 compared to the prior year. The decrease was primarily due to a decrease of $2.1 million in the fair value of outstanding convertible preferred stock warrants as a result of warrants exercised or repurchased and retired during the year, and a decrease in interest expense on convertible notes of $0.7 million as the convertible notes were converted into convertible preferred stock in the year ended December 31, 2018. The decrease was partially offset by an increase of $0.5 million in the fair value of common stock warrants.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7"/>
          <w:szCs w:val="17"/>
          <w:color w:val="auto"/>
        </w:rPr>
        <w:t>To supplement our consolidated financial statements prepared and presented in accordance with GAAP, we use the non-GAAP financial measures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201"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22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measures should be viewed as supplementing, and not as an alternative or substitute for, our consolidated financial statements prepared and presented in accordance with GAAP.</w:t>
      </w:r>
    </w:p>
    <w:p>
      <w:pPr>
        <w:spacing w:after="0" w:line="198"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7"/>
          <w:szCs w:val="17"/>
          <w:color w:val="auto"/>
        </w:rPr>
        <w:t>To address these limitations, we provide a reconciliation of Contribution Profit, Contribution Margin, Adjusted EBITDA, Adjusted EBITDA Margin, and Adjusted Net Income (Loss) and Adjusted Net Income (Loss) Per Share to loss from operations and net loss attributable to Upstart Holdings, Inc. common stockholders,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104"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We use Contribution Profit and Contribution Margin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is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2" w:lineRule="exact"/>
        <w:rPr>
          <w:sz w:val="20"/>
          <w:szCs w:val="20"/>
          <w:color w:val="auto"/>
        </w:rPr>
      </w:pPr>
    </w:p>
    <w:p>
      <w:pPr>
        <w:jc w:val="both"/>
        <w:ind w:firstLine="551"/>
        <w:spacing w:after="0" w:line="239" w:lineRule="auto"/>
        <w:rPr>
          <w:sz w:val="20"/>
          <w:szCs w:val="20"/>
          <w:color w:val="auto"/>
        </w:rPr>
      </w:pPr>
      <w:r>
        <w:rPr>
          <w:rFonts w:ascii="Arial" w:cs="Arial" w:eastAsia="Arial" w:hAnsi="Arial"/>
          <w:sz w:val="18"/>
          <w:szCs w:val="18"/>
          <w:color w:val="auto"/>
        </w:rPr>
        <w:t>Contribution Profit and Contribution Margin have limitations as an analytical tool, and you should not consider in isolation or as a substitute for analysis of our results as reported under GAAP. Contribution Profit and Contribution Margin are not a GAAP financial measure of, nor does it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does not reflect all of our variable expenses and involves some judgment and discretion around what costs vary directly with loan volume. Other companies that present Contribution Profit and Contribution Margin calculate it differently and, therefore, similarly titled measures presented by other companies may not be directly comparable to ours.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reconciliation of income (loss) from operations to Contribution Profit and Contribution Margin: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11,765</w:t>
            </w:r>
          </w:p>
        </w:tc>
      </w:tr>
      <w:tr>
        <w:trPr>
          <w:trHeight w:val="229"/>
        </w:trPr>
        <w:tc>
          <w:tcPr>
            <w:tcW w:w="6400" w:type="dxa"/>
            <w:vAlign w:val="bottom"/>
          </w:tcPr>
          <w:p>
            <w:pPr>
              <w:ind w:left="20"/>
              <w:spacing w:after="0" w:line="230" w:lineRule="exact"/>
              <w:rPr>
                <w:sz w:val="20"/>
                <w:szCs w:val="20"/>
                <w:color w:val="auto"/>
              </w:rPr>
            </w:pPr>
            <w:r>
              <w:rPr>
                <w:rFonts w:ascii="Arial" w:cs="Arial" w:eastAsia="Arial" w:hAnsi="Arial"/>
                <w:sz w:val="18"/>
                <w:szCs w:val="18"/>
                <w:color w:val="auto"/>
              </w:rPr>
              <w:t>Sales and marketing, net of borrower acquisition costs</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3,606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7,959</w:t>
            </w:r>
          </w:p>
        </w:tc>
      </w:tr>
      <w:tr>
        <w:trPr>
          <w:trHeight w:val="230"/>
        </w:trPr>
        <w:tc>
          <w:tcPr>
            <w:tcW w:w="6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Customer operations, net of borrower verification and servicing costs</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5,769</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Engineering and product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18,777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38,802</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31,865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45,609</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(4,816)</w:t>
            </w:r>
          </w:p>
        </w:tc>
      </w:tr>
      <w:tr>
        <w:trPr>
          <w:trHeight w:val="223"/>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Contribution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48,940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105,088</w:t>
            </w:r>
          </w:p>
        </w:tc>
      </w:tr>
      <w:tr>
        <w:trPr>
          <w:trHeight w:val="209"/>
        </w:trPr>
        <w:tc>
          <w:tcPr>
            <w:tcW w:w="6400" w:type="dxa"/>
            <w:vAlign w:val="bottom"/>
          </w:tcPr>
          <w:p>
            <w:pPr>
              <w:ind w:left="240"/>
              <w:spacing w:after="0"/>
              <w:rPr>
                <w:sz w:val="20"/>
                <w:szCs w:val="20"/>
                <w:color w:val="auto"/>
              </w:rPr>
            </w:pPr>
            <w:r>
              <w:rPr>
                <w:rFonts w:ascii="Arial" w:cs="Arial" w:eastAsia="Arial" w:hAnsi="Arial"/>
                <w:sz w:val="18"/>
                <w:szCs w:val="18"/>
                <w:i w:val="1"/>
                <w:iCs w:val="1"/>
                <w:color w:val="auto"/>
              </w:rPr>
              <w:t>Contribution Margin</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_______</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jc w:val="both"/>
        <w:ind w:left="500" w:right="20" w:hanging="492"/>
        <w:spacing w:after="0" w:line="241" w:lineRule="auto"/>
        <w:tabs>
          <w:tab w:leader="none" w:pos="4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Borrower acquisition costs were $61.7 million, $89.6 million and $91.7 million for the years ended December 31, 2018, 2019 and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Arial" w:cs="Arial" w:eastAsia="Arial" w:hAnsi="Arial"/>
          <w:sz w:val="14"/>
          <w:szCs w:val="14"/>
          <w:color w:val="auto"/>
        </w:rPr>
      </w:pPr>
    </w:p>
    <w:p>
      <w:pPr>
        <w:jc w:val="both"/>
        <w:ind w:left="500" w:hanging="492"/>
        <w:spacing w:after="0" w:line="246" w:lineRule="auto"/>
        <w:tabs>
          <w:tab w:leader="none" w:pos="4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Borrower verification and servicing costs were $13.7 million, $21.3 million and $31.8 million the years ended December 31, 2018, 2019 and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229"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7" w:lineRule="exact"/>
        <w:rPr>
          <w:sz w:val="20"/>
          <w:szCs w:val="20"/>
          <w:color w:val="auto"/>
        </w:rPr>
      </w:pPr>
    </w:p>
    <w:p>
      <w:pPr>
        <w:ind w:firstLine="567"/>
        <w:spacing w:after="0" w:line="261" w:lineRule="auto"/>
        <w:rPr>
          <w:sz w:val="20"/>
          <w:szCs w:val="20"/>
          <w:color w:val="auto"/>
        </w:rPr>
      </w:pPr>
      <w:r>
        <w:rPr>
          <w:rFonts w:ascii="Arial" w:cs="Arial" w:eastAsia="Arial" w:hAnsi="Arial"/>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63" w:lineRule="exact"/>
        <w:rPr>
          <w:sz w:val="20"/>
          <w:szCs w:val="20"/>
          <w:color w:val="auto"/>
        </w:rPr>
      </w:pPr>
    </w:p>
    <w:p>
      <w:pPr>
        <w:jc w:val="both"/>
        <w:ind w:left="980" w:hanging="324"/>
        <w:spacing w:after="0" w:line="24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73"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and Adjusted EBITDA Margin eliminates the impact of certain items such as stock-based compensation expense and warrant expense that may obscure trends in the underlying performance of our business; and</w:t>
      </w:r>
    </w:p>
    <w:p>
      <w:pPr>
        <w:spacing w:after="0" w:line="62" w:lineRule="exact"/>
        <w:rPr>
          <w:rFonts w:ascii="Arial" w:cs="Arial" w:eastAsia="Arial" w:hAnsi="Arial"/>
          <w:sz w:val="18"/>
          <w:szCs w:val="18"/>
          <w:color w:val="auto"/>
        </w:rPr>
      </w:pPr>
    </w:p>
    <w:p>
      <w:pPr>
        <w:ind w:left="980" w:hanging="324"/>
        <w:spacing w:after="0" w:line="324" w:lineRule="auto"/>
        <w:tabs>
          <w:tab w:leader="none" w:pos="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provides consistency and comparability with our past financial performance, and facilitates comparisons with other companies, many of which use similar non-GAAP financial measures to supplement their GAAP results.</w:t>
      </w:r>
    </w:p>
    <w:p>
      <w:pPr>
        <w:spacing w:after="0" w:line="151" w:lineRule="exact"/>
        <w:rPr>
          <w:sz w:val="20"/>
          <w:szCs w:val="20"/>
          <w:color w:val="auto"/>
        </w:rPr>
      </w:pPr>
    </w:p>
    <w:p>
      <w:pPr>
        <w:ind w:firstLine="567"/>
        <w:spacing w:after="0" w:line="261" w:lineRule="auto"/>
        <w:rPr>
          <w:sz w:val="20"/>
          <w:szCs w:val="20"/>
          <w:color w:val="auto"/>
        </w:rPr>
      </w:pPr>
      <w:r>
        <w:rPr>
          <w:rFonts w:ascii="Arial" w:cs="Arial" w:eastAsia="Arial" w:hAnsi="Arial"/>
          <w:sz w:val="18"/>
          <w:szCs w:val="18"/>
          <w:color w:val="auto"/>
        </w:rPr>
        <w:t>Our use of Adjusted EBITDA and Adjusted EBITDA Margin has limitations as an analytical tool, and you should not consider these measures in isolation or as a substitute for analysis of our financial results as reported under GAAP. Some of these limitations are as follows:</w:t>
      </w:r>
    </w:p>
    <w:p>
      <w:pPr>
        <w:spacing w:after="0" w:line="63" w:lineRule="exact"/>
        <w:rPr>
          <w:sz w:val="20"/>
          <w:szCs w:val="20"/>
          <w:color w:val="auto"/>
        </w:rPr>
      </w:pPr>
    </w:p>
    <w:p>
      <w:pPr>
        <w:jc w:val="both"/>
        <w:ind w:left="980" w:hanging="324"/>
        <w:spacing w:after="0" w:line="248"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980" w:hanging="324"/>
        <w:spacing w:after="0" w:line="291" w:lineRule="auto"/>
        <w:tabs>
          <w:tab w:leader="none" w:pos="9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stock-based compensation expense, which has been, and will continue to be for the foreseeable future, a significant recurring expense for our business and an important part of our compensation strategy;</w:t>
      </w:r>
    </w:p>
    <w:p>
      <w:pPr>
        <w:spacing w:after="0" w:line="38" w:lineRule="exact"/>
        <w:rPr>
          <w:rFonts w:ascii="Arial" w:cs="Arial" w:eastAsia="Arial" w:hAnsi="Arial"/>
          <w:sz w:val="17"/>
          <w:szCs w:val="17"/>
          <w:color w:val="auto"/>
        </w:rPr>
      </w:pPr>
    </w:p>
    <w:p>
      <w:pPr>
        <w:jc w:val="both"/>
        <w:ind w:left="980" w:hanging="324"/>
        <w:spacing w:after="0" w:line="248"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and Adjusted EBITDA Margin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73"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09"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loss attributable to Upstart Holdings, Inc. common stockholders to Adjusted EBITDA and Adjusted EBITDA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Upstart Holdings, Inc. common stockholders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11,513</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 on warrants and other non-operating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5,595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31,509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i w:val="1"/>
                <w:iCs w:val="1"/>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_________</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80" w:hanging="472"/>
        <w:spacing w:after="0"/>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fair value adjustments to our warrant liability and interest expense on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229" w:right="339"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Net Income (Loss) Per Share</w:t>
      </w:r>
    </w:p>
    <w:p>
      <w:pPr>
        <w:spacing w:after="0" w:line="252" w:lineRule="exact"/>
        <w:rPr>
          <w:sz w:val="20"/>
          <w:szCs w:val="20"/>
          <w:color w:val="auto"/>
        </w:rPr>
      </w:pPr>
    </w:p>
    <w:p>
      <w:pPr>
        <w:jc w:val="both"/>
        <w:ind w:left="100" w:firstLine="648"/>
        <w:spacing w:after="0" w:line="301" w:lineRule="auto"/>
        <w:rPr>
          <w:sz w:val="20"/>
          <w:szCs w:val="20"/>
          <w:color w:val="auto"/>
        </w:rPr>
      </w:pPr>
      <w:r>
        <w:rPr>
          <w:rFonts w:ascii="Arial" w:cs="Arial" w:eastAsia="Arial" w:hAnsi="Arial"/>
          <w:sz w:val="16"/>
          <w:szCs w:val="16"/>
          <w:color w:val="auto"/>
        </w:rPr>
        <w:t>We define Adjusted Net Income (Loss) as net income (loss) exclusive of stock-based compensation expense.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Upstart Holdings, Inc. common stockholders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17,496</w:t>
            </w:r>
          </w:p>
        </w:tc>
      </w:tr>
      <w:tr>
        <w:trPr>
          <w:trHeight w:val="250"/>
        </w:trPr>
        <w:tc>
          <w:tcPr>
            <w:tcW w:w="6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Adjusted net income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14,128,183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14,335,611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17,513,670</w:t>
            </w: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72,336,672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76,098,275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00" w:firstLine="567"/>
        <w:spacing w:after="0" w:line="241" w:lineRule="auto"/>
        <w:rPr>
          <w:sz w:val="20"/>
          <w:szCs w:val="20"/>
          <w:color w:val="auto"/>
        </w:rPr>
      </w:pPr>
      <w:r>
        <w:rPr>
          <w:rFonts w:ascii="Arial" w:cs="Arial" w:eastAsia="Arial" w:hAnsi="Arial"/>
          <w:sz w:val="18"/>
          <w:szCs w:val="18"/>
          <w:color w:val="auto"/>
        </w:rPr>
        <w:t>Since inception, we have financed our operations, corporate investments, and capital expenditures primarily through the sale of convertible preferred stock, term loans and draws on our revolving credit facilities, and cash generated from operations. We have also periodically issued convertible promissory notes, none of which were outstanding as of December 31, 2020. In December 2020, we completed our IPO which resulted in $167.4 million of proceeds, net of underwriting discounts, and before deducting deferred offering costs of $7.9 million. Deferred offering costs consisted primarily of incremental accounting, legal, and other fees related to the IPO.</w:t>
      </w:r>
    </w:p>
    <w:p>
      <w:pPr>
        <w:spacing w:after="0" w:line="216" w:lineRule="exact"/>
        <w:rPr>
          <w:sz w:val="20"/>
          <w:szCs w:val="20"/>
          <w:color w:val="auto"/>
        </w:rPr>
      </w:pPr>
    </w:p>
    <w:p>
      <w:pPr>
        <w:jc w:val="both"/>
        <w:ind w:left="100" w:firstLine="551"/>
        <w:spacing w:after="0" w:line="243" w:lineRule="auto"/>
        <w:rPr>
          <w:sz w:val="20"/>
          <w:szCs w:val="20"/>
          <w:color w:val="auto"/>
        </w:rPr>
      </w:pPr>
      <w:r>
        <w:rPr>
          <w:rFonts w:ascii="Arial" w:cs="Arial" w:eastAsia="Arial" w:hAnsi="Arial"/>
          <w:sz w:val="18"/>
          <w:szCs w:val="18"/>
          <w:color w:val="auto"/>
        </w:rPr>
        <w:t>Our outstanding debt consists of borrowings from term loan agreements, advances on our revolving credit facilities, including our warehouse credit facilities, and amounts borrowed under loan and security agreements to finance risk retention balances for certain unconsolidated securitizations we sponsor. As of December 31, 2020, we had an aggregate principal balance of $62.7 million outstanding, of which $20.5 million is due within the next 12 months. See “</w:t>
      </w:r>
      <w:r>
        <w:rPr>
          <w:rFonts w:ascii="Arial" w:cs="Arial" w:eastAsia="Arial" w:hAnsi="Arial"/>
          <w:sz w:val="18"/>
          <w:szCs w:val="18"/>
          <w:i w:val="1"/>
          <w:iCs w:val="1"/>
          <w:color w:val="auto"/>
        </w:rPr>
        <w:t>Note 7. Borrowings</w:t>
      </w:r>
      <w:r>
        <w:rPr>
          <w:rFonts w:ascii="Arial" w:cs="Arial" w:eastAsia="Arial" w:hAnsi="Arial"/>
          <w:sz w:val="18"/>
          <w:szCs w:val="18"/>
          <w:color w:val="auto"/>
        </w:rPr>
        <w:t>” in Part II, Item 8 of this Form 10-K for further information.</w:t>
      </w:r>
    </w:p>
    <w:p>
      <w:pPr>
        <w:spacing w:after="0" w:line="215" w:lineRule="exact"/>
        <w:rPr>
          <w:sz w:val="20"/>
          <w:szCs w:val="20"/>
          <w:color w:val="auto"/>
        </w:rPr>
      </w:pPr>
    </w:p>
    <w:p>
      <w:pPr>
        <w:jc w:val="both"/>
        <w:ind w:left="100" w:firstLine="551"/>
        <w:spacing w:after="0" w:line="259" w:lineRule="auto"/>
        <w:rPr>
          <w:sz w:val="20"/>
          <w:szCs w:val="20"/>
          <w:color w:val="auto"/>
        </w:rPr>
      </w:pPr>
      <w:r>
        <w:rPr>
          <w:rFonts w:ascii="Arial" w:cs="Arial" w:eastAsia="Arial" w:hAnsi="Arial"/>
          <w:sz w:val="17"/>
          <w:szCs w:val="17"/>
          <w:color w:val="auto"/>
        </w:rPr>
        <w:t>As of December 31, 2020, our primary source of liquidity was cash of $250.8 million. Changes in the balance of cash are generally a result of working capital fluctuations or the timing of purchases of loans facilitated through our platform. To finance purchases of certain loans facilitated through our platform, we rely on our warehouse credit facility, which allows us to borrow up to an aggregate of $100.0 million through the special-purpose trust, or the warehouse trust. Loans purchased by the trust are classified as held-for-sale and can be sold to third-party investors or in securitization transactions to generate additional liquidity. As of December 31, 2020, the amount borrowed under this credit facility was $35.0 million.</w:t>
      </w:r>
    </w:p>
    <w:p>
      <w:pPr>
        <w:spacing w:after="0" w:line="201" w:lineRule="exact"/>
        <w:rPr>
          <w:sz w:val="20"/>
          <w:szCs w:val="20"/>
          <w:color w:val="auto"/>
        </w:rPr>
      </w:pPr>
    </w:p>
    <w:p>
      <w:pPr>
        <w:jc w:val="both"/>
        <w:ind w:left="100" w:firstLine="551"/>
        <w:spacing w:after="0" w:line="261" w:lineRule="auto"/>
        <w:rPr>
          <w:sz w:val="20"/>
          <w:szCs w:val="20"/>
          <w:color w:val="auto"/>
        </w:rPr>
      </w:pPr>
      <w:r>
        <w:rPr>
          <w:rFonts w:ascii="Arial" w:cs="Arial" w:eastAsia="Arial" w:hAnsi="Arial"/>
          <w:sz w:val="18"/>
          <w:szCs w:val="18"/>
          <w:color w:val="auto"/>
        </w:rPr>
        <w:t>We believe that our cash on hand, funds available from our revolving credit facilities, amounts borrowed under our term loans, and our cash flow from operations will be sufficient to meet our liquidity needs for at least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20" w:top="22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next 12 months. Our future capital requirements will depend on multiple factors, including our revenue growth, working capital requirements, volume of loan purchases for product development purposes and our capital expenditures.</w:t>
      </w:r>
    </w:p>
    <w:p>
      <w:pPr>
        <w:spacing w:after="0" w:line="198"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To the extent our cash balances, cash generated by operations, revolving credit facilities, term loans and the proceeds from our IPO are insufficient to satisfy our liquidity needs in the future, we may need to raise additional capital through equity or debt financing and may not be able to do so on terms acceptable to us or at all. If we are unable to raise additional capital when needed, our results of operations and financial condition would be materially and adversely impacted.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104"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In 2016, we, along with our wholly owned subsidiary, Upstart Network, Inc., or UNI, as the co-borrower, entered into a loan and security agreement, or LSA, with a third-party lender to obtain a term loan of $5.5 million. The term loan matured on December 1, 2020 and the Company paid in full the outstanding principal and the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1689735</wp:posOffset>
            </wp:positionH>
            <wp:positionV relativeFrom="paragraph">
              <wp:posOffset>-71755</wp:posOffset>
            </wp:positionV>
            <wp:extent cx="28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4"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In 2018, we entered into a mezzanine loan and security agreement with the same lender to obtain a second term loan of up to $15.0 million, or the Mezzanine Loan. The Mezzanine Loan bears interest at the greater of prime rate plus 5.25% or 10.00% per annum and matures on October 1, 2021. As of December 31, 2020, the outstanding principal balance of the Mezzanine Loan was $15.0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04" w:lineRule="exact"/>
        <w:rPr>
          <w:sz w:val="20"/>
          <w:szCs w:val="20"/>
          <w:color w:val="auto"/>
        </w:rPr>
      </w:pPr>
    </w:p>
    <w:p>
      <w:pPr>
        <w:jc w:val="both"/>
        <w:ind w:firstLine="551"/>
        <w:spacing w:after="0" w:line="239" w:lineRule="auto"/>
        <w:rPr>
          <w:sz w:val="20"/>
          <w:szCs w:val="20"/>
          <w:color w:val="auto"/>
        </w:rPr>
      </w:pPr>
      <w:r>
        <w:rPr>
          <w:rFonts w:ascii="Arial" w:cs="Arial" w:eastAsia="Arial" w:hAnsi="Arial"/>
          <w:sz w:val="18"/>
          <w:szCs w:val="18"/>
          <w:color w:val="auto"/>
        </w:rPr>
        <w:t>Our revolving credit facility has an aggregate credit limit of $5.5 million and as of December 31, 2020, we were fully drawn on such facility. During the year ended December 31, 2020, the parties agreed to extend the maturity date from June 1, 2020 to June 1, 2021 when the outstanding principal and any accrued and unpaid interest are due and payable in full. Our revolving credit facility bears floating interest rates, payable on a monthly basis, and contains certain financial covenants. Failure to comply with these covenants may result in an acceleration of payment on the outstanding principal and accrued interest. Borrowings under the revolving credit facility are secured by all assets of the company, excluding assets of consolidated securitizations and cash and restricted cash related to other borrowing arrangements. As of December 31, 2019 and 2020, we were in compliance with the applicable covenants under our revolving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have entered into two warehouse credit facilities with separate third-party lenders through our warehouse trusts, which are consolidated VIEs. On November 2, 2020, we repaid all outstanding borrowings under one of our warehouse credit facilities in the amount of $4.0 million and terminated the corresponding warehouse credit facility. The remaining warehouse facility is used to fund purchases of personal whole loans originated by certain bank partners on our platform; the assets of the warehouse trust secure the borrowings provided by the warehouse lender and are not available to settle claims of our general creditors. In May 2020, the maturity date of this credit facility, with a borrowing limit of $100.0 million, was extended to May 2022 when repayment of any outstanding principal, together with any accrued interest and unpaid interest, is due and payable. As of December 31, 2020, we have borrowed $35.0 million under this warehouse credit facility and may continue to borrow under this warehouse credit facility until May 2021. Our warehouse credit facility bears floating interest rates, payable on a monthly basis, and contain certain financial covenants. Failure to comply with these covenants may result in an acceleration of payment on outstanding principal and accrued interest. As of December 31, 2019 and 2020, we were in compliance with the applicable covenants under our remaining warehouse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Funding Loans</w:t>
      </w:r>
    </w:p>
    <w:p>
      <w:pPr>
        <w:spacing w:after="0" w:line="104"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We obtained financing under two loan and security agreements to fund the purchase of securitization notes and residual certificates issued by certain of our consolidated VIEs in our sponsored securitization transactions. These purchases were made in the amounts required to satisfy the requirements of U.S. risk retention regulations. The loans under these agreements bear interest at rates of 4.00% and 4.33% per annum. Interest is paid using cash distributions received monthly on the related securitization notes and residual certificates held by these entities. As of December 31, 2020, the aggregate outstanding principal amount of these loans was $7.2 million.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22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borrowings are solely obligations of these consolidated VIEs and are not available to satisfy potential claims of our creditors.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560"/>
              <w:spacing w:after="0"/>
              <w:rPr>
                <w:sz w:val="20"/>
                <w:szCs w:val="20"/>
                <w:color w:val="auto"/>
              </w:rPr>
            </w:pPr>
            <w:r>
              <w:rPr>
                <w:rFonts w:ascii="Arial" w:cs="Arial" w:eastAsia="Arial" w:hAnsi="Arial"/>
                <w:sz w:val="18"/>
                <w:szCs w:val="18"/>
                <w:color w:val="auto"/>
              </w:rPr>
              <w:t>The following table summarizes our cash flows during the years indicated: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37"/>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136,517</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79,052</w:t>
            </w:r>
          </w:p>
        </w:tc>
      </w:tr>
      <w:tr>
        <w:trPr>
          <w:trHeight w:val="223"/>
        </w:trPr>
        <w:tc>
          <w:tcPr>
            <w:tcW w:w="6720" w:type="dxa"/>
            <w:vAlign w:val="bottom"/>
          </w:tcPr>
          <w:p>
            <w:pPr>
              <w:ind w:left="240"/>
              <w:spacing w:after="0"/>
              <w:rPr>
                <w:sz w:val="20"/>
                <w:szCs w:val="20"/>
                <w:color w:val="auto"/>
              </w:rPr>
            </w:pPr>
            <w:r>
              <w:rPr>
                <w:rFonts w:ascii="Arial" w:cs="Arial" w:eastAsia="Arial" w:hAnsi="Arial"/>
                <w:sz w:val="18"/>
                <w:szCs w:val="18"/>
                <w:color w:val="auto"/>
              </w:rPr>
              <w:t>Net increase (decrease) in cash and restricted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231,266</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104"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Our main sources of cash provided by operating activities are our revenue from fees earned under contracts with bank partners and loan investors and interest income we receive for loans held on our balance sheet.</w:t>
      </w:r>
    </w:p>
    <w:p>
      <w:pPr>
        <w:spacing w:after="0" w:line="198" w:lineRule="exact"/>
        <w:rPr>
          <w:sz w:val="20"/>
          <w:szCs w:val="20"/>
          <w:color w:val="auto"/>
        </w:rPr>
      </w:pPr>
    </w:p>
    <w:p>
      <w:pPr>
        <w:jc w:val="both"/>
        <w:ind w:right="20" w:firstLine="551"/>
        <w:spacing w:after="0" w:line="261" w:lineRule="auto"/>
        <w:rPr>
          <w:sz w:val="20"/>
          <w:szCs w:val="20"/>
          <w:color w:val="auto"/>
        </w:rPr>
      </w:pPr>
      <w:r>
        <w:rPr>
          <w:rFonts w:ascii="Arial" w:cs="Arial" w:eastAsia="Arial" w:hAnsi="Arial"/>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98"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Net cash provided by operating activities was $15.7 million for the year ended December 31, 2020, which primarily consisted of a $32.1 million change in net operating assets and liabilities, offset by a change in fair value of financial instruments of $29.0 million, stock-based compensation of $11.5 million and net income before attribution to noncontrolling interests of $5.6 million. The change in fair value of financial instruments was primarily due to a $19.1 million decrease in the fair value of loans and a $6.5 million an increase in the fair value of preferred stock liabilities. The change in net operating assets and liabilities was mainly related to a $116.1 million increase in purchases of loans held-for-sale, partially offset by $47.6 million of net proceeds from loans held-for-sale and $19.4 million increase in payable to investors.</w:t>
      </w:r>
    </w:p>
    <w:p>
      <w:pPr>
        <w:spacing w:after="0" w:line="202"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Net cash provided by operating activities was $31.6 million for the year ended December 31, 2019, which primarily consisted of a net loss before attribution to noncontrolling interests of $5.0 million, offset by a change in fair value of financial instruments of $34.7 million. The change in fair value of financial instruments was primarily related to a $42.1 million decrease in the fair value of loans held-for-investment, partially offset by a $6.1 million decrease in the fair value of payable to securitization note holders and residual certificate holders.</w:t>
      </w:r>
    </w:p>
    <w:p>
      <w:pPr>
        <w:spacing w:after="0" w:line="215"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Net cash provided by operating activities was $50.3 million for the year ended December 31, 2018, which primarily consisted of a net loss before attribution to noncontrolling interests of $11.2 million, offset by a change in fair value of financial instruments of $42.3 million and a $14.0 million change in net operating assets and liabilities. The change in fair value of financial instruments was primarily related to a $45.8 million decrease in the fair value of loans held-for-investment. The change in net operating assets and liabilities was mainly related to a $14.1 million increase in payable to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104"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Our primary sources of cash from investing activities are principal repayments received on loans held-for-investment through credit facilities and held by consolidated securitizations, proceeds from the sale of loans and payments on residual certificates held for risk retention purposes in sponsored securitizations.</w:t>
      </w:r>
    </w:p>
    <w:p>
      <w:pPr>
        <w:spacing w:after="0" w:line="209"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The primary use of cash for investing activities includes purchases of loans held-for investment, including loans collateralized in consolidated securitizations, as well as purchases of securitization notes and residual certificates to fulfill risk retention requirements in securitizations we have sponsored in the past.</w:t>
      </w:r>
    </w:p>
    <w:p>
      <w:pPr>
        <w:spacing w:after="0" w:line="209"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Net cash provided by investing activities was $136.5 million for the year ended December 31, 2020 as a result of $97.3 million of net proceeds from sale of loans and $39.8 million of principal payments received for loans.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40"/>
          </w:cols>
          <w:pgMar w:left="320" w:top="229"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Net cash provided by investing activities was $45.4 million for the year ended December 31, 2019 as a result of $207.0 million of principal payments received on loans and $100.7 million in net proceeds from the sale of loans, which were partially offset by $265.3 million in purchase of loans held-for-investment.</w:t>
      </w:r>
    </w:p>
    <w:p>
      <w:pPr>
        <w:spacing w:after="0" w:line="209" w:lineRule="exact"/>
        <w:rPr>
          <w:sz w:val="20"/>
          <w:szCs w:val="20"/>
          <w:color w:val="auto"/>
        </w:rPr>
      </w:pPr>
    </w:p>
    <w:p>
      <w:pPr>
        <w:jc w:val="both"/>
        <w:ind w:firstLine="551"/>
        <w:spacing w:after="0" w:line="291" w:lineRule="auto"/>
        <w:rPr>
          <w:sz w:val="20"/>
          <w:szCs w:val="20"/>
          <w:color w:val="auto"/>
        </w:rPr>
      </w:pPr>
      <w:r>
        <w:rPr>
          <w:rFonts w:ascii="Arial" w:cs="Arial" w:eastAsia="Arial" w:hAnsi="Arial"/>
          <w:sz w:val="17"/>
          <w:szCs w:val="17"/>
          <w:color w:val="auto"/>
        </w:rPr>
        <w:t>Net cash used in investing activities was $137.2 million for the year ended December 31, 2018 as a result of $421.1 million in purchases of loans, which was partially offset by $238.0 million in principal payments received on loans and $$45.7 million in net proceeds from the sale of loans.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104" w:lineRule="exact"/>
        <w:rPr>
          <w:sz w:val="20"/>
          <w:szCs w:val="20"/>
          <w:color w:val="auto"/>
        </w:rPr>
      </w:pPr>
    </w:p>
    <w:p>
      <w:pPr>
        <w:jc w:val="both"/>
        <w:ind w:firstLine="551"/>
        <w:spacing w:after="0" w:line="291" w:lineRule="auto"/>
        <w:rPr>
          <w:sz w:val="20"/>
          <w:szCs w:val="20"/>
          <w:color w:val="auto"/>
        </w:rPr>
      </w:pPr>
      <w:r>
        <w:rPr>
          <w:rFonts w:ascii="Arial" w:cs="Arial" w:eastAsia="Arial" w:hAnsi="Arial"/>
          <w:sz w:val="17"/>
          <w:szCs w:val="17"/>
          <w:color w:val="auto"/>
        </w:rPr>
        <w:t>The main sources of cash from financing activities include proceeds from issuance of securitization notes and residual certificates from consolidated securitizations, proceeds from borrowings, and proceeds from the issuance of convertible preferred stock, and notes payable.</w:t>
      </w:r>
    </w:p>
    <w:p>
      <w:pPr>
        <w:spacing w:after="0" w:line="282"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The primary uses of cash for financing activities include payments made to holders of securitization notes and residual certificates for consolidated securitizations and repayments of notes payable and borrowings.</w:t>
      </w:r>
    </w:p>
    <w:p>
      <w:pPr>
        <w:spacing w:after="0" w:line="198"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Net cash provided by financing activities was $79.1 million for the year ended December 31, 2020 as a result of $159.5 million IPO proceeds net of underwriting discounts and deferred offering costs and $92.1 in proceeds from borrowings, which was partially offset by $174.2 million in payment on borrowings and securitization notes and certificates.</w:t>
      </w:r>
    </w:p>
    <w:p>
      <w:pPr>
        <w:spacing w:after="0" w:line="209"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Net cash used in financing activities was $119.2 million for the year ended December 31, 2019 as a result of $199.4 million in payment on notes payable and securitization notes and certificates, which was partially offset by $43.6 million in net proceeds from borrowings and $39.9 million in proceeds from issuance of notes payable.</w:t>
      </w:r>
    </w:p>
    <w:p>
      <w:pPr>
        <w:spacing w:after="0" w:line="209"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Net cash provided by financing activities was $135.8 million for the year ended December 31, 2018 as a result of $285.0 million in proceeds from issuance of notes payable and securitization notes and certificates, $51.1 million in net proceeds from borrowings and $49.9 million in proceeds from the issuance of convertible preferred stock, net of issuance costs, which were partially offset by $248.2 million in payment on notes payable and securitization notes and certificates.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4"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Our principal commitments consist of obligations under our loan purchase agreements, debt obligations related to our revolving credit facilities, term loans and risk retention funding loans, and operating leases for office spaces. The following table summarizes our contractual obligations as of December 31, 2020 and the timing and effect that such commitments are expected to have on our liquidity and capital requirements in future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Less than 1 year</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1 to 3 years</w:t>
            </w:r>
          </w:p>
        </w:tc>
        <w:tc>
          <w:tcPr>
            <w:tcW w:w="8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3 to 5 years</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More than 5</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Loan purchase obligations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payments on term loans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Warehouse and revolving credit facilities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40,494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retention funding loans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125,190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500" w:hanging="492"/>
        <w:spacing w:after="0" w:line="248"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229" w:right="3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a discussion of our long-term debt obligations, operating lease obligations and loan repurchase agreement as of December 31, 2020, see “</w:t>
      </w:r>
      <w:r>
        <w:rPr>
          <w:rFonts w:ascii="Arial" w:cs="Arial" w:eastAsia="Arial" w:hAnsi="Arial"/>
          <w:sz w:val="16"/>
          <w:szCs w:val="16"/>
          <w:i w:val="1"/>
          <w:iCs w:val="1"/>
          <w:color w:val="auto"/>
        </w:rPr>
        <w:t>Note</w:t>
      </w:r>
    </w:p>
    <w:p>
      <w:pPr>
        <w:spacing w:after="0" w:line="35" w:lineRule="exact"/>
        <w:rPr>
          <w:sz w:val="20"/>
          <w:szCs w:val="20"/>
          <w:color w:val="auto"/>
        </w:rPr>
      </w:pPr>
    </w:p>
    <w:p>
      <w:pPr>
        <w:ind w:firstLine="8"/>
        <w:spacing w:after="0" w:line="243" w:lineRule="auto"/>
        <w:tabs>
          <w:tab w:leader="none" w:pos="207"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 “</w:t>
      </w:r>
      <w:r>
        <w:rPr>
          <w:rFonts w:ascii="Arial" w:cs="Arial" w:eastAsia="Arial" w:hAnsi="Arial"/>
          <w:sz w:val="18"/>
          <w:szCs w:val="18"/>
          <w:i w:val="1"/>
          <w:iCs w:val="1"/>
          <w:color w:val="auto"/>
        </w:rPr>
        <w:t>Note 11. Leases,</w:t>
      </w:r>
      <w:r>
        <w:rPr>
          <w:rFonts w:ascii="Arial" w:cs="Arial" w:eastAsia="Arial" w:hAnsi="Arial"/>
          <w:sz w:val="18"/>
          <w:szCs w:val="18"/>
          <w:color w:val="auto"/>
        </w:rPr>
        <w:t>” and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respectively, in Part II, Item 8 of this Form 10-K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jc w:val="both"/>
        <w:ind w:firstLine="551"/>
        <w:spacing w:after="0" w:line="239" w:lineRule="auto"/>
        <w:rPr>
          <w:sz w:val="20"/>
          <w:szCs w:val="20"/>
          <w:color w:val="auto"/>
        </w:rPr>
      </w:pPr>
      <w:r>
        <w:rPr>
          <w:rFonts w:ascii="Arial" w:cs="Arial" w:eastAsia="Arial" w:hAnsi="Arial"/>
          <w:sz w:val="18"/>
          <w:szCs w:val="18"/>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required by law, we retain at least 5% of the credit risk of the securities issued in these securitizations. We also engaged in activities with a personal loan trust entity created to facilitate fractional loan transactions. The fractional loan program was closed to new investments in 2019. We provide additional information regarding transactions with unconsolidated VIEs in “</w:t>
      </w:r>
      <w:r>
        <w:rPr>
          <w:rFonts w:ascii="Arial" w:cs="Arial" w:eastAsia="Arial" w:hAnsi="Arial"/>
          <w:sz w:val="18"/>
          <w:szCs w:val="18"/>
          <w:i w:val="1"/>
          <w:iCs w:val="1"/>
          <w:color w:val="auto"/>
        </w:rPr>
        <w:t>Note 3. Securitizations and Variable Interest Entitie</w:t>
      </w:r>
      <w:r>
        <w:rPr>
          <w:rFonts w:ascii="Arial" w:cs="Arial" w:eastAsia="Arial" w:hAnsi="Arial"/>
          <w:sz w:val="18"/>
          <w:szCs w:val="18"/>
          <w:color w:val="auto"/>
        </w:rPr>
        <w:t>s” in Part II, Item 8 of this Form 10-K.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The preparation of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6"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Our significant accounting policies are described in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in Part II, Item 8 of this Form 10-K. We believe that the accounting policies described below reflect our most critical accounting policies and estimates, which represent those that involve a significant degree of judgment and complexity. Accordingly, we believe these policies are critical in fully understanding and evaluating our reported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legal entity is considered a VIE if it either has a total equity investment that is insufficient to finance its operations without additional subordinated financial support or whose equity holders lack the characteristics of a controlling financial interest. Our variable interest arises from contractual, ownership, or other monetary interests in the entity. We consolidate a VIE when we are deemed to be the primary beneficiary. We determine whether we are the primary beneficiary if we have the power to direct activities that significantly impact the VIE’s economic performance and we have the obligation to absorb losses or receive benefits of the VIE that could be potentially significant to the VIE.</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apply judgment in performing this assessment, including in identifying the activities that most significantly impact a VIE’s economic performance and determining significance of our obligation to absorb losses or receive benefits. Factors considered in assessing the significance include: the design of the VIE, including its capitalization structure; subordination of interests; payment priority; relative share of interests held within the VIE’s capital structure; and the nature of or reason behind our interest in the entity.</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apply judgment to determine whether decision-maker or service-provider fees are variable interests. Decision-maker or service-provider fees are not considered variable interests when the arrangement does not expose Upstart to risks of loss that a potential VIE was designed to pass on to its variable interest holders, the fees are commensurate, the arrangement is at market, and we do not have any other interests (including direct interests and certain indirect interests held through related parties) that absorb more than an insignificant amount of a VIE’s potential variability. Changes in our level of other interests in a potential VIE, such as those resulting from disposals of investments in securitization trusts serviced by us subsequent to the expiration of applicable risk retention requirements, can affect whether a decision-maker or service-provider fee is deemed a variable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229"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determination can have a significant impact on our consolidation conclusions, as it could affect whether a legal entity is a VIE and whether Upstart is the primary beneficiary of a VIE.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a VIE’s inception, we determine whether we are the primary beneficiary based on the facts and circumstances. We assess whether or not we are the primary beneficiary of a VIE on an ongoing basis.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Upstart has an ongoing contractual relationship with one of its VIEs, Upstart Loan Trust, which is a bankruptcy-remote special purpose borrowing entity. Upstart, from time to time and as-desired, sells loans to Upstart Loan Trust pursuant to a loan sale agreement, and services those loans from the time of transfer to Upstart Loan Trust until such loans are either charged-off or mature pursuant to a loan servicing agreement. Upstart Loan Trust borrows from one bank pursuant to a revolving credit and security agreement in order to finance the purchases of the loans from Upstart.</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Upstart has also established a VIE special purpose trust, Upstart Loan Trust 2, that holds loans that have been repurchased by the Company following breaches of loan-level representations and warranties, or loans that are ineligible to finance through the warehouse trust. Upstart services the loans held by Upstart Loan Trust 2 until the loans are either charged-off or mature pursuant to a loan servicing agreement.</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connection with each securitization transaction prior to 2019-3, Upstart also established VIEs and grantor trusts pursuant to its sponsored securitization transactions involving the issuance of asset-backed securities, or ABS. Such VIEs or grantor trusts are respectively referred to elsewhere in this annual report on Form 10-K with the nomenclature Upstart Securitization Trust [Year]-[Number] and Upstart Funding Grantor Trust [Year]-[Number]. For such securitization transactions, we (along with certain other loan contributors that have previously purchased whole loans from us) sold Upstart-powered loans via a bankruptcy-remote intermediate entity to the issuing trust and then to the grantor trust. For each transaction, the grantor trust holds legal title to the loans and issues a collateral certificate representing the beneficial interest in such loans to the issuing trust. The issuing trust in turn issues various tranches of asset-backed securitization notes and certificates, which are purchased by one or more investment bank initial purchasers for resale to qualified institutional buyers and backed by the payments from the grantor trust to the issuing trust reflecting payments on the underlying securitized loans. Upstart, in addition to being party to various loan transfer agreements that facilitate the contribution of loans to the grantor trust, also services the loans held by each grantor trust from the time of transfer to the trust until the loans are charged off or mature pursuant to a loan servicing agreement.</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each sponsored securitization transaction prior to 2019-3, Upstart facilitated the creation of a majority-owned affiliate, or MOA, which is a limited liability company and VIE. The purpose of these MOAs is to enable Upstart’s compliance with its risk retention obligations as a securitization sponsor pursuant to Regulation RR. Each MOA has held the requisite amount of ABS to comply with these obligations for the length of time required by the regulation. Upstart is party to the limited liability company agreement establishing each MOA. There were no MOAs set up for securitizations subsequent to 2019-2 as Upstart has not been subject to risk retention requirements for these deals.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Upstart has also established Upstart Network Trust, a special purpose entity that purchased loans from Upstart in which individual accredited investors in turn have purchased securities representing fractional interests in such purchased loans. Upstart, in addition to being party to a transfer agreement that facilitates the contribution of loans to Upstart Network Trust, services the loans held by Upstart Network Trust from the time of transfer until the loans are charged off or mature pursuant to a loan servicing agreement. Upstart Network Trust was closed to new investments as of the end of 2019.</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Loans, Notes Receivable and Residual Certificates, and Payable to Securitization Note Holders and Residual Certificate Holders</w:t>
      </w:r>
    </w:p>
    <w:p>
      <w:pPr>
        <w:spacing w:after="0" w:line="2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elected the fair value option for loans and financial instruments related to securitization transactions, including notes receivable and residual certificates representing required risk retention for sponsored non-consolidated securitizations, and amounts payable to note holders and residual certificate holders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229"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securitizations. We believe the estimate of fair value of these financial instruments requires significant judgment. We use a discounted cash flow model to estimate the fair value of these financial instruments based on the present value of estimated future cash flows. This model uses both observable and unobservable inputs and reflects our best estimates of the assumptions a market participant would use to calculate fair value. Primary inputs that require significant judgment include discount rates, credit risk rates, and expected prepayment rates. These inputs are based on historical performance of loans facilitated through our platform, as well as the consideration of market participant requirements. See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in Part II, Item 8 of this Form 10-K 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Loan Servicing Assets and Liabilities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also record loan servicing assets and liabilities at estimated fair value when we transfer loans which qualify as sales under Topic 860, Transfers and Servicing with servicing rights retained or when we enter into servicing agreements with banks partners that retain Upstart-powered loans. Loan servicing assets and liabilities are reported in other assets and accrued expenses and other liabilities on our consolidated balance sheets. The gain or loss on loan sale, as well as changes in the fair value of loan servicing assets and liabilities are reported in revenue from fees, net, on our consolidated statements of operations and comprehensive income (loss) in the period in which the changes occur. We use a discounted cash flow model to estimate the fair values of loan servicing assets and liabilities. The cash flows in the valuation model represent the difference between the servicing fees charged to loan investors and an estimated market servicing fee. Since servicing fees are generally based on the monthly unpaid principal balance of the underlying loans, the expected cash flows in the model incorporate estimated credit risk and expected prepayments on the loans. These inputs are consistent with the assumptions used in the valuation of loans held-for-investment and related securitization notes and residual certificates. See “</w:t>
      </w:r>
      <w:r>
        <w:rPr>
          <w:rFonts w:ascii="Arial" w:cs="Arial" w:eastAsia="Arial" w:hAnsi="Arial"/>
          <w:sz w:val="17"/>
          <w:szCs w:val="17"/>
          <w:i w:val="1"/>
          <w:iCs w:val="1"/>
          <w:color w:val="auto"/>
        </w:rPr>
        <w:t>Note 4. Fair Value Measurement</w:t>
      </w:r>
      <w:r>
        <w:rPr>
          <w:rFonts w:ascii="Arial" w:cs="Arial" w:eastAsia="Arial" w:hAnsi="Arial"/>
          <w:sz w:val="17"/>
          <w:szCs w:val="17"/>
          <w:color w:val="auto"/>
        </w:rPr>
        <w:t>” in Part II, Item 8 of this Form 10-K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consists of two components: revenue from fees, net and interest income and fair value adjustments,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revenue from fees, net line item on the consolidated statements of operations is primarily comprised of platform and referral fees, net, which are recognized based on Accounting Standards Update, or ASU, 2014-09, Revenue from Contracts with Customers (Topic 606). We adopted Topic 606 as of January 1, 2019, using the modified retrospective method for all contracts not completed as of the date of adoption. The adoption of Topic 606 had no material impact on our consolidated balance sheets, consolidated statement of operations and comprehensive income (loss) and consolidated statement of cash flows as of the adoption date or for the year ended December 31, 2019.</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Topic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arrangements for platform and referral services typically consist of an obligation to provide one or both of these services to customers on a when and if needed basis (a stand-ready obligation), and we recognize revenue as such services are performed, which coincides with the amount billable to the customer. Additionally, the services have the same pattern and period of transfer, and when provided individually or together, are accounted for as a single combined performance obligation representing a series of distinct days of service.</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platform and referral fees represent variable consideration. Since the variable fees relate directly to the day the service is provided, they generally meet the criteria for allocating variable consideration entirely to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229"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but not all, performance obligations in a contract. Accordingly, when the requisite criteria are met, variable fees are allocated to and recognized on the day the services are provided.</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also charge an ongoing loan servicing fee to the holder of the loan (either a bank or institutional investor) based on a predetermined percentage of the outstanding principal balance. Loan servicing fees are recognized in the period the services are provided. Servicing fees, net also includes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us for carrying out our servicing obligations. Servicing fees also include changes in fair value of loan servicing assets and liabilities in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fair value of financial instruments from our normal course of business held at fair value, including loans, notes receivable and residual certificates, and payable to securitization note holders and residual certificate holders. We record these adjustments in earnings in the period incurred and include both realized and unrealized adjustments to the value of related assets and liabilities. See the subsection titled “</w:t>
      </w:r>
      <w:r>
        <w:rPr>
          <w:rFonts w:ascii="Arial" w:cs="Arial" w:eastAsia="Arial" w:hAnsi="Arial"/>
          <w:sz w:val="18"/>
          <w:szCs w:val="18"/>
          <w:i w:val="1"/>
          <w:iCs w:val="1"/>
          <w:color w:val="auto"/>
        </w:rPr>
        <w:t>Fair Value of Loans, Notes Receivable and Residual Certificates, and</w:t>
      </w:r>
      <w:r>
        <w:rPr>
          <w:rFonts w:ascii="Arial" w:cs="Arial" w:eastAsia="Arial" w:hAnsi="Arial"/>
          <w:sz w:val="18"/>
          <w:szCs w:val="18"/>
          <w:color w:val="auto"/>
        </w:rPr>
        <w:t xml:space="preserve"> </w:t>
      </w:r>
      <w:r>
        <w:rPr>
          <w:rFonts w:ascii="Arial" w:cs="Arial" w:eastAsia="Arial" w:hAnsi="Arial"/>
          <w:sz w:val="18"/>
          <w:szCs w:val="18"/>
          <w:i w:val="1"/>
          <w:iCs w:val="1"/>
          <w:color w:val="auto"/>
        </w:rPr>
        <w:t>Payable to Securitization Note Holders and Residual Certificate Holders</w:t>
      </w:r>
      <w:r>
        <w:rPr>
          <w:rFonts w:ascii="Arial" w:cs="Arial" w:eastAsia="Arial" w:hAnsi="Arial"/>
          <w:sz w:val="18"/>
          <w:szCs w:val="18"/>
          <w:color w:val="auto"/>
        </w:rPr>
        <w:t>” above for further details on the estimates of fair value of these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We estimate the grant date fair value of stock options granted to employees and nonemployees using the Black-Scholes option-pricing model. The fair value of stock options that is expected to vest is recognized as compensation expense on a straight-line basis over the requisite service period, which is typically the vesting period of the respective awards.</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Black-Scholes option-pricing model considers several variables and assumptions in estimating the grant date fair value of stock-based awards.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include:</w:t>
      </w:r>
    </w:p>
    <w:p>
      <w:pPr>
        <w:spacing w:after="0" w:line="88" w:lineRule="exact"/>
        <w:rPr>
          <w:sz w:val="20"/>
          <w:szCs w:val="20"/>
          <w:color w:val="auto"/>
        </w:rPr>
      </w:pPr>
    </w:p>
    <w:p>
      <w:pPr>
        <w:jc w:val="both"/>
        <w:ind w:left="660" w:hanging="328"/>
        <w:spacing w:after="0" w:line="257"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—Prior to the completion of our IPO, the fair value was determined by the Company’s Board of Directors as there</w:t>
      </w:r>
      <w:r>
        <w:rPr>
          <w:rFonts w:ascii="Arial" w:cs="Arial" w:eastAsia="Arial" w:hAnsi="Arial"/>
          <w:sz w:val="17"/>
          <w:szCs w:val="17"/>
          <w:i w:val="1"/>
          <w:iCs w:val="1"/>
          <w:color w:val="auto"/>
        </w:rPr>
        <w:t xml:space="preserve"> </w:t>
      </w:r>
      <w:r>
        <w:rPr>
          <w:rFonts w:ascii="Arial" w:cs="Arial" w:eastAsia="Arial" w:hAnsi="Arial"/>
          <w:sz w:val="17"/>
          <w:szCs w:val="17"/>
          <w:color w:val="auto"/>
        </w:rPr>
        <w:t>was no public market for the Company’s common stock. The Board of Directors determined the fair value of the common stock by considering a number of objective and subjective factors, including: third-party valuations of the Company’s common stock, the valuation of comparable companies, the Company’s operating and financial performance, and general and industry specific economic outlook, among other factors. After the completion of the IPO, the fair value of the Company’s common stock is determined by the closing price, on the date of grant, of its common stock, which is traded on the Nasdaq Global Select Market.</w:t>
      </w:r>
    </w:p>
    <w:p>
      <w:pPr>
        <w:spacing w:after="0" w:line="67" w:lineRule="exact"/>
        <w:rPr>
          <w:rFonts w:ascii="Arial" w:cs="Arial" w:eastAsia="Arial" w:hAnsi="Arial"/>
          <w:sz w:val="17"/>
          <w:szCs w:val="17"/>
          <w:color w:val="auto"/>
        </w:rPr>
      </w:pPr>
    </w:p>
    <w:p>
      <w:pPr>
        <w:jc w:val="both"/>
        <w:ind w:left="660" w:hanging="328"/>
        <w:spacing w:after="0" w:line="24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We determined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for employee stock options based on historical terminations and exercise behavior, which factors in an extended post-termination exercise provision for vested awards for certain employees who provide more than three years of service. We use the contractual term for all nonemployee awards.</w:t>
      </w:r>
    </w:p>
    <w:p>
      <w:pPr>
        <w:spacing w:after="0" w:line="79"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have limited trading history for our common stock, the expected volatility is estimated based on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volatilities of common stock of comparable publicly traded entities over a period equal to the expected term of the stock option grants. We will continue to apply this process until a sufficient amount of historical information regarding the volatility of our own stock price becomes available.</w:t>
      </w:r>
    </w:p>
    <w:p>
      <w:pPr>
        <w:spacing w:after="0" w:line="79" w:lineRule="exact"/>
        <w:rPr>
          <w:rFonts w:ascii="Arial" w:cs="Arial" w:eastAsia="Arial" w:hAnsi="Arial"/>
          <w:sz w:val="18"/>
          <w:szCs w:val="18"/>
          <w:color w:val="auto"/>
        </w:rPr>
      </w:pPr>
    </w:p>
    <w:p>
      <w:pPr>
        <w:ind w:left="660" w:right="20" w:hanging="328"/>
        <w:spacing w:after="0" w:line="261"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expected term of the stock option award.</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Dividend—We have never paid dividends on our common stock since our inception, nor do we expect to pay dividends in the foreseeable future. Therefore, we used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22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Note 10. Equity Incentive Plans</w:t>
      </w:r>
      <w:r>
        <w:rPr>
          <w:rFonts w:ascii="Arial" w:cs="Arial" w:eastAsia="Arial" w:hAnsi="Arial"/>
          <w:sz w:val="16"/>
          <w:szCs w:val="16"/>
          <w:color w:val="auto"/>
        </w:rPr>
        <w:t>” in Part II, Item 8 of this Form 10-K for information concerning certain of the specific assumptions we used in applying the Black-Scholes option-pricing model to determine the estimated fair value of our stock options granted in the years ended December 31, 2018, 2019 and 2020. Such assumptions involved inherent uncertainties and the application of significant judgment. As a result, if factors or expected outcomes change and we use significantly different assumptions or estimates, our stock-based compensation could be materially different.</w:t>
      </w:r>
    </w:p>
    <w:p>
      <w:pPr>
        <w:spacing w:after="0" w:line="182"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Stock-based compensation expense was $2.0 million, $3.8 million, and $11.5 million during the years ended December 31, 2018, 2019 and 2020, respectively. As of December 31, 2019 and 2020, we had $15.3 million and $35.3 million, respectively, of total unrecognized stock-based compensation costs which we expect to recognize over a weighted-average period of 2.5 years and 2.8 years, respectively. These amounts reflect our reassessment of the fair value of our common stock in the years ended December 31, 2019 and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in Part II, Item 8 of this Form 10-K for recently adopted accounting pronouncements and recently issued accounting pronouncements not yet adopted as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The JOBS Act does not preclude an emerging growth company from early adopting a new or revised accounting standard earlier than the time that such standard applies to private companies. We early adopted ASU 2016-02, </w:t>
      </w:r>
      <w:r>
        <w:rPr>
          <w:rFonts w:ascii="Arial" w:cs="Arial" w:eastAsia="Arial" w:hAnsi="Arial"/>
          <w:sz w:val="17"/>
          <w:szCs w:val="17"/>
          <w:i w:val="1"/>
          <w:iCs w:val="1"/>
          <w:color w:val="auto"/>
        </w:rPr>
        <w:t xml:space="preserve">Leases </w:t>
      </w:r>
      <w:r>
        <w:rPr>
          <w:rFonts w:ascii="Arial" w:cs="Arial" w:eastAsia="Arial" w:hAnsi="Arial"/>
          <w:sz w:val="17"/>
          <w:szCs w:val="17"/>
          <w:color w:val="auto"/>
        </w:rPr>
        <w:t>(Topic 842) effective January 1, 2019 and have elected not to restate comparative periods presented in the consolidated financial statements.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expect to use the extended transition period for any other new or revised accounting.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facilitated through our platform, and availability of funding under our current credit facilities and term loans. Such fluctuations to date have not been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 Rate Risk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23" w:lineRule="exact"/>
        <w:rPr>
          <w:sz w:val="20"/>
          <w:szCs w:val="20"/>
          <w:color w:val="auto"/>
        </w:rPr>
      </w:pPr>
    </w:p>
    <w:p>
      <w:pPr>
        <w:jc w:val="both"/>
        <w:ind w:firstLine="551"/>
        <w:spacing w:after="0" w:line="276" w:lineRule="auto"/>
        <w:rPr>
          <w:sz w:val="20"/>
          <w:szCs w:val="20"/>
          <w:color w:val="auto"/>
        </w:rPr>
      </w:pPr>
      <w:r>
        <w:rPr>
          <w:rFonts w:ascii="Arial" w:cs="Arial" w:eastAsia="Arial" w:hAnsi="Arial"/>
          <w:sz w:val="16"/>
          <w:szCs w:val="16"/>
          <w:i w:val="1"/>
          <w:iCs w:val="1"/>
          <w:color w:val="auto"/>
        </w:rPr>
        <w:t>Loans at Fair Value</w:t>
      </w:r>
      <w:r>
        <w:rPr>
          <w:rFonts w:ascii="Arial" w:cs="Arial" w:eastAsia="Arial" w:hAnsi="Arial"/>
          <w:sz w:val="16"/>
          <w:szCs w:val="16"/>
          <w:color w:val="auto"/>
        </w:rPr>
        <w:t>—As of December 31, 2019 and 2020, we were exposed to market discount rate risk on $141.6 million and $78.5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loans held-for-investment and held-for-sale on our consolidated balance sheets. The fair value of these loans is estimated using a discounted cash flow methodology, where the discount rate represents an estimate of the required rate 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As of December 31, 2019 a hypothetical 100 basis point and 200 basis point increase in discount rate would result in a $1.9 million and $3.8 million decrease, respectively, in the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229"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these loans. As of December 31, 2020, a hypothetical 100 basis point and 200 basis point increase in discount rate would result in a $1.0 million and $1.9 million decrease, respectively, in the fair value of these loans.</w:t>
      </w:r>
    </w:p>
    <w:p>
      <w:pPr>
        <w:spacing w:after="0" w:line="198"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i w:val="1"/>
          <w:iCs w:val="1"/>
          <w:color w:val="auto"/>
        </w:rPr>
        <w:t>Assets and Liabilities related to Securitization Transactions</w:t>
      </w:r>
      <w:r>
        <w:rPr>
          <w:rFonts w:ascii="Arial" w:cs="Arial" w:eastAsia="Arial" w:hAnsi="Arial"/>
          <w:sz w:val="17"/>
          <w:szCs w:val="17"/>
          <w:color w:val="auto"/>
        </w:rPr>
        <w:t>—As of December 31, 2019, we were exposed to discount rate risk on $34.1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notes receivable and residual certificates and $89.7 million of payable to securitization note holders and residual certificate holders. As of December 31, 2020, we were exposed to discount rate risk on $19.1 million of notes receivable and residual certificates. We assess the sensitivity of securitization notes and residual certificates by reviewing the average impact across all securitization transactions. As of December 31, 2019, a hypothetical 100 basis point and 200 basis point increase in discount rates would result in a decrease in fair value of these securities of 1.40% and 2.77%, respectively, on average across all securitizations. As of December 31, 2020, a hypothetical 100 basis point and 200 basis point increase in discount rates would result in a decrease in fair value of these securities of 1.23% and 2.36%, respectively, on average across all securitizations.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99"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98"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6"/>
          <w:szCs w:val="16"/>
          <w:i w:val="1"/>
          <w:iCs w:val="1"/>
          <w:color w:val="auto"/>
        </w:rPr>
        <w:t>Loans, at Fair Value—</w:t>
      </w:r>
      <w:r>
        <w:rPr>
          <w:rFonts w:ascii="Arial" w:cs="Arial" w:eastAsia="Arial" w:hAnsi="Arial"/>
          <w:sz w:val="16"/>
          <w:szCs w:val="16"/>
          <w:color w:val="auto"/>
        </w:rPr>
        <w:t>As of December 31, 2019 and 2020, we were exposed to credit risk on $141.6 million and $78.5 million, respectively of</w:t>
      </w:r>
      <w:r>
        <w:rPr>
          <w:rFonts w:ascii="Arial" w:cs="Arial" w:eastAsia="Arial" w:hAnsi="Arial"/>
          <w:sz w:val="16"/>
          <w:szCs w:val="16"/>
          <w:i w:val="1"/>
          <w:iCs w:val="1"/>
          <w:color w:val="auto"/>
        </w:rPr>
        <w:t xml:space="preserve"> </w:t>
      </w:r>
      <w:r>
        <w:rPr>
          <w:rFonts w:ascii="Arial" w:cs="Arial" w:eastAsia="Arial" w:hAnsi="Arial"/>
          <w:sz w:val="16"/>
          <w:szCs w:val="16"/>
          <w:color w:val="auto"/>
        </w:rPr>
        <w:t>loans in held-for-investment and held-for-sale in our consolidated balance sheet. These loans bear fixed interest rates and are carried on our consolidated balance sheets at fair value. As of December 31, 2019, a hypothetical 10% and 20% increase in credit risk would result in a $2.3 million and $4.7 million decrease, respectively, in the fair value of loans held-for-investment (excluding loans held as collateral by consolidated securitizations). As of December 31, 2020, a hypothetical 10% and 20% increase in credit risk would result in a $1.3 million and $2.6 million decrease, respectively.</w:t>
      </w:r>
    </w:p>
    <w:p>
      <w:pPr>
        <w:spacing w:after="0" w:line="186"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i w:val="1"/>
          <w:iCs w:val="1"/>
          <w:color w:val="auto"/>
        </w:rPr>
        <w:t>Assets and Liabilities related to Securitization Transactions</w:t>
      </w:r>
      <w:r>
        <w:rPr>
          <w:rFonts w:ascii="Arial" w:cs="Arial" w:eastAsia="Arial" w:hAnsi="Arial"/>
          <w:sz w:val="18"/>
          <w:szCs w:val="18"/>
          <w:color w:val="auto"/>
        </w:rPr>
        <w:t>— Transactions—As of December 31, 2019, we were exposed to credit risk on $34.1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notes receivable and residual certificates and $89.7 million of payable to securitization note holders and residual certificate holders. As of December 31, 2020, we were exposed to credit risk on $19.1 million of notes receivable and residual certificates.</w:t>
      </w:r>
    </w:p>
    <w:p>
      <w:pPr>
        <w:spacing w:after="0" w:line="209" w:lineRule="exact"/>
        <w:rPr>
          <w:sz w:val="20"/>
          <w:szCs w:val="20"/>
          <w:color w:val="auto"/>
        </w:rPr>
      </w:pPr>
    </w:p>
    <w:p>
      <w:pPr>
        <w:jc w:val="both"/>
        <w:ind w:firstLine="551"/>
        <w:spacing w:after="0" w:line="239" w:lineRule="auto"/>
        <w:rPr>
          <w:sz w:val="20"/>
          <w:szCs w:val="20"/>
          <w:color w:val="auto"/>
        </w:rPr>
      </w:pPr>
      <w:r>
        <w:rPr>
          <w:rFonts w:ascii="Arial" w:cs="Arial" w:eastAsia="Arial" w:hAnsi="Arial"/>
          <w:sz w:val="18"/>
          <w:szCs w:val="18"/>
          <w:color w:val="auto"/>
        </w:rPr>
        <w:t>The securities issued in the securitizations are senior or subordinated based on the waterfall criteria of loan payments to each security class, with the residual interest, or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20% decrease in the fair value of the residual certificates. The remaining classes of securities, with the exception of those in the August 2018 securitization transaction, are all overcollateralized such that changes in credit risk rates are not expected to have significant impacts on their fair values.</w:t>
      </w:r>
    </w:p>
    <w:p>
      <w:pPr>
        <w:spacing w:after="0" w:line="218"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As of December 31, 2019 and 2020, we are exposed to credit risk of $80.1 million and $311.3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229"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borrowers and their ability and willingness to borrow money. Higher interest rates often lead to higher payment obligations, which may reduce the ability of individual borrowers to remain current on their obligations to our bank partners and, therefore, lead to increased delinquencies, defaults, customer bankruptcies and charge-offs, and decreasing recoveries, all of which could have a material adverse effect on our business.</w:t>
      </w:r>
    </w:p>
    <w:p>
      <w:pPr>
        <w:spacing w:after="0" w:line="216"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i w:val="1"/>
          <w:iCs w:val="1"/>
          <w:color w:val="auto"/>
        </w:rPr>
        <w:t>Term Loans, Warehouse Credit Facilities and Revolving Credit Facility</w:t>
      </w:r>
      <w:r>
        <w:rPr>
          <w:rFonts w:ascii="Arial" w:cs="Arial" w:eastAsia="Arial" w:hAnsi="Arial"/>
          <w:sz w:val="18"/>
          <w:szCs w:val="18"/>
          <w:color w:val="auto"/>
        </w:rPr>
        <w:t>—As of December 31, 2019 and 2020, we are exposed to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on $101.8 million and $55.5 million, respectively, under the term loans and revolving credit facility arrangements which bear floating interest rates. Changes in interest rates may impact our cost of borrowing. Future funding activities under the revolving credit facilities may increase our exposure to interest rate risk, as the interest rates payable on such funding are tied to short-term market rates. From time to time, we enter into interest rate hedges in connection with our warehouse credit facilities.</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inability or failure to manage market risks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229" w:right="339" w:bottom="1440" w:gutter="0" w:footer="0" w:header="0"/>
        </w:sectPr>
      </w:pPr>
    </w:p>
    <w:bookmarkStart w:id="107" w:name="page108"/>
    <w:bookmarkEnd w:id="107"/>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2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2"/>
              </w:rPr>
              <w:t>Upstart Holdings, Inc.</w:t>
            </w:r>
          </w:p>
        </w:tc>
        <w:tc>
          <w:tcPr>
            <w:tcW w:w="36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40" w:type="dxa"/>
            <w:vAlign w:val="bottom"/>
            <w:gridSpan w:val="5"/>
          </w:tcPr>
          <w:p>
            <w:pPr>
              <w:jc w:val="center"/>
              <w:ind w:right="2740"/>
              <w:spacing w:after="0"/>
              <w:rPr>
                <w:sz w:val="20"/>
                <w:szCs w:val="20"/>
                <w:color w:val="auto"/>
              </w:rPr>
            </w:pPr>
            <w:r>
              <w:rPr>
                <w:rFonts w:ascii="Arial" w:cs="Arial" w:eastAsia="Arial" w:hAnsi="Arial"/>
                <w:sz w:val="18"/>
                <w:szCs w:val="18"/>
                <w:b w:val="1"/>
                <w:bCs w:val="1"/>
                <w:color w:val="auto"/>
              </w:rPr>
              <w:t>INDEX TO CONSOLIDATED FINANCIAL STATEMENTS</w:t>
            </w:r>
          </w:p>
        </w:tc>
        <w:tc>
          <w:tcPr>
            <w:tcW w:w="36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10"/>
        </w:trPr>
        <w:tc>
          <w:tcPr>
            <w:tcW w:w="10840" w:type="dxa"/>
            <w:vAlign w:val="bottom"/>
            <w:gridSpan w:val="8"/>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Report of Independent Registered Public Accounting Firm</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49"/>
        </w:trPr>
        <w:tc>
          <w:tcPr>
            <w:tcW w:w="42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Financial Statements:</w:t>
            </w:r>
          </w:p>
        </w:tc>
        <w:tc>
          <w:tcPr>
            <w:tcW w:w="662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r>
      <w:tr>
        <w:trPr>
          <w:trHeight w:val="190"/>
        </w:trPr>
        <w:tc>
          <w:tcPr>
            <w:tcW w:w="220" w:type="dxa"/>
            <w:vAlign w:val="bottom"/>
          </w:tcPr>
          <w:p>
            <w:pPr>
              <w:spacing w:after="0"/>
              <w:rPr>
                <w:sz w:val="16"/>
                <w:szCs w:val="16"/>
                <w:color w:val="auto"/>
              </w:rPr>
            </w:pPr>
          </w:p>
        </w:tc>
        <w:tc>
          <w:tcPr>
            <w:tcW w:w="2100" w:type="dxa"/>
            <w:vAlign w:val="bottom"/>
            <w:tcBorders>
              <w:bottom w:val="single" w:sz="8" w:color="0000FF"/>
            </w:tcBorders>
          </w:tcPr>
          <w:p>
            <w:pPr>
              <w:spacing w:after="0" w:line="190" w:lineRule="exact"/>
              <w:rPr>
                <w:rFonts w:ascii="Arial" w:cs="Arial" w:eastAsia="Arial" w:hAnsi="Arial"/>
                <w:sz w:val="18"/>
                <w:szCs w:val="18"/>
                <w:color w:val="0000FF"/>
                <w:w w:val="88"/>
              </w:rPr>
            </w:pPr>
            <w:hyperlink w:anchor="page109">
              <w:r>
                <w:rPr>
                  <w:rFonts w:ascii="Arial" w:cs="Arial" w:eastAsia="Arial" w:hAnsi="Arial"/>
                  <w:sz w:val="18"/>
                  <w:szCs w:val="18"/>
                  <w:color w:val="0000FF"/>
                  <w:w w:val="88"/>
                </w:rPr>
                <w:t>Consolidated Balance Sheets</w:t>
              </w:r>
            </w:hyperlink>
          </w:p>
        </w:tc>
        <w:tc>
          <w:tcPr>
            <w:tcW w:w="8520" w:type="dxa"/>
            <w:vAlign w:val="bottom"/>
            <w:gridSpan w:val="6"/>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110</w:t>
            </w:r>
          </w:p>
        </w:tc>
      </w:tr>
      <w:tr>
        <w:trPr>
          <w:trHeight w:val="209"/>
        </w:trPr>
        <w:tc>
          <w:tcPr>
            <w:tcW w:w="220" w:type="dxa"/>
            <w:vAlign w:val="bottom"/>
          </w:tcPr>
          <w:p>
            <w:pPr>
              <w:spacing w:after="0"/>
              <w:rPr>
                <w:sz w:val="18"/>
                <w:szCs w:val="18"/>
                <w:color w:val="auto"/>
              </w:rPr>
            </w:pPr>
          </w:p>
        </w:tc>
        <w:tc>
          <w:tcPr>
            <w:tcW w:w="10620" w:type="dxa"/>
            <w:vAlign w:val="bottom"/>
            <w:gridSpan w:val="7"/>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Consolidated Statements of Operations and Comprehensive Income (Loss)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2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20" w:type="dxa"/>
            <w:vAlign w:val="bottom"/>
            <w:gridSpan w:val="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Consolidated Statements of Convertible Preferred Stock and Stockholders’ Equity (Deficit</w:t>
              </w:r>
            </w:hyperlink>
            <w:r>
              <w:rPr>
                <w:rFonts w:ascii="Arial" w:cs="Arial" w:eastAsia="Arial" w:hAnsi="Arial"/>
                <w:sz w:val="18"/>
                <w:szCs w:val="18"/>
                <w:color w:val="000000"/>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2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14">
              <w:r>
                <w:rPr>
                  <w:rFonts w:ascii="Arial" w:cs="Arial" w:eastAsia="Arial" w:hAnsi="Arial"/>
                  <w:sz w:val="18"/>
                  <w:szCs w:val="18"/>
                  <w:color w:val="0000FF"/>
                  <w:w w:val="89"/>
                </w:rPr>
                <w:t>Consolidated Statements of Cash Flows</w:t>
              </w:r>
            </w:hyperlink>
          </w:p>
        </w:tc>
        <w:tc>
          <w:tcPr>
            <w:tcW w:w="3640" w:type="dxa"/>
            <w:vAlign w:val="bottom"/>
            <w:tcBorders>
              <w:top w:val="single" w:sz="8" w:color="0000FF"/>
            </w:tcBorders>
            <w:gridSpan w:val="4"/>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2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Notes to Consolidated Financial Statements</w:t>
              </w:r>
            </w:hyperlink>
          </w:p>
        </w:tc>
        <w:tc>
          <w:tcPr>
            <w:tcW w:w="7460" w:type="dxa"/>
            <w:vAlign w:val="bottom"/>
            <w:gridSpan w:val="4"/>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b w:val="1"/>
          <w:bCs w:val="1"/>
          <w:color w:val="666666"/>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Upstart Holdings, Inc.</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54"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We have audited the accompanying consolidated balance sheets of Upstart Holdings, Inc. and subsidiaries (the "Company") as of December 31, 2020 and 2019, the related consolidated statements of operations and comprehensive income/loss, statement of convertible preferred stock and stockholders’ equity/deficit and statement of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54"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7"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w:t>
      </w:r>
    </w:p>
    <w:p>
      <w:pPr>
        <w:spacing w:after="0"/>
        <w:rPr>
          <w:sz w:val="20"/>
          <w:szCs w:val="20"/>
          <w:color w:val="auto"/>
        </w:rPr>
      </w:pPr>
      <w:r>
        <w:rPr>
          <w:rFonts w:ascii="Arial" w:cs="Arial" w:eastAsia="Arial" w:hAnsi="Arial"/>
          <w:sz w:val="16"/>
          <w:szCs w:val="16"/>
          <w:color w:val="auto"/>
        </w:rPr>
        <w:t>March 18, 2021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1403" w:right="3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250,819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44,389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Loans (at fair value)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232,305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Other assets (includes $6,831 and $4,725 at fair value as of December 31, 2020 and 2019, respectively)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560"/>
              <w:spacing w:after="0" w:line="22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 to investors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118,609</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Payable to securitization note holders and residual certificate holders (includes $0 and $89,672 at fair value</w:t>
            </w:r>
          </w:p>
        </w:tc>
        <w:tc>
          <w:tcPr>
            <w:tcW w:w="3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96,107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$0 and $41,343 to related parties as of December 31, 2020 and 2019, respectively)</w:t>
            </w: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40"/>
              <w:spacing w:after="0" w:line="176" w:lineRule="exact"/>
              <w:rPr>
                <w:sz w:val="20"/>
                <w:szCs w:val="20"/>
                <w:color w:val="auto"/>
              </w:rPr>
            </w:pPr>
            <w:r>
              <w:rPr>
                <w:rFonts w:ascii="Arial" w:cs="Arial" w:eastAsia="Arial" w:hAnsi="Arial"/>
                <w:sz w:val="18"/>
                <w:szCs w:val="18"/>
                <w:color w:val="auto"/>
                <w:w w:val="90"/>
              </w:rPr>
              <w:t>Accrued expenses and other liabilities (includes $9,530 and $12,446 at fair value as of December 31, 2020 and</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35,669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34,648</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2019, respectively)</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60"/>
              <w:spacing w:after="0" w:line="223" w:lineRule="exact"/>
              <w:rPr>
                <w:sz w:val="20"/>
                <w:szCs w:val="20"/>
                <w:color w:val="auto"/>
              </w:rPr>
            </w:pPr>
            <w:r>
              <w:rPr>
                <w:rFonts w:ascii="Arial" w:cs="Arial" w:eastAsia="Arial" w:hAnsi="Arial"/>
                <w:sz w:val="18"/>
                <w:szCs w:val="18"/>
                <w:color w:val="auto"/>
              </w:rPr>
              <w:t>Total liabilities</w:t>
            </w:r>
            <w:r>
              <w:rPr>
                <w:rFonts w:ascii="Arial" w:cs="Arial" w:eastAsia="Arial" w:hAnsi="Arial"/>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292,604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0"/>
              </w:rPr>
              <w:t>Convertible preferred stock $0.0001 par value; 70,000,000 and 53,927,657 shares authorized as of December 31,</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1"/>
              </w:rPr>
              <w:t>2020 and 2019, respectively; aggregate liquidation preference of $0 and $166,257 as of December 31, 2020 and</w:t>
            </w:r>
          </w:p>
        </w:tc>
        <w:tc>
          <w:tcPr>
            <w:tcW w:w="3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162,546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w w:val="98"/>
              </w:rPr>
              <w:t>2019, respectively; 0 and 47,349,577 shares issued and outstanding as of December 31, 2020 and 2019</w:t>
            </w: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Arial" w:cs="Arial" w:eastAsia="Arial" w:hAnsi="Arial"/>
                <w:sz w:val="18"/>
                <w:szCs w:val="18"/>
                <w:color w:val="auto"/>
                <w:w w:val="92"/>
              </w:rPr>
              <w:t>Common stock, $0.0001 par value; 700,000,000 and 90,000,000 shares authorized as of December 31, 2020</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w w:val="92"/>
              </w:rPr>
              <w:t>and 2019, respectively; 73,314,026 and 14,561,398, shares issued and outstanding as of December 31, 2020</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26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Upstart Holdings, Inc. stockholders’ equity (deficit)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300,252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(61,688)</w:t>
            </w:r>
          </w:p>
        </w:tc>
        <w:tc>
          <w:tcPr>
            <w:tcW w:w="0" w:type="dxa"/>
            <w:vAlign w:val="bottom"/>
          </w:tcPr>
          <w:p>
            <w:pPr>
              <w:spacing w:after="0"/>
              <w:rPr>
                <w:sz w:val="1"/>
                <w:szCs w:val="1"/>
                <w:color w:val="auto"/>
              </w:rPr>
            </w:pPr>
          </w:p>
        </w:tc>
      </w:tr>
      <w:tr>
        <w:trPr>
          <w:trHeight w:val="223"/>
        </w:trPr>
        <w:tc>
          <w:tcPr>
            <w:tcW w:w="8260" w:type="dxa"/>
            <w:vAlign w:val="bottom"/>
          </w:tcPr>
          <w:p>
            <w:pPr>
              <w:ind w:left="46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393,462</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both"/>
        <w:ind w:left="340" w:hanging="332"/>
        <w:spacing w:after="0" w:line="214" w:lineRule="auto"/>
        <w:tabs>
          <w:tab w:leader="none" w:pos="335"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2020 and 2019.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33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(at fair value)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231,109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30,266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81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275,667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Borrowings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96,037</w:t>
            </w: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Payable to securitization note holders and residual certificate holders (includes $0 and $89,672 at fair value,</w:t>
            </w:r>
          </w:p>
        </w:tc>
        <w:tc>
          <w:tcPr>
            <w:tcW w:w="3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96,107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$0 and $41,343 payable to related parties as of December 31, 2020 and 2019, respectively)</w:t>
            </w:r>
          </w:p>
        </w:tc>
        <w:tc>
          <w:tcPr>
            <w:tcW w:w="3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240"/>
          </w:cols>
          <w:pgMar w:left="320" w:top="337" w:right="339" w:bottom="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228,600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159,847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88,482</w:t>
            </w:r>
          </w:p>
        </w:tc>
        <w:tc>
          <w:tcPr>
            <w:tcW w:w="0" w:type="dxa"/>
            <w:vAlign w:val="bottom"/>
          </w:tcPr>
          <w:p>
            <w:pPr>
              <w:spacing w:after="0"/>
              <w:rPr>
                <w:sz w:val="1"/>
                <w:szCs w:val="1"/>
                <w:color w:val="auto"/>
              </w:rPr>
            </w:pPr>
          </w:p>
        </w:tc>
      </w:tr>
      <w:tr>
        <w:trPr>
          <w:trHeight w:val="175"/>
        </w:trPr>
        <w:tc>
          <w:tcPr>
            <w:tcW w:w="68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Interest income and fair value adjustments, net (includes $1,014, $2,963 and $2,452 from</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related parties expense and $4,238, $7,400 and ($4,031) of related parties fair value</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adjustments for the years ended December 31, 2020, 2019 and 2018,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99,313</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63,633</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Engineering and product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168,764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107,284</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on warrants and other non-operating expenses,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Net income (loss)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196"/>
        </w:trPr>
        <w:tc>
          <w:tcPr>
            <w:tcW w:w="6880" w:type="dxa"/>
            <w:vAlign w:val="bottom"/>
          </w:tcPr>
          <w:p>
            <w:pPr>
              <w:ind w:left="20"/>
              <w:spacing w:after="0" w:line="196" w:lineRule="exact"/>
              <w:rPr>
                <w:sz w:val="20"/>
                <w:szCs w:val="20"/>
                <w:color w:val="auto"/>
              </w:rPr>
            </w:pPr>
            <w:r>
              <w:rPr>
                <w:rFonts w:ascii="Arial" w:cs="Arial" w:eastAsia="Arial" w:hAnsi="Arial"/>
                <w:sz w:val="18"/>
                <w:szCs w:val="18"/>
                <w:color w:val="auto"/>
              </w:rPr>
              <w:t>Net income (loss) attributable to Upstart Holdings, Inc. common stockholders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per share attributable to Upstart Holdings, Inc. common stockholders, basic</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3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80" w:type="dxa"/>
            <w:vAlign w:val="bottom"/>
          </w:tcPr>
          <w:p>
            <w:pPr>
              <w:ind w:left="20"/>
              <w:spacing w:after="0" w:line="176" w:lineRule="exact"/>
              <w:rPr>
                <w:sz w:val="20"/>
                <w:szCs w:val="20"/>
                <w:color w:val="auto"/>
              </w:rPr>
            </w:pPr>
            <w:r>
              <w:rPr>
                <w:rFonts w:ascii="Arial" w:cs="Arial" w:eastAsia="Arial" w:hAnsi="Arial"/>
                <w:sz w:val="18"/>
                <w:szCs w:val="18"/>
                <w:color w:val="auto"/>
                <w:w w:val="89"/>
              </w:rPr>
              <w:t>Weighted-average number of shares outstanding used in computing net income (loss) per share</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17,513,670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14,335,611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14,128,183</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attributable to Upstart Holdings, Inc. common stockholders, basic and diluted</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240"/>
          </w:cols>
          <w:pgMar w:left="320" w:top="337" w:right="3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120" w:type="dxa"/>
            <w:vAlign w:val="bottom"/>
          </w:tcPr>
          <w:p>
            <w:pPr>
              <w:spacing w:after="0"/>
              <w:rPr>
                <w:sz w:val="22"/>
                <w:szCs w:val="22"/>
                <w:color w:val="auto"/>
              </w:rPr>
            </w:pPr>
          </w:p>
        </w:tc>
        <w:tc>
          <w:tcPr>
            <w:tcW w:w="1720" w:type="dxa"/>
            <w:vAlign w:val="bottom"/>
            <w:tcBorders>
              <w:right w:val="single" w:sz="8" w:color="auto"/>
            </w:tcBorders>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Upstart</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720" w:type="dxa"/>
            <w:vAlign w:val="bottom"/>
            <w:tcBorders>
              <w:right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720" w:type="dxa"/>
            <w:vAlign w:val="bottom"/>
            <w:tcBorders>
              <w:right w:val="single" w:sz="8" w:color="auto"/>
            </w:tcBorders>
            <w:gridSpan w:val="4"/>
          </w:tcPr>
          <w:p>
            <w:pPr>
              <w:jc w:val="right"/>
              <w:ind w:right="308"/>
              <w:spacing w:after="0" w:line="135"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1"/>
                <w:szCs w:val="11"/>
                <w:color w:val="auto"/>
              </w:rPr>
            </w:pPr>
          </w:p>
        </w:tc>
        <w:tc>
          <w:tcPr>
            <w:tcW w:w="16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0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4"/>
                <w:szCs w:val="4"/>
                <w:color w:val="auto"/>
              </w:rPr>
            </w:pPr>
          </w:p>
        </w:tc>
        <w:tc>
          <w:tcPr>
            <w:tcW w:w="10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4"/>
                <w:szCs w:val="4"/>
                <w:color w:val="auto"/>
              </w:rPr>
            </w:pPr>
          </w:p>
        </w:tc>
        <w:tc>
          <w:tcPr>
            <w:tcW w:w="1000" w:type="dxa"/>
            <w:vAlign w:val="bottom"/>
            <w:vMerge w:val="restart"/>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1"/>
        </w:trPr>
        <w:tc>
          <w:tcPr>
            <w:tcW w:w="2120" w:type="dxa"/>
            <w:vAlign w:val="bottom"/>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6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5"/>
                <w:szCs w:val="5"/>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84"/>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4"/>
              </w:rPr>
              <w:t>Balance as of December 31, 2017</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35,445,012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88,868</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12,752,205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6,038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(62,759)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(56,720)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13,307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(43,413)</w:t>
            </w: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w w:val="97"/>
              </w:rPr>
              <w:t>Issuance of Series C-1 convertible</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w w:val="96"/>
              </w:rPr>
              <w:t>preferred stock upon conversion of</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5,871,382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21,210</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convertible promissory notes</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Series D convertible</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preferred stock, net of issuance</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5,566,483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47,845</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$2,255</w:t>
            </w: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239,065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rPr>
              <w:t>Contributions of interests in</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9,166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9,166</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consolidated VIEs</w:t>
            </w: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Return of capital to interests in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(11,573)</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VIEs</w:t>
            </w: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(11,218)</w:t>
            </w:r>
          </w:p>
        </w:tc>
        <w:tc>
          <w:tcPr>
            <w:tcW w:w="0" w:type="dxa"/>
            <w:vAlign w:val="bottom"/>
          </w:tcPr>
          <w:p>
            <w:pPr>
              <w:spacing w:after="0"/>
              <w:rPr>
                <w:sz w:val="1"/>
                <w:szCs w:val="1"/>
                <w:color w:val="auto"/>
              </w:rPr>
            </w:pPr>
          </w:p>
        </w:tc>
      </w:tr>
      <w:tr>
        <w:trPr>
          <w:trHeight w:val="18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4"/>
              </w:rPr>
              <w:t>Balance as of December 31, 2018</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46,882,877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157,923</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12,991,270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8,406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(75,078)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(66,671)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12,001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(54,670)</w:t>
            </w: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rPr>
              <w:t>Issuance of Series D convertible</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rPr>
              <w:t>preferred stock, net of issuance</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444,428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3,992</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costs of $8</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Series B convertible</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preferred stock upon exercise of</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convertible preferred stock</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300,103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1,631</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rPr>
              <w:t>Repurchase and retirement of</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(277,831)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w w:val="93"/>
              </w:rPr>
              <w:t>Series C convertible preferred 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Exercise of common stock warrants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1,297,884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272,244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rPr>
              <w:t>Return of capital to interests in</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(4,960)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consolidated VIEs</w:t>
            </w: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Deconsolidation of interests in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VIEs</w:t>
            </w: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18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4"/>
              </w:rPr>
              <w:t>Balance as of December 31, 2019</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47,349,577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162,546</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14,561,398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12,489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(75,205)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(62,714)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(61,688)</w:t>
            </w: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w w:val="95"/>
              </w:rPr>
              <w:t>Conversion of convertible preferred</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w w:val="97"/>
              </w:rPr>
              <w:t>stock to common stock upon initial</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w w:val="93"/>
              </w:rPr>
              <w:t>(162,546)</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162,542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162,546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162,546</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public offering</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upon</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initial public offering, net of</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underwriting discounts,</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159,487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159,488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159,488</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commissions, and offering costs</w:t>
            </w: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1,284,468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2,362</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connection with an incentive</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282,750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agreement</w:t>
            </w: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00" w:type="dxa"/>
            <w:vAlign w:val="bottom"/>
          </w:tcPr>
          <w:p>
            <w:pPr>
              <w:spacing w:after="0"/>
              <w:rPr>
                <w:sz w:val="22"/>
                <w:szCs w:val="22"/>
                <w:color w:val="auto"/>
              </w:rPr>
            </w:pPr>
          </w:p>
        </w:tc>
        <w:tc>
          <w:tcPr>
            <w:tcW w:w="1400" w:type="dxa"/>
            <w:vAlign w:val="bottom"/>
            <w:gridSpan w:val="4"/>
            <w:vMerge w:val="restart"/>
          </w:tcPr>
          <w:p>
            <w:pPr>
              <w:jc w:val="center"/>
              <w:ind w:left="208"/>
              <w:spacing w:after="0"/>
              <w:rPr>
                <w:sz w:val="20"/>
                <w:szCs w:val="20"/>
                <w:color w:val="auto"/>
              </w:rPr>
            </w:pPr>
            <w:r>
              <w:rPr>
                <w:rFonts w:ascii="Arial" w:cs="Arial" w:eastAsia="Arial" w:hAnsi="Arial"/>
                <w:sz w:val="14"/>
                <w:szCs w:val="14"/>
                <w:b w:val="1"/>
                <w:bCs w:val="1"/>
                <w:color w:val="auto"/>
                <w:w w:val="93"/>
              </w:rPr>
              <w:t>Convertible</w:t>
            </w:r>
          </w:p>
        </w:tc>
        <w:tc>
          <w:tcPr>
            <w:tcW w:w="3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Upstart</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400" w:type="dxa"/>
            <w:vAlign w:val="bottom"/>
            <w:gridSpan w:val="4"/>
          </w:tcPr>
          <w:p>
            <w:pPr>
              <w:jc w:val="center"/>
              <w:ind w:left="228"/>
              <w:spacing w:after="0" w:line="135" w:lineRule="exact"/>
              <w:rPr>
                <w:sz w:val="20"/>
                <w:szCs w:val="20"/>
                <w:color w:val="auto"/>
              </w:rPr>
            </w:pPr>
            <w:r>
              <w:rPr>
                <w:rFonts w:ascii="Arial" w:cs="Arial" w:eastAsia="Arial" w:hAnsi="Arial"/>
                <w:sz w:val="14"/>
                <w:szCs w:val="14"/>
                <w:b w:val="1"/>
                <w:bCs w:val="1"/>
                <w:color w:val="auto"/>
                <w:w w:val="93"/>
              </w:rPr>
              <w:t>Preferred Stock</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4"/>
                <w:szCs w:val="4"/>
                <w:color w:val="auto"/>
              </w:rPr>
            </w:pPr>
          </w:p>
        </w:tc>
        <w:tc>
          <w:tcPr>
            <w:tcW w:w="10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4"/>
                <w:szCs w:val="4"/>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4"/>
                <w:szCs w:val="4"/>
                <w:color w:val="auto"/>
              </w:rPr>
            </w:pPr>
          </w:p>
        </w:tc>
        <w:tc>
          <w:tcPr>
            <w:tcW w:w="1000" w:type="dxa"/>
            <w:vAlign w:val="bottom"/>
            <w:vMerge w:val="restart"/>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1"/>
        </w:trPr>
        <w:tc>
          <w:tcPr>
            <w:tcW w:w="210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5"/>
                <w:szCs w:val="5"/>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18"/>
        </w:trPr>
        <w:tc>
          <w:tcPr>
            <w:tcW w:w="2100" w:type="dxa"/>
            <w:vAlign w:val="bottom"/>
          </w:tcPr>
          <w:p>
            <w:pPr>
              <w:ind w:left="20"/>
              <w:spacing w:after="0" w:line="118" w:lineRule="exact"/>
              <w:rPr>
                <w:sz w:val="20"/>
                <w:szCs w:val="20"/>
                <w:color w:val="auto"/>
              </w:rPr>
            </w:pPr>
            <w:r>
              <w:rPr>
                <w:rFonts w:ascii="Arial" w:cs="Arial" w:eastAsia="Arial" w:hAnsi="Arial"/>
                <w:sz w:val="13"/>
                <w:szCs w:val="13"/>
                <w:color w:val="auto"/>
              </w:rPr>
              <w:t>Exercise of convertible preferred</w:t>
            </w: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stock warrant into preferred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and issuance of common stock</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600,208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12,183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12,183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12,183</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upon initial public offering</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Exercise of common stock</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235,625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72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Reclass of warrant liability upon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termination of repurchase</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obligation</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Incentive share expense</w:t>
            </w: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38"/>
        </w:trPr>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Return of capital on interest in</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ind w:left="760"/>
              <w:spacing w:after="0"/>
              <w:rPr>
                <w:sz w:val="20"/>
                <w:szCs w:val="20"/>
                <w:color w:val="auto"/>
              </w:rPr>
            </w:pPr>
            <w:r>
              <w:rPr>
                <w:rFonts w:ascii="Arial" w:cs="Arial" w:eastAsia="Arial" w:hAnsi="Arial"/>
                <w:sz w:val="14"/>
                <w:szCs w:val="14"/>
                <w:color w:val="auto"/>
                <w:w w:val="97"/>
              </w:rPr>
              <w:t>(622)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VIEs</w:t>
            </w:r>
          </w:p>
        </w:tc>
        <w:tc>
          <w:tcPr>
            <w:tcW w:w="72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w w:val="97"/>
              </w:rPr>
              <w:t>(404)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20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73,314,026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369,467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(69,222)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300,252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300,252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240"/>
          </w:cols>
          <w:pgMar w:left="320" w:top="337" w:right="3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40"/>
              <w:spacing w:after="0" w:line="176" w:lineRule="exact"/>
              <w:rPr>
                <w:sz w:val="20"/>
                <w:szCs w:val="20"/>
                <w:color w:val="auto"/>
              </w:rPr>
            </w:pPr>
            <w:r>
              <w:rPr>
                <w:rFonts w:ascii="Arial" w:cs="Arial" w:eastAsia="Arial" w:hAnsi="Arial"/>
                <w:sz w:val="18"/>
                <w:szCs w:val="18"/>
                <w:color w:val="auto"/>
                <w:w w:val="92"/>
              </w:rPr>
              <w:t>Change in fair value of financial instruments (includes $(4,238), $($7,400) and $4,031 to related</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34,716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42,282</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parties for the years ended December 31, 2020, 2019 and 2018, respectively)</w:t>
            </w: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Loss (gain) on loan servicing arrangements and sale of noncontrolling interests,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Incentive share expense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Gain on repurchased and retired convertible preferred stock warrants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Accrued interest on convertible notes (includes $397 to related parties for the year ended</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2018)</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Net changes in operating assets and liabilities: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loans for immediate resale to investors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(1,115,049)</w:t>
            </w: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Proceeds from immediate resale of loans to investors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2,540,948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1,779,180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1,115,049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loans held-for-sale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Principal payments received for loans held-for-sale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sale of loans held-for-sale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and right-of-use asset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to investors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50,338</w:t>
            </w: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Principal payments received for loans held by consolidated securitizations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199,325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proceeds from sale of loans held-for-investment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45,698</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Principal payments received for loans held-for-investment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38,678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received for notes receivable and repayments of residual certificates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Purchase of loans held-for-investment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(169,442)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notes receivable and residual certificates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software costs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Purchase of loans held by consolidated securitizations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(251,681)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(137,237)</w:t>
            </w: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Proceeds from initial public offering, net of underwriting discounts and offering costs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159,488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55"/>
        </w:trPr>
        <w:tc>
          <w:tcPr>
            <w:tcW w:w="732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w w:val="90"/>
              </w:rPr>
              <w:t>Payments made on securitization notes and certificates (includes $1,034, $3,262 and $7,607 paid</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(176,742)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(226,775)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 related parties for the years ended December 31, 2020, 2019 and 2018, respectively)</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Repayments of borrowings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(92,954)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notes payable</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(21,468)</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Distributions made to noncontrolling interests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and retirement of convertible preferred stock warrants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Repurchase and retirement of convertible preferred stock</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borrowings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144,048</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Proceeds from issuance of notes payable</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42,537</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49,925</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Proceeds from exercise of convertible preferred stock warrants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76"/>
        </w:trPr>
        <w:tc>
          <w:tcPr>
            <w:tcW w:w="7320" w:type="dxa"/>
            <w:vAlign w:val="bottom"/>
          </w:tcPr>
          <w:p>
            <w:pPr>
              <w:ind w:left="240"/>
              <w:spacing w:after="0" w:line="176" w:lineRule="exact"/>
              <w:rPr>
                <w:sz w:val="20"/>
                <w:szCs w:val="20"/>
                <w:color w:val="auto"/>
              </w:rPr>
            </w:pPr>
            <w:r>
              <w:rPr>
                <w:rFonts w:ascii="Arial" w:cs="Arial" w:eastAsia="Arial" w:hAnsi="Arial"/>
                <w:sz w:val="18"/>
                <w:szCs w:val="18"/>
                <w:color w:val="auto"/>
                <w:w w:val="90"/>
              </w:rPr>
              <w:t>Proceeds from the issuance of securitization notes and certificates (includes $54,839 from related</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242,454</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parties for the year ended December 31, 2018)</w:t>
            </w: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noncontrolling interests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135,766</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increase (decrease) in cash and restricted cash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48,867</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restricted cash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73,375</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122,242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26,676</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Total right-of-use assets capitalized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common stock warrant liability related to cashless exercise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Reclassification of preferred stock warrant liability related to cash exercise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Reclassification of common stock warrant liability to equity upon termination of repurchase option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Derecognition of loans held-for-investment in consolidated VIE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154,864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Derecognition of payable to securitization note holders and residual certificate holders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Derecognition of notes payable held in consolidated VIE</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retained under unconsolidated securitization transactions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Transfer of notes receivable and residual certificate on deconsolidation of VIE</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229"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3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Accrued convertible preferred stock issuance costs included in accrued expenses and other liabilities</w:t>
            </w: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Conversion of notes as part of issuance of convertible preferred stock</w:t>
            </w:r>
          </w:p>
        </w:tc>
        <w:tc>
          <w:tcPr>
            <w:tcW w:w="13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21,210</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29" w:right="339"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29" w:right="339" w:bottom="304"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9019"/>
          </w:cols>
          <w:pgMar w:left="1440" w:top="476"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hanging="725"/>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Significant Accounting Policies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Upstart Holdings, Inc. and its subsidiaries (together “Upstart,” or the “Company”) apply modern data science and technology to the process of originating consumer credit. The Company helps bank partners originate credit by providing them with a proprietary, cloud-based, artificial intelligence lending platform. As the Company’s technology continues to improve and additional banks adopt the Upstart platform, consumers benefit from improved access to affordable and frictionless credit.</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Network, Inc. was incorporated in Delaware in 2012. Pursuant to a restructuring, Upstart Holdings, Inc. was incorporated in December 2013 and became the holding company of Upstart Network, Inc. The Company currently operates in the United States and is headquartered in San Mateo, California. The Company’s fiscal year ends on December 31.</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12"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7"/>
          <w:szCs w:val="17"/>
          <w:color w:val="auto"/>
        </w:rPr>
        <w:t>On December 16, 2020, the Company completed an initial public offering (“IPO”), in which 9,000,000 shares of common stock were issued and sold at $20.00 per share, resulting in net proceeds of $167.4 million after deducting underwriting discounts and commissions of $12.6 million.</w:t>
      </w:r>
    </w:p>
    <w:p>
      <w:pPr>
        <w:spacing w:after="0" w:line="14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In November 2020, the outstanding Series B preferred stock warrant was exercised to purchase 600,208 of preferred stock. Upon consummation of the IPO in December 2020, the related 600,208 shares of preferred stock automatically converted into common stock. Additionally, all shares of convertible preferred stock outstanding automatically converted into 47,349,577 shares of common stock.</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incurred deferred offering costs consisting primarily of incremental accounting, legal, and other fees related to the IPO. Prior to the IPO, all deferred offering costs were capitalized within other assets on the consolidated balance sheets. Upon completion of the IPO, $7.9 million of deferred offering costs were reclassified into stockholders’ equity (deficit) as a reduction of the net proceeds received from the IPO.</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and include the accounts of the Company, its wholly-owned subsidiaries, and consolidated variable interest entities (“VIEs”). All intercompany accounts and transactions have been eliminated. The Company’s functional and reporting currency is the U.S. dollar.</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The preparation of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209"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and (iv) provision for income taxes, net of valuation allowance for deferred tax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229"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6"/>
          <w:szCs w:val="16"/>
          <w:color w:val="auto"/>
        </w:rPr>
        <w:t>Noncontrolling interests represent a portion of the equity of consolidated VIEs that are not held by the Company. These interests are recognized as a result of the admission of non-voting members into consolidated majority-owned affiliates (“MOAs”), which were formed in conjunction with the 2017-1, 2017-2, and 2018-1 securitizations for the purpose of holding subordinated certificates in sponsored securitizations for risk retention purposes. See “</w:t>
      </w:r>
      <w:r>
        <w:rPr>
          <w:rFonts w:ascii="Arial" w:cs="Arial" w:eastAsia="Arial" w:hAnsi="Arial"/>
          <w:sz w:val="16"/>
          <w:szCs w:val="16"/>
          <w:i w:val="1"/>
          <w:iCs w:val="1"/>
          <w:color w:val="auto"/>
        </w:rPr>
        <w:t>Note</w:t>
      </w:r>
    </w:p>
    <w:p>
      <w:pPr>
        <w:jc w:val="both"/>
        <w:ind w:firstLine="8"/>
        <w:spacing w:after="0" w:line="277" w:lineRule="auto"/>
        <w:tabs>
          <w:tab w:leader="none" w:pos="207"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Securitizations and Variable Interest Entities</w:t>
      </w:r>
      <w:r>
        <w:rPr>
          <w:rFonts w:ascii="Arial" w:cs="Arial" w:eastAsia="Arial" w:hAnsi="Arial"/>
          <w:sz w:val="16"/>
          <w:szCs w:val="16"/>
          <w:color w:val="auto"/>
        </w:rPr>
        <w:t>” for details. Earnings and losses associated with these VIEs, are allocated to noncontrolling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proportionally to their ownership interests in these entities in the period they are incurred. Cash distributions to holders of noncontrolling interests are made in the period following the allocation of earnings and losses. Noncontrolling interests and associated income or losses for each year presented are disclosed as separate line items on the consolidated balance sheets and consolidated statements of operations and comprehensive income (loss), respectively.</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17" w:lineRule="exact"/>
        <w:rPr>
          <w:sz w:val="20"/>
          <w:szCs w:val="20"/>
          <w:color w:val="auto"/>
        </w:rPr>
      </w:pPr>
    </w:p>
    <w:p>
      <w:pPr>
        <w:jc w:val="both"/>
        <w:ind w:firstLine="567"/>
        <w:spacing w:after="0" w:line="324" w:lineRule="auto"/>
        <w:rPr>
          <w:sz w:val="20"/>
          <w:szCs w:val="20"/>
          <w:color w:val="auto"/>
        </w:rPr>
      </w:pPr>
      <w:r>
        <w:rPr>
          <w:rFonts w:ascii="Arial" w:cs="Arial" w:eastAsia="Arial" w:hAnsi="Arial"/>
          <w:sz w:val="16"/>
          <w:szCs w:val="16"/>
          <w:color w:val="auto"/>
        </w:rPr>
        <w:t>Cash consists of bank deposits held in business checking and interest-bearing deposit accounts. As of December 31, 2020, and 2019 , the Company did not have any cash equivalent balances, defined as highly liquid financial instruments purchased with original maturities of three months or less.</w:t>
      </w:r>
    </w:p>
    <w:p>
      <w:pPr>
        <w:spacing w:after="0" w:line="151"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7"/>
          <w:szCs w:val="17"/>
          <w:color w:val="auto"/>
        </w:rPr>
        <w:t>Restricted cash primarily consists of bank deposits that are: (i) received from borrowers for interest and applied to loans as part of loan servicing, but not yet distributed to investors; (ii) received from investors as collateral for financing of loan purchases on the Upstart platform but not yet invested in issued loans; and (iii) collateral for a letter of credit the Company is required to maintain under its operating lease agreement.</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Financial Instruments not Measured at Fair Value</w:t>
      </w:r>
    </w:p>
    <w:p>
      <w:pPr>
        <w:spacing w:after="0" w:line="117"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The Company’s financial instruments not measured at fair value consist primarily of cash, restricted cash, and other assets (excluding certain financial instruments, which are measured at fair value), accounts payable, payable to investors, and other liabilities (excluding certain financial instruments, such as loan servicing assets and liabilities, trailing fee liabilities, common stock warrant liabilities and convertible preferred stock warrant liabilities, which are measured at fair value). The carrying values of these financial instruments are considered to be representative of their respective fair values due to their short-term nature.</w:t>
      </w:r>
    </w:p>
    <w:p>
      <w:pPr>
        <w:spacing w:after="0" w:line="216" w:lineRule="exact"/>
        <w:rPr>
          <w:sz w:val="20"/>
          <w:szCs w:val="20"/>
          <w:color w:val="auto"/>
        </w:rPr>
      </w:pPr>
    </w:p>
    <w:p>
      <w:pPr>
        <w:jc w:val="both"/>
        <w:ind w:firstLine="551"/>
        <w:spacing w:after="0"/>
        <w:rPr>
          <w:sz w:val="20"/>
          <w:szCs w:val="20"/>
          <w:color w:val="auto"/>
        </w:rPr>
      </w:pPr>
      <w:r>
        <w:rPr>
          <w:rFonts w:ascii="Arial" w:cs="Arial" w:eastAsia="Arial" w:hAnsi="Arial"/>
          <w:sz w:val="18"/>
          <w:szCs w:val="18"/>
          <w:color w:val="auto"/>
        </w:rPr>
        <w:t>Similarly, distributions payable to investors in securitization transactions, included in payable to securitization note holders and residual certificates holders in the Company’s consolidated balance sheets, are settled monthly as part of the waterfall payments and are not carried at fair value. Payable to investors includes amounts of loan repayments not yet distributed to investors, as well as amounts received from investors but not yet invested directly in whole loans or notes payable. Borrowings are presented at par, net of debt issuance costs and amortized over the contractual term, with accrued interest included as part of accounts payable on the consolidated balance sheets. The carrying value of borrowings approximates the fair value due to their relatively short maturities.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price used to measure fair value is not adjusted for transaction costs. The principal market is the market in which the Company would sell or transfer the asset with the greatest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229"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209"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The authoritative guidance on fair value measurements establishes a three-tier fair value hierarchy for disclosure of fair value measurements as follows: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1—Unadjusted quoted market prices in active markets for identical assets or liabilities;</w:t>
      </w:r>
    </w:p>
    <w:p>
      <w:pPr>
        <w:spacing w:after="0" w:line="239" w:lineRule="exact"/>
        <w:rPr>
          <w:sz w:val="20"/>
          <w:szCs w:val="20"/>
          <w:color w:val="auto"/>
        </w:rPr>
      </w:pPr>
    </w:p>
    <w:p>
      <w:pPr>
        <w:jc w:val="both"/>
        <w:ind w:firstLine="660"/>
        <w:spacing w:after="0" w:line="248" w:lineRule="auto"/>
        <w:rPr>
          <w:sz w:val="20"/>
          <w:szCs w:val="20"/>
          <w:color w:val="auto"/>
        </w:rPr>
      </w:pPr>
      <w:r>
        <w:rPr>
          <w:rFonts w:ascii="Arial" w:cs="Arial" w:eastAsia="Arial" w:hAnsi="Arial"/>
          <w:sz w:val="18"/>
          <w:szCs w:val="18"/>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62"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Assets and liabilities measured at fair value on a recurring basis include loans, notes receivable and residual certificates, payable to securitization note holders and residual certificate holders, other assets, common stock warrant liabilities, convertible preferred stock warrant liabilities, loan servicing assets and liabilities, and trailing fee liabilities. When developing fair value measurements, the Company maximizes the use of observable inputs and minimizes the use of unobservable inputs.</w:t>
      </w:r>
    </w:p>
    <w:p>
      <w:pPr>
        <w:spacing w:after="0" w:line="215"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Transfer of Financial Assets</w:t>
      </w:r>
    </w:p>
    <w:p>
      <w:pPr>
        <w:spacing w:after="0" w:line="117"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6"/>
          <w:szCs w:val="16"/>
          <w:color w:val="auto"/>
        </w:rPr>
        <w:t xml:space="preserve">Upstart-powered loans originated by bank partners are either retained by the bank partners, purchased by the Company and immediately sold to institutional investors under loan sale agreements, or purchased and held by the Company for a period of time before being sold to third-party investors, or held by the Company. Loans retained and held on the Company’s consolidated balance sheets are classified as either held-for-investment or held-for-sale,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bank partner and the Company’s subsequent acquisition of the loans from the originating bank partner. Loans sold to institutional investors are derecognized from the Company’s consolidated balance sheets at the time of sale in accordance with Topic 860, </w:t>
      </w:r>
      <w:r>
        <w:rPr>
          <w:rFonts w:ascii="Arial" w:cs="Arial" w:eastAsia="Arial" w:hAnsi="Arial"/>
          <w:sz w:val="16"/>
          <w:szCs w:val="16"/>
          <w:i w:val="1"/>
          <w:iCs w:val="1"/>
          <w:color w:val="auto"/>
        </w:rPr>
        <w:t>Transfers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Servicing</w:t>
      </w:r>
      <w:r>
        <w:rPr>
          <w:rFonts w:ascii="Arial" w:cs="Arial" w:eastAsia="Arial" w:hAnsi="Arial"/>
          <w:sz w:val="16"/>
          <w:szCs w:val="16"/>
          <w:color w:val="auto"/>
        </w:rPr>
        <w:t>. The Company records an asset or a liability at fair value for its estimated post-sale servicing obligations. The Company also records liabilities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for contingent obligations to repurchase loans that do not conform to the representations and warranties made to the loan purchaser at the time of sale. The net liability is included in other liabilities on the Company’s consolidated balance sheets.</w:t>
      </w:r>
    </w:p>
    <w:p>
      <w:pPr>
        <w:spacing w:after="0" w:line="198"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The Company retains certain loans purchased from originating bank partners upon completion of the required holding period primarily for product development purposes.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further details.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Loan Servicing Assets and Liabilities</w:t>
      </w:r>
    </w:p>
    <w:p>
      <w:pPr>
        <w:spacing w:after="0" w:line="117"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Loan servicing assets and liabilities are recognized at fair value when the Company transfers loans, which qualify as sales under Topic 860 with servicing rights retained or when the Company enters into servicing agreements with bank partners who retain Upstart-powered loans. A loan servicing asset or liability exists depending on whether the revenue from servicing is expected to more than adequately compensate the Company for carrying out its servicing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229"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Loan servicing assets and liabilities are recorded in other assets and other liabilities, respectively, in the consolidated balance sheets, with changes in fair value recorded in servicing revenue, net, which is part of revenue from fees, net in the consolidated statements of operations and comprehensive income (loss) in the periods presented. Refer to “</w:t>
      </w:r>
      <w:r>
        <w:rPr>
          <w:rFonts w:ascii="Arial" w:cs="Arial" w:eastAsia="Arial" w:hAnsi="Arial"/>
          <w:sz w:val="18"/>
          <w:szCs w:val="18"/>
          <w:i w:val="1"/>
          <w:iCs w:val="1"/>
          <w:color w:val="auto"/>
        </w:rPr>
        <w:t>Note 2. Revenue</w:t>
      </w:r>
      <w:r>
        <w:rPr>
          <w:rFonts w:ascii="Arial" w:cs="Arial" w:eastAsia="Arial" w:hAnsi="Arial"/>
          <w:sz w:val="18"/>
          <w:szCs w:val="18"/>
          <w:color w:val="auto"/>
        </w:rPr>
        <w:t>” for further details.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04"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equipment, and furniture and fixtures. Leasehold improvements are depreciated over the shorter of the remaining lease term or the estimated useful life.</w:t>
      </w:r>
    </w:p>
    <w:p>
      <w:pPr>
        <w:spacing w:after="0" w:line="174"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199"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The Company evaluates its long-lived assets for potential impairment when events or changes in circumstances indicate that the carrying amount of the assets may not be recoverable. When such an event occurs, the Company determines whether there has been an impairment by comparing the anticipated undiscounted future net cash flows to the related asset group’s carrying value. If an asset group is considered impaired, it is written down to its fair value, which is determined based on discounted cash flows or appraised values, depending on the nature of the assets. There were no impairments of long-lived assets as of December 31, 2020 and 2019.</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jc w:val="both"/>
        <w:ind w:firstLine="551"/>
        <w:spacing w:after="0" w:line="269" w:lineRule="auto"/>
        <w:rPr>
          <w:sz w:val="20"/>
          <w:szCs w:val="20"/>
          <w:color w:val="auto"/>
        </w:rPr>
      </w:pPr>
      <w:r>
        <w:rPr>
          <w:rFonts w:ascii="Arial" w:cs="Arial" w:eastAsia="Arial" w:hAnsi="Arial"/>
          <w:sz w:val="16"/>
          <w:szCs w:val="16"/>
          <w:color w:val="auto"/>
        </w:rPr>
        <w:t>The Company determines if an arrangement is or contains a lease at inception. Operating leases are recorded on the consolidated balance sheets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 As of December 31, 2020 and 2019, the Company did not have any material finance leases.</w:t>
      </w:r>
    </w:p>
    <w:p>
      <w:pPr>
        <w:spacing w:after="0" w:line="195" w:lineRule="exact"/>
        <w:rPr>
          <w:sz w:val="20"/>
          <w:szCs w:val="20"/>
          <w:color w:val="auto"/>
        </w:rPr>
      </w:pPr>
    </w:p>
    <w:p>
      <w:pPr>
        <w:jc w:val="both"/>
        <w:ind w:right="20" w:firstLine="551"/>
        <w:spacing w:after="0" w:line="248" w:lineRule="auto"/>
        <w:rPr>
          <w:sz w:val="20"/>
          <w:szCs w:val="20"/>
          <w:color w:val="auto"/>
        </w:rPr>
      </w:pPr>
      <w:r>
        <w:rPr>
          <w:rFonts w:ascii="Arial" w:cs="Arial" w:eastAsia="Arial" w:hAnsi="Arial"/>
          <w:sz w:val="18"/>
          <w:szCs w:val="18"/>
          <w:color w:val="auto"/>
        </w:rPr>
        <w:t>The Company has elected not to separate lease and non-lease components for any leases within its existing classes of assets and, as a result, accounts for any lease and non-lease components as a single lease component. The Company does not have any material leases with a term of 12 months or less.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Warrant Liabilities</w:t>
      </w:r>
    </w:p>
    <w:p>
      <w:pPr>
        <w:spacing w:after="0" w:line="104" w:lineRule="exact"/>
        <w:rPr>
          <w:sz w:val="20"/>
          <w:szCs w:val="20"/>
          <w:color w:val="auto"/>
        </w:rPr>
      </w:pPr>
    </w:p>
    <w:p>
      <w:pPr>
        <w:jc w:val="both"/>
        <w:ind w:firstLine="551"/>
        <w:spacing w:after="0" w:line="270" w:lineRule="auto"/>
        <w:rPr>
          <w:sz w:val="20"/>
          <w:szCs w:val="20"/>
          <w:color w:val="auto"/>
        </w:rPr>
      </w:pPr>
      <w:r>
        <w:rPr>
          <w:rFonts w:ascii="Arial" w:cs="Arial" w:eastAsia="Arial" w:hAnsi="Arial"/>
          <w:sz w:val="17"/>
          <w:szCs w:val="17"/>
          <w:color w:val="auto"/>
        </w:rPr>
        <w:t>The Company issued two common stock warrants in connection with loan agreements executed during the year ended December 31, 2018. These common stock warrants are exercisable at any time and have a repurchase option in the event of a qualified sale of the Company or an IPO. The repurchase option terminates after the occurrence of either of these two events for warrants that are still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229"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7"/>
          <w:szCs w:val="17"/>
          <w:color w:val="auto"/>
        </w:rPr>
        <w:t>The common stock warrants are contingently subject to repurchase at the option of the holders until the expiration of the repurchase clause. Therefore, the common stock warrants meet the requirements for liability classification under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and reported in accrued expenses and other liabilities on the consolidated balance sheets at their estimated fair value. Liability classified warrants are recorded at fair value and are subject to re-measurement at each balance sheet date. The change in fair value, if any, is recognized as expense on warrants and other non-operating expenses, net in the consolidated statement of operations and comprehensive income (loss).</w:t>
      </w:r>
    </w:p>
    <w:p>
      <w:pPr>
        <w:spacing w:after="0" w:line="66"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The Company assesses classification of its common stock warrants at each reporting date to determine whether a change in classification between liability and equity is required. Upon expiration of the repurchase option, the common stock warrants no longer meet the criteria for liability classification and are classified to equity under ASC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At reclassification, the common stock warrant is remeasured to fair value with any change in fair value recognized as expense on warrants and other non-operating expenses, net in the consolidated statement of operations and comprehensive income (loss).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Warrant Liabilities</w:t>
      </w:r>
    </w:p>
    <w:p>
      <w:pPr>
        <w:spacing w:after="0" w:line="104" w:lineRule="exact"/>
        <w:rPr>
          <w:sz w:val="20"/>
          <w:szCs w:val="20"/>
          <w:color w:val="auto"/>
        </w:rPr>
      </w:pPr>
    </w:p>
    <w:p>
      <w:pPr>
        <w:jc w:val="both"/>
        <w:ind w:firstLine="551"/>
        <w:spacing w:after="0" w:line="238" w:lineRule="auto"/>
        <w:rPr>
          <w:sz w:val="20"/>
          <w:szCs w:val="20"/>
          <w:color w:val="auto"/>
        </w:rPr>
      </w:pPr>
      <w:r>
        <w:rPr>
          <w:rFonts w:ascii="Arial" w:cs="Arial" w:eastAsia="Arial" w:hAnsi="Arial"/>
          <w:sz w:val="18"/>
          <w:szCs w:val="18"/>
          <w:color w:val="auto"/>
        </w:rPr>
        <w:t>The Company issued convertible preferred stock warrants to institutional investors that are exercisable at any time. Such warrants are recorded within accrued expenses and other liabilities on the consolidated balance sheets at their estimated fair value because the shares underlying the warrants may obligate the Company to transfer assets to the holders at a future date under certain circumstances such as a deemed liquidation event. The fair value of the convertible preferred stock warrant liabilities is estimated using the Black-Scholes option-pricing model and the change in fair value, if any, is included in expense on warrants and convertible notes, net in the consolidated statements of operations and comprehensive income (loss). The Company remeasured the liabilities until the warrant holder exercised the warrants in November 2020. At that time the convertible preferred stock warrant liability was reclassified to additional paid-in capital and preferred stock. Upon consummation of the IPO, the preferred stock was converted to common stock on a one-for-one basis.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 xml:space="preserve">The Company’s revenue consists of two components: revenue from fees, net and interest income and fair value adjustments, net. The revenue from fees, net line item on the consolidated statements of operations comprehensive income (loss) is primarily comprised of platform and referral fees, net, which are recognized based on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 Company adopted Topic 606 as of January 1, 2019, using the modified retrospective method for all contracts that were not complete as of the date of adoption. The adoption of Topic 606 did not have a material impact on the Company’s consolidated balance sheets, consolidated statements of operations and comprehensive income (loss), and consolidated statements of cash flows as of the adoption date.</w:t>
      </w:r>
    </w:p>
    <w:p>
      <w:pPr>
        <w:spacing w:after="0" w:line="216"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Topic 606 outlines a single comprehensive model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 Refer to “</w:t>
      </w:r>
      <w:r>
        <w:rPr>
          <w:rFonts w:ascii="Arial" w:cs="Arial" w:eastAsia="Arial" w:hAnsi="Arial"/>
          <w:sz w:val="18"/>
          <w:szCs w:val="18"/>
          <w:i w:val="1"/>
          <w:iCs w:val="1"/>
          <w:color w:val="auto"/>
        </w:rPr>
        <w:t>Note 2. Revenue</w:t>
      </w:r>
      <w:r>
        <w:rPr>
          <w:rFonts w:ascii="Arial" w:cs="Arial" w:eastAsia="Arial" w:hAnsi="Arial"/>
          <w:sz w:val="18"/>
          <w:szCs w:val="18"/>
          <w:color w:val="auto"/>
        </w:rPr>
        <w:t>” for further details.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w:t>
      </w:r>
    </w:p>
    <w:p>
      <w:pPr>
        <w:spacing w:after="0" w:line="104"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Customer operations</w:t>
      </w:r>
    </w:p>
    <w:p>
      <w:pPr>
        <w:spacing w:after="0" w:line="104"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Customer operations expenses include payroll and other personnel-related expenses, including stock-based compensation expense, for personnel engaged in onboarding, loan servicing, customer support and other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229"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Engineering and product development</w:t>
      </w:r>
    </w:p>
    <w:p>
      <w:pPr>
        <w:spacing w:after="0" w:line="104"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Engineering and product development expenses primarily consist of payroll and other employee-related expenses, including stock-based compensation expenses, for the engineering and product development teams as well the costs of systems and tools used by these teams. These costs are recognized in the period incurred.</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administrative, and other</w:t>
      </w:r>
    </w:p>
    <w:p>
      <w:pPr>
        <w:spacing w:after="0" w:line="104"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6"/>
          <w:szCs w:val="16"/>
          <w:color w:val="auto"/>
        </w:rPr>
        <w:t>The Company issues stock options to employees and nonemployees, including directors and third-party service providers, and employee stock purchase rights granted under the Company’s employee stock purchase plan (“ESPP”). Stock options are initially measured at fair value at the date of grant using the Black-Scholes option-pricing model. Stock-based compensation expenses are recognized based on their respective grant-date fair values. Forfeitures are estimated at the time of grant and revised, as necessary, in subsequent periods if actual forfeitures differ from initial estimates. Stock-based compensation expense is recorded net of estimated forfeitures, such that the expense is recorded only for those stock options that are expected to vest</w:t>
      </w:r>
      <w:r>
        <w:rPr>
          <w:rFonts w:ascii="Arial" w:cs="Arial" w:eastAsia="Arial" w:hAnsi="Arial"/>
          <w:sz w:val="16"/>
          <w:szCs w:val="16"/>
          <w:color w:val="auto"/>
          <w:strike w:val="1"/>
        </w:rPr>
        <w:t>.</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104"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In the years ended December 31, 2020, 2019, and 2018, other income primarily consists of dividend income earned by the Company on its unrestricted cash balance. It is recognized in the period earned. In 2018, other income also included amounts recognized by the Company in relation to a sublease agreement for an office space, which expired in 2018.</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 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has determined that forgiveness of the loan under the CARES Act is reasonably assured and has recorded the full amount of proceeds as other income in the consolidated statement of operations comprehensive income (loss).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72" w:lineRule="exact"/>
        <w:rPr>
          <w:sz w:val="20"/>
          <w:szCs w:val="20"/>
          <w:color w:val="auto"/>
        </w:rPr>
      </w:pPr>
    </w:p>
    <w:p>
      <w:pPr>
        <w:jc w:val="both"/>
        <w:ind w:firstLine="557"/>
        <w:spacing w:after="0" w:line="243" w:lineRule="auto"/>
        <w:rPr>
          <w:sz w:val="20"/>
          <w:szCs w:val="20"/>
          <w:color w:val="auto"/>
        </w:rPr>
      </w:pPr>
      <w:r>
        <w:rPr>
          <w:rFonts w:ascii="Arial" w:cs="Arial" w:eastAsia="Arial" w:hAnsi="Arial"/>
          <w:sz w:val="18"/>
          <w:szCs w:val="18"/>
          <w:color w:val="auto"/>
        </w:rPr>
        <w:t>The effect on deferred tax assets and liabilities of a change in tax rates is recognized in income in the period that includes the enactment date. A valuation allowance may be established to reduce the 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 back or carryforward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229"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57"/>
        <w:spacing w:after="0" w:line="248"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 of Upstart Holdings, Inc. Stockholders</w:t>
      </w:r>
    </w:p>
    <w:p>
      <w:pPr>
        <w:spacing w:after="0" w:line="104" w:lineRule="exact"/>
        <w:rPr>
          <w:sz w:val="20"/>
          <w:szCs w:val="20"/>
          <w:color w:val="auto"/>
        </w:rPr>
      </w:pPr>
    </w:p>
    <w:p>
      <w:pPr>
        <w:jc w:val="both"/>
        <w:ind w:firstLine="551"/>
        <w:spacing w:after="0" w:line="238" w:lineRule="auto"/>
        <w:rPr>
          <w:sz w:val="20"/>
          <w:szCs w:val="20"/>
          <w:color w:val="auto"/>
        </w:rPr>
      </w:pPr>
      <w:r>
        <w:rPr>
          <w:rFonts w:ascii="Arial" w:cs="Arial" w:eastAsia="Arial" w:hAnsi="Arial"/>
          <w:sz w:val="18"/>
          <w:szCs w:val="18"/>
          <w:color w:val="auto"/>
        </w:rPr>
        <w:t>The Company follows the two-class method when computing net income (loss) per common share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 Accordingly, for the periods where the Company is in a net loss position, the Company does not allocate any net loss attributable to common stockholders to the convertible preferred stock.</w:t>
      </w:r>
    </w:p>
    <w:p>
      <w:pPr>
        <w:spacing w:after="0" w:line="194"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7"/>
          <w:szCs w:val="17"/>
          <w:color w:val="auto"/>
        </w:rPr>
        <w:t>Diluted net income (loss) per share is the amount of net income (loss) available to each share of common stock outstanding during the reporting period, adjusted to include the effect of potentially dilutive common shares. For periods in which the Company reports net losses, basic and diluted net loss per share attributable to Upstart Holdings, Inc.’s common stockholders are the same because potentially dilutive common shares are not assumed to have been issued if their effect is anti-dilutive. Potentially dilutive common shares include incremental shares issued for convertible preferred stock, stock options, warrants to purchase convertible preferred stock and warrants to purchase common stock.</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04" w:lineRule="exact"/>
        <w:rPr>
          <w:sz w:val="20"/>
          <w:szCs w:val="20"/>
          <w:color w:val="auto"/>
        </w:rPr>
      </w:pPr>
    </w:p>
    <w:p>
      <w:pPr>
        <w:jc w:val="both"/>
        <w:ind w:firstLine="551"/>
        <w:spacing w:after="0" w:line="324" w:lineRule="auto"/>
        <w:rPr>
          <w:sz w:val="20"/>
          <w:szCs w:val="20"/>
          <w:color w:val="auto"/>
        </w:rPr>
      </w:pPr>
      <w:r>
        <w:rPr>
          <w:rFonts w:ascii="Arial" w:cs="Arial" w:eastAsia="Arial" w:hAnsi="Arial"/>
          <w:sz w:val="16"/>
          <w:szCs w:val="16"/>
          <w:color w:val="auto"/>
        </w:rPr>
        <w:t>Comprehensive income (loss) represents all changes in equity of the Company during the periods presented, resulting from transactions with non-owner sources. The Company’s comprehensive income (loss) was equal to its net income (loss) for the years ended December 31, 2020, 2019 and 2018.</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restricted cash, and loans. The Company’s cash and restricted cash are held in financial institutions in the United States. From time to time, amounts on deposit may exceed federally insured limits. The Company is exposed to credit risk in the event of default by these financial institutions to the extent the amount recorded on the Company’s consolidated balance sheets exceeds the insured amounts by the Federal Deposit Insurance Corporation (“FDIC”). The Company reduces credit risk by placing its cash in high-credit-quality financial instruments that are managed by reputable institutions. The Company is further exposed to credit risks on loans held on our consolidated balance sheets from changes in economic conditions that may cause individual borrower default due to inability or unwillingness to meet their financial obligations. The Company manages credit risk on loans by leveraging its AI models to effectively evaluate a borrower’s credit worthiness and likelihood of default.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 revenues equal to or greater than 10% of total revenues was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6020" w:type="dxa"/>
            <w:vAlign w:val="bottom"/>
          </w:tcPr>
          <w:p>
            <w:pPr>
              <w:spacing w:after="0"/>
              <w:rPr>
                <w:sz w:val="19"/>
                <w:szCs w:val="19"/>
                <w:color w:val="auto"/>
              </w:rPr>
            </w:pP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2020</w:t>
            </w:r>
          </w:p>
        </w:tc>
        <w:tc>
          <w:tcPr>
            <w:tcW w:w="21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320" w:type="dxa"/>
            <w:vAlign w:val="bottom"/>
            <w:tcBorders>
              <w:top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4"/>
              </w:rPr>
              <w:t>63%</w:t>
            </w: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270"/>
              <w:spacing w:after="0"/>
              <w:rPr>
                <w:sz w:val="20"/>
                <w:szCs w:val="20"/>
                <w:color w:val="auto"/>
              </w:rPr>
            </w:pPr>
            <w:r>
              <w:rPr>
                <w:rFonts w:ascii="Arial" w:cs="Arial" w:eastAsia="Arial" w:hAnsi="Arial"/>
                <w:sz w:val="18"/>
                <w:szCs w:val="18"/>
                <w:color w:val="auto"/>
                <w:w w:val="88"/>
              </w:rPr>
              <w:t>81%</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320" w:type="dxa"/>
            <w:vAlign w:val="bottom"/>
          </w:tcPr>
          <w:p>
            <w:pPr>
              <w:jc w:val="center"/>
              <w:ind w:left="290"/>
              <w:spacing w:after="0"/>
              <w:rPr>
                <w:sz w:val="20"/>
                <w:szCs w:val="20"/>
                <w:color w:val="auto"/>
              </w:rPr>
            </w:pPr>
            <w:r>
              <w:rPr>
                <w:rFonts w:ascii="Arial" w:cs="Arial" w:eastAsia="Arial" w:hAnsi="Arial"/>
                <w:sz w:val="18"/>
                <w:szCs w:val="18"/>
                <w:color w:val="auto"/>
                <w:w w:val="94"/>
              </w:rPr>
              <w:t>18%</w:t>
            </w:r>
          </w:p>
        </w:tc>
        <w:tc>
          <w:tcPr>
            <w:tcW w:w="2140" w:type="dxa"/>
            <w:vAlign w:val="bottom"/>
            <w:gridSpan w:val="3"/>
          </w:tcPr>
          <w:p>
            <w:pPr>
              <w:jc w:val="center"/>
              <w:ind w:left="3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color w:val="auto"/>
              </w:rPr>
              <w:t>*</w:t>
            </w:r>
          </w:p>
        </w:tc>
      </w:tr>
    </w:tbl>
    <w:p>
      <w:pPr>
        <w:spacing w:after="0" w:line="110" w:lineRule="exact"/>
        <w:rPr>
          <w:sz w:val="20"/>
          <w:szCs w:val="20"/>
          <w:color w:val="auto"/>
        </w:rPr>
      </w:pPr>
    </w:p>
    <w:p>
      <w:pPr>
        <w:ind w:left="860" w:hanging="285"/>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229"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color w:val="auto"/>
              </w:rPr>
              <w:t>Customers accounting for greater than 10% of accounts receivable was as follows: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86"/>
        </w:trPr>
        <w:tc>
          <w:tcPr>
            <w:tcW w:w="78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800" w:type="dxa"/>
            <w:vAlign w:val="bottom"/>
          </w:tcPr>
          <w:p>
            <w:pPr>
              <w:spacing w:after="0"/>
              <w:rPr>
                <w:sz w:val="19"/>
                <w:szCs w:val="19"/>
                <w:color w:val="auto"/>
              </w:rPr>
            </w:pPr>
          </w:p>
        </w:tc>
        <w:tc>
          <w:tcPr>
            <w:tcW w:w="110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2020</w:t>
            </w:r>
          </w:p>
        </w:tc>
        <w:tc>
          <w:tcPr>
            <w:tcW w:w="23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10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4"/>
              </w:rPr>
              <w:t>34%</w:t>
            </w: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100" w:type="dxa"/>
            <w:vAlign w:val="bottom"/>
          </w:tcPr>
          <w:p>
            <w:pPr>
              <w:jc w:val="center"/>
              <w:ind w:left="470"/>
              <w:spacing w:after="0"/>
              <w:rPr>
                <w:sz w:val="20"/>
                <w:szCs w:val="20"/>
                <w:color w:val="auto"/>
              </w:rPr>
            </w:pPr>
            <w:r>
              <w:rPr>
                <w:rFonts w:ascii="Arial" w:cs="Arial" w:eastAsia="Arial" w:hAnsi="Arial"/>
                <w:sz w:val="18"/>
                <w:szCs w:val="18"/>
                <w:color w:val="auto"/>
                <w:w w:val="94"/>
              </w:rPr>
              <w:t>15%</w:t>
            </w:r>
          </w:p>
        </w:tc>
        <w:tc>
          <w:tcPr>
            <w:tcW w:w="2340" w:type="dxa"/>
            <w:vAlign w:val="bottom"/>
            <w:gridSpan w:val="3"/>
          </w:tcPr>
          <w:p>
            <w:pPr>
              <w:jc w:val="center"/>
              <w:ind w:left="570"/>
              <w:spacing w:after="0"/>
              <w:rPr>
                <w:sz w:val="20"/>
                <w:szCs w:val="20"/>
                <w:color w:val="auto"/>
              </w:rPr>
            </w:pPr>
            <w:r>
              <w:rPr>
                <w:rFonts w:ascii="Arial" w:cs="Arial" w:eastAsia="Arial" w:hAnsi="Arial"/>
                <w:sz w:val="18"/>
                <w:szCs w:val="18"/>
                <w:color w:val="auto"/>
              </w:rPr>
              <w:t>*</w:t>
            </w:r>
          </w:p>
        </w:tc>
      </w:tr>
    </w:tbl>
    <w:p>
      <w:pPr>
        <w:spacing w:after="0" w:line="92" w:lineRule="exact"/>
        <w:rPr>
          <w:sz w:val="20"/>
          <w:szCs w:val="20"/>
          <w:color w:val="auto"/>
        </w:rPr>
      </w:pPr>
    </w:p>
    <w:p>
      <w:pPr>
        <w:ind w:left="58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10%</w:t>
      </w:r>
    </w:p>
    <w:p>
      <w:pPr>
        <w:spacing w:after="0" w:line="104"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The Company has one reportable segment. The Company’s chief operating decision maker, the Chief Executive Officer, reviews financial information presented on a consolidated basis for purposes of allocating resources and evaluating financial performance.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jc w:val="both"/>
        <w:ind w:firstLine="557"/>
        <w:spacing w:after="0" w:line="276"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89" w:lineRule="exact"/>
        <w:rPr>
          <w:sz w:val="20"/>
          <w:szCs w:val="20"/>
          <w:color w:val="auto"/>
        </w:rPr>
      </w:pPr>
    </w:p>
    <w:p>
      <w:pPr>
        <w:jc w:val="both"/>
        <w:ind w:firstLine="557"/>
        <w:spacing w:after="0" w:line="248" w:lineRule="auto"/>
        <w:rPr>
          <w:sz w:val="20"/>
          <w:szCs w:val="20"/>
          <w:color w:val="auto"/>
        </w:rPr>
      </w:pPr>
      <w:r>
        <w:rPr>
          <w:rFonts w:ascii="Arial" w:cs="Arial" w:eastAsia="Arial" w:hAnsi="Arial"/>
          <w:sz w:val="18"/>
          <w:szCs w:val="18"/>
          <w:color w:val="auto"/>
        </w:rPr>
        <w:t>The JOBS Act does not preclude an emerging growth company from early adopting new or revised accounting standards. The Company early adopted ASU 2016-02, Leases (Topic 842), effective January 1, 2019. The Company expects to use the extended transition period for any other new or revised accounting standards during the period which the Company remains an emerging growth company.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adopted the following accounting standards during the year ended December 31, 2020:</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In August 2018, the Financial Accounting Standards Board (“FASB”) issued ASU 2018-13, </w:t>
      </w:r>
      <w:r>
        <w:rPr>
          <w:rFonts w:ascii="Arial" w:cs="Arial" w:eastAsia="Arial" w:hAnsi="Arial"/>
          <w:sz w:val="18"/>
          <w:szCs w:val="18"/>
          <w:i w:val="1"/>
          <w:iCs w:val="1"/>
          <w:color w:val="auto"/>
        </w:rPr>
        <w:t>Fair Value Measurement (Topic 820):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Fair Value Measurement</w:t>
      </w:r>
      <w:r>
        <w:rPr>
          <w:rFonts w:ascii="Arial" w:cs="Arial" w:eastAsia="Arial" w:hAnsi="Arial"/>
          <w:sz w:val="18"/>
          <w:szCs w:val="18"/>
          <w:color w:val="auto"/>
        </w:rPr>
        <w:t>, which modifies the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by removing, modifying, or adding certain disclosures. The ASU eliminates disclosures such as the amount of and reasons for transfers between Level 1 and Level 2 of the fair value hierarchy and valuation processes for Level 3 fair value measurements. The ASU also adds new disclosure requirements for Level 3 measurements. The new guidance became effective on January 1, 2020 and did not have a material impact on the Company’s related disclosures.</w:t>
      </w:r>
    </w:p>
    <w:p>
      <w:pPr>
        <w:spacing w:after="0" w:line="189"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In December 2019, the FASB issued ASU No. 2019-12 (“ASU 2019-12”) “Income Taxes (Topic 740) Simplifying the Accounting for Income Taxes”, which removes certain exceptions to the general principles in Topic 740 and improves consistent application of and simplifies GAAP for other areas of Topic 740 by clarifying and amending existing guidance. For public business entities, this ASU is effective for fiscal years, and interim periods within those fiscal years, beginning after December 15, 2020. The Company early adopted ASU 2019-12 in the fourth quarter of 2020 with no material impact on the Company’s consolidated financial statements and related disclosures.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 xml:space="preserve">In June 2016, the FASB amended guidance related to impairment of financial instruments as part of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which will be effective January 1, 2023 for emerging growth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adopted the private company relief. The guidance replaces the incurred loss impairment methodology with an expected credit loss model for which a company recognizes an allowance based on the estimate of expected credit loss. The Company accounts for its loans at fair value through net income, which is outside the scope of Topic 326. For available for sale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229"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securities, the guidance will require recognition of expected credit losses by recognizing an allowance for credit losses when the fair value of the security is below amortized cost and the recognition of this allowance is limited to the difference between the security’s amortized cost basis and fair value. The Company is evaluating the impact this ASU will have on its consolidated balance sheets, consolidated statements of operations and comprehensive income (loss), consolidated statements of cash flows and related disclosures.. The Company plans to adopt Topic 326 effective as of January 1, 2023.</w:t>
      </w:r>
    </w:p>
    <w:p>
      <w:pPr>
        <w:spacing w:after="0" w:line="155"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which requires a customer in a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that is a service contract to follow the internal-use software guidance in 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Company does not expect the adoption of this guidance will have a material impact on the Company’s consolidated financial statements related disclosures. The Company plans to adopt the ASU 2018-15 effective as of January 1, 2021.</w:t>
      </w:r>
    </w:p>
    <w:p>
      <w:pPr>
        <w:spacing w:after="0" w:line="180" w:lineRule="exact"/>
        <w:rPr>
          <w:sz w:val="20"/>
          <w:szCs w:val="20"/>
          <w:color w:val="auto"/>
        </w:rPr>
      </w:pPr>
    </w:p>
    <w:p>
      <w:pPr>
        <w:jc w:val="both"/>
        <w:ind w:firstLine="551"/>
        <w:spacing w:after="0" w:line="272"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Hedging-Contracts in Entity’s Own Equity (Subtopic 815-40): Accounting for Convertible Instruments and Contracts in an Entity’s Own Equity</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simplifies accounting for convertible instruments by removing major separation models required under current U.S. GAAP. The standard removes certain settlement conditions that are required for equity contracts to qualify for the derivative scope exception and also simplifies the diluted earnings per share calculation in certain areas The amendments in this update are effective for public business entities for fiscal years beginning after December 15, 2021, and interim periods within those fiscal years. The amendment is to be adopted through either a fully retrospective or modified retrospective method of transition. Early adoption is permitted. The Company does not expect the adoption of this guidance will have a material impact on the Company’s consolidated financial statements related disclosures. The Company plans to early adopt ASU 2020-06 effective as of January 1, 2021.</w:t>
      </w:r>
    </w:p>
    <w:p>
      <w:pPr>
        <w:spacing w:after="0" w:line="164" w:lineRule="exact"/>
        <w:rPr>
          <w:sz w:val="20"/>
          <w:szCs w:val="20"/>
          <w:color w:val="auto"/>
        </w:rPr>
      </w:pPr>
    </w:p>
    <w:p>
      <w:pPr>
        <w:ind w:left="1300" w:hanging="725"/>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disaggregates revenue from fees by type of service for the periods presented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6020" w:type="dxa"/>
            <w:vAlign w:val="bottom"/>
          </w:tcPr>
          <w:p>
            <w:pPr>
              <w:ind w:left="460"/>
              <w:spacing w:after="0"/>
              <w:rPr>
                <w:sz w:val="20"/>
                <w:szCs w:val="20"/>
                <w:color w:val="auto"/>
              </w:rPr>
            </w:pPr>
            <w:r>
              <w:rPr>
                <w:rFonts w:ascii="Arial" w:cs="Arial" w:eastAsia="Arial" w:hAnsi="Arial"/>
                <w:sz w:val="18"/>
                <w:szCs w:val="18"/>
                <w:color w:val="auto"/>
              </w:rPr>
              <w:t>Platform and referral fees, net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200,257</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144,055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83,381</w:t>
            </w:r>
          </w:p>
        </w:tc>
      </w:tr>
      <w:tr>
        <w:trPr>
          <w:trHeight w:val="230"/>
        </w:trPr>
        <w:tc>
          <w:tcPr>
            <w:tcW w:w="6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fees, net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revenue from fees, net</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228,600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159,847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88,482</w:t>
            </w: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Platform and referral fees, net</w:t>
      </w:r>
    </w:p>
    <w:p>
      <w:pPr>
        <w:spacing w:after="0" w:line="117" w:lineRule="exact"/>
        <w:rPr>
          <w:sz w:val="20"/>
          <w:szCs w:val="20"/>
          <w:color w:val="auto"/>
        </w:rPr>
      </w:pPr>
    </w:p>
    <w:p>
      <w:pPr>
        <w:jc w:val="both"/>
        <w:ind w:firstLine="567"/>
        <w:spacing w:after="0" w:line="274" w:lineRule="auto"/>
        <w:rPr>
          <w:sz w:val="20"/>
          <w:szCs w:val="20"/>
          <w:color w:val="auto"/>
        </w:rPr>
      </w:pPr>
      <w:r>
        <w:rPr>
          <w:rFonts w:ascii="Arial" w:cs="Arial" w:eastAsia="Arial" w:hAnsi="Arial"/>
          <w:sz w:val="16"/>
          <w:szCs w:val="16"/>
          <w:color w:val="auto"/>
        </w:rPr>
        <w:t>The Company enters into contracts with bank partners to provide access to a cloud-based artificial intelligence lending platform developed by the Company (the “Upstart platform”) to enable banks to originate personal unsecured and auto refinance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229"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After origination, Upstart-powered loans are either retained by bank partners, purchased by the Company for immediate resale to institutional investors under loan sale agreements, or purchased and held by the Company. Upstart pays bank partners a one-time loan premium fee upon completion of the minimum holding periods. Upstart also pays bank partners monthly loan trailing fees based on the amount and timing of principal and interest payments made by borrowers of the underlying loans. The monthly loan trailing fees are paid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consolidated statements of operations and comprehensive income (loss) for the periods presented. The Company recognized $8.3 million, $5.5 million and $3.3 million of loan premium fees and loan trailing fees as contra-revenue within platform and referral fees, net for the year ended December 31, 2020, 2019 and 2018, respectively.</w:t>
      </w:r>
    </w:p>
    <w:p>
      <w:pPr>
        <w:spacing w:after="0" w:line="1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started paying loan trailing fees on January 1, 2019. As of December 31, 2020, the Company recorded $1.3 million of loan trailing fee liability, which is recorded at fair value and included within accrued expenses other liabilities on the Company’s consolidated balance sheets. As of December 31, 2019, the Company recorded an immaterial loan trailing fee liability.</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15"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7"/>
          <w:szCs w:val="17"/>
          <w:color w:val="auto"/>
        </w:rPr>
        <w:t>Platform and referral services are typically provided under a fixed or declining (tier-based) price per unit based on volume or as a percentage of the total value of loans originated each period; however, pricing for these services may also be based on minimum usage fees. The tier-based pricing, when offered, resets on a monthly basis and does not accumulate. Given that the nature of the Company’s promise is to stand ready and provide continuous access to and process transactions through the platform, tier-based pricing based on usage represents variable consideration. Since the variable fees relate directly to the day in which such services are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 Fees for platform and referrals services are typically billed and paid on a monthly basis. As such, the Company’s contracts with customers do not include a significant financing component.</w:t>
      </w:r>
    </w:p>
    <w:p>
      <w:pPr>
        <w:spacing w:after="0" w:line="208"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7"/>
          <w:szCs w:val="17"/>
          <w:color w:val="auto"/>
        </w:rPr>
        <w:t>The Company did not recognize revenue from performance obligations related to prior periods for the years ended December 31, 2020, 2019 and 2018. The Company had no material contract assets, contract liabilities, or deferred contract costs recorded as of December 31, 2020 and 2019. The Company had $8.1 million and $5.4 million of accounts receivable that are included in other assets on the consolidated balance sheets related to contracts with customers as of December 31, 2020 and 2019, respectively. The Company’s allowance for bad debt was immaterial as of December 31, 2020 and 2019, and the Company’s bad debt expense was immaterial for the periods presented.</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Servicing fees, net</w:t>
      </w:r>
    </w:p>
    <w:p>
      <w:pPr>
        <w:spacing w:after="0" w:line="117"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18"/>
          <w:szCs w:val="18"/>
          <w:color w:val="auto"/>
        </w:rPr>
        <w:t xml:space="preserve">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Topic 606 and are accounted for under Topic 860, </w:t>
      </w:r>
      <w:r>
        <w:rPr>
          <w:rFonts w:ascii="Arial" w:cs="Arial" w:eastAsia="Arial" w:hAnsi="Arial"/>
          <w:sz w:val="18"/>
          <w:szCs w:val="18"/>
          <w:i w:val="1"/>
          <w:iCs w:val="1"/>
          <w:color w:val="auto"/>
        </w:rPr>
        <w:t>Transfers and servicing of financial assets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229"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Servicing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the Company for carrying out its servicing obligations. Servicing fees also include changes in fair value of loan servicing assets and liabilities in the periods presented.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 on changes in fair value associated with servicing assets and liabilities.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recognized gains and losses related to loan servicing rights upon loan sales for the periods presented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related to loan servicing rights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r>
    </w:tbl>
    <w:p>
      <w:pPr>
        <w:spacing w:after="0" w:line="337"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7"/>
          <w:szCs w:val="17"/>
          <w:color w:val="auto"/>
        </w:rPr>
        <w:t>The Company generally outsources borrower payment collections for loans that are more than 30 days past due or charged off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fees, net as part of revenue from fees, net in the Company’s consolidated statements of operations and comprehensive income (loss). The total fees charged by collection agencies are also recognized in the period incurred and reported as part of customer operations expenses.</w:t>
      </w:r>
    </w:p>
    <w:p>
      <w:pPr>
        <w:spacing w:after="0" w:line="2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recognized collection agency fees and borrower fees, which are included in servicing fees, net for the periods presented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 agency fees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Borrower fees</w:t>
            </w: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745</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11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in the Company’s normal course of business at fair value, including loans, notes receivable and residual certificates, payable to securitization note holders and residual certificate holders.</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table below presents components of the interest income and fair value adjustments, net presented in the Company’s condensed consolidated statements of operations and comprehensive income (loss)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3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6020" w:type="dxa"/>
            <w:vAlign w:val="bottom"/>
          </w:tcPr>
          <w:p>
            <w:pPr>
              <w:ind w:left="360"/>
              <w:spacing w:after="0" w:line="230" w:lineRule="exact"/>
              <w:rPr>
                <w:sz w:val="20"/>
                <w:szCs w:val="20"/>
                <w:color w:val="auto"/>
              </w:rPr>
            </w:pPr>
            <w:r>
              <w:rPr>
                <w:rFonts w:ascii="Arial" w:cs="Arial" w:eastAsia="Arial" w:hAnsi="Arial"/>
                <w:sz w:val="18"/>
                <w:szCs w:val="18"/>
                <w:color w:val="auto"/>
              </w:rPr>
              <w:t>Interest income</w:t>
            </w:r>
            <w:r>
              <w:rPr>
                <w:rFonts w:ascii="Arial" w:cs="Arial" w:eastAsia="Arial" w:hAnsi="Arial"/>
                <w:sz w:val="23"/>
                <w:szCs w:val="23"/>
                <w:color w:val="auto"/>
                <w:vertAlign w:val="superscript"/>
              </w:rPr>
              <w:t>(1)</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63,313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left="570"/>
              <w:spacing w:after="0"/>
              <w:rPr>
                <w:sz w:val="20"/>
                <w:szCs w:val="20"/>
                <w:color w:val="auto"/>
              </w:rPr>
            </w:pPr>
            <w:r>
              <w:rPr>
                <w:rFonts w:ascii="Arial" w:cs="Arial" w:eastAsia="Arial" w:hAnsi="Arial"/>
                <w:sz w:val="18"/>
                <w:szCs w:val="18"/>
                <w:color w:val="auto"/>
                <w:w w:val="87"/>
              </w:rPr>
              <w:t>76,683</w:t>
            </w:r>
          </w:p>
        </w:tc>
      </w:tr>
      <w:tr>
        <w:trPr>
          <w:trHeight w:val="230"/>
        </w:trPr>
        <w:tc>
          <w:tcPr>
            <w:tcW w:w="60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2"/>
              </w:rPr>
              <w:t>(26,483)</w:t>
            </w:r>
          </w:p>
        </w:tc>
      </w:tr>
      <w:tr>
        <w:trPr>
          <w:trHeight w:val="230"/>
        </w:trPr>
        <w:tc>
          <w:tcPr>
            <w:tcW w:w="60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Fair value and other adjustments, net</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(13,566)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2"/>
              </w:rPr>
              <w:t>(39,369)</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7"/>
              </w:rPr>
              <w:t>10,831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229"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interest income, interest expense and fair value adjustments, net related to consolidated securitization trusts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155"/>
        </w:trPr>
        <w:tc>
          <w:tcPr>
            <w:tcW w:w="6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Interest income and fair value adjustments, net related to consolidated</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securitization trusts: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38,218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60,425</w:t>
            </w:r>
          </w:p>
        </w:tc>
      </w:tr>
      <w:tr>
        <w:trPr>
          <w:trHeight w:val="229"/>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w:t>
            </w:r>
          </w:p>
        </w:tc>
      </w:tr>
      <w:tr>
        <w:trPr>
          <w:trHeight w:val="23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and other adjustments, net</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(37,607)</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Interest income is recognized based on the terms of the underlying agreements with borrowers for loans held on the Company’s consolidated balance sheets and is earned over the life of a loan.</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As of December 31, 2020, and 2019, the Company has recorded $0.9 million and $1.2 million of accrued interest income in loans on the consolidated balance sheets, respectively.</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Interest expense is primarily related to interest recorded on the Company’s borrowings and the notes issued as part of the consolidated securitizations. Interest expense includes accrued interest incurred but not paid. Accrued interest expenses were immaterial as of December 31, 2020 and 2019.</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Fair value and other adjustments, net</w:t>
      </w:r>
    </w:p>
    <w:p>
      <w:pPr>
        <w:spacing w:after="0" w:line="117"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Fair value and other adjustments, net include changes in fair value of financial instruments, other than loan servicing assets and liabilities, common stock warrant liabilities, and convertible preferred stock warrant liabilities. These adjustments are recorded in the Company’s earnings and include both realized and unrealized changes to the value of related assets and liabilities. Refer to “</w:t>
      </w:r>
      <w:r>
        <w:rPr>
          <w:rFonts w:ascii="Arial" w:cs="Arial" w:eastAsia="Arial" w:hAnsi="Arial"/>
          <w:sz w:val="16"/>
          <w:szCs w:val="16"/>
          <w:i w:val="1"/>
          <w:iCs w:val="1"/>
          <w:color w:val="auto"/>
        </w:rPr>
        <w:t>Note 4. Fair Value Measurement</w:t>
      </w:r>
      <w:r>
        <w:rPr>
          <w:rFonts w:ascii="Arial" w:cs="Arial" w:eastAsia="Arial" w:hAnsi="Arial"/>
          <w:sz w:val="16"/>
          <w:szCs w:val="16"/>
          <w:color w:val="auto"/>
        </w:rPr>
        <w:t>” for additional information.</w:t>
      </w:r>
    </w:p>
    <w:p>
      <w:pPr>
        <w:spacing w:after="0" w:line="282"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Fair value and other adjustments, net also include income attributable to third-party residual certificate holders for the consolidated securitization and amounts received from borrowers for previously charged-off loans held on the Company’s consolidated balance sheets. These amounts are recognized in the period received.</w:t>
      </w:r>
    </w:p>
    <w:p>
      <w:pPr>
        <w:spacing w:after="0" w:line="178" w:lineRule="exact"/>
        <w:rPr>
          <w:sz w:val="20"/>
          <w:szCs w:val="20"/>
          <w:color w:val="auto"/>
        </w:rPr>
      </w:pPr>
    </w:p>
    <w:p>
      <w:pPr>
        <w:ind w:left="1300" w:hanging="725"/>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Securitizations and Variable Interest Entities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117"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6"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229"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for additional information.</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Warehouse Entities</w:t>
      </w:r>
    </w:p>
    <w:p>
      <w:pPr>
        <w:spacing w:after="0" w:line="11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 xml:space="preserve">The Company established Upstart Loan Trust and Upstart Warehouse Trust to enter into warehouse credit facilities for the purpose of purchasing Upstart-powered loans. See </w:t>
      </w:r>
      <w:r>
        <w:rPr>
          <w:rFonts w:ascii="Arial" w:cs="Arial" w:eastAsia="Arial" w:hAnsi="Arial"/>
          <w:sz w:val="18"/>
          <w:szCs w:val="18"/>
          <w:i w:val="1"/>
          <w:iCs w:val="1"/>
          <w:color w:val="auto"/>
        </w:rPr>
        <w:t>“Note 7. Borrowings”</w:t>
      </w:r>
      <w:r>
        <w:rPr>
          <w:rFonts w:ascii="Arial" w:cs="Arial" w:eastAsia="Arial" w:hAnsi="Arial"/>
          <w:sz w:val="18"/>
          <w:szCs w:val="18"/>
          <w:color w:val="auto"/>
        </w:rPr>
        <w:t xml:space="preserve"> for additional information. These entities are Delaware statutory trusts that are structured to be bankruptcy-remote, with third-party banks operating as trustees.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Consolidated Securitizations and MOAs</w:t>
      </w:r>
    </w:p>
    <w:p>
      <w:pPr>
        <w:spacing w:after="0" w:line="11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The Company entered into three private offering securitization transactions in June 2017 (“2017-1”), November 2017 (“2017-2”), and April 2018 (“2018-1”), respectively. As the sponsor of these securitization transactions, the Company created several legal entities for the roles of depositors, issuers, grantor trusts, and MOAs for each securitization transaction.</w:t>
      </w:r>
    </w:p>
    <w:p>
      <w:pPr>
        <w:spacing w:after="0" w:line="209" w:lineRule="exact"/>
        <w:rPr>
          <w:sz w:val="20"/>
          <w:szCs w:val="20"/>
          <w:color w:val="auto"/>
        </w:rPr>
      </w:pPr>
    </w:p>
    <w:p>
      <w:pPr>
        <w:jc w:val="both"/>
        <w:ind w:firstLine="557"/>
        <w:spacing w:after="0" w:line="243" w:lineRule="auto"/>
        <w:rPr>
          <w:sz w:val="20"/>
          <w:szCs w:val="20"/>
          <w:color w:val="auto"/>
        </w:rPr>
      </w:pPr>
      <w:r>
        <w:rPr>
          <w:rFonts w:ascii="Arial" w:cs="Arial" w:eastAsia="Arial" w:hAnsi="Arial"/>
          <w:sz w:val="18"/>
          <w:szCs w:val="18"/>
          <w:color w:val="auto"/>
        </w:rPr>
        <w:t xml:space="preserve">Under the risk retention requirements in Title 17 U.S. </w:t>
      </w:r>
      <w:r>
        <w:rPr>
          <w:rFonts w:ascii="Arial" w:cs="Arial" w:eastAsia="Arial" w:hAnsi="Arial"/>
          <w:sz w:val="18"/>
          <w:szCs w:val="18"/>
          <w:i w:val="1"/>
          <w:iCs w:val="1"/>
          <w:color w:val="auto"/>
        </w:rPr>
        <w:t>Code of Federal Regulations</w:t>
      </w:r>
      <w:r>
        <w:rPr>
          <w:rFonts w:ascii="Arial" w:cs="Arial" w:eastAsia="Arial" w:hAnsi="Arial"/>
          <w:sz w:val="18"/>
          <w:szCs w:val="18"/>
          <w:color w:val="auto"/>
        </w:rPr>
        <w:t xml:space="preserve"> Part 246, </w:t>
      </w:r>
      <w:r>
        <w:rPr>
          <w:rFonts w:ascii="Arial" w:cs="Arial" w:eastAsia="Arial" w:hAnsi="Arial"/>
          <w:sz w:val="18"/>
          <w:szCs w:val="18"/>
          <w:i w:val="1"/>
          <w:iCs w:val="1"/>
          <w:color w:val="auto"/>
        </w:rPr>
        <w:t>Credit Risk Retention</w:t>
      </w:r>
      <w:r>
        <w:rPr>
          <w:rFonts w:ascii="Arial" w:cs="Arial" w:eastAsia="Arial" w:hAnsi="Arial"/>
          <w:sz w:val="18"/>
          <w:szCs w:val="18"/>
          <w:color w:val="auto"/>
        </w:rPr>
        <w:t>, promulgated by Securities and Exchange Commission (“RR”), the Company is required to retain at least 5% of the economic risk in the securitization transactions in which the Company is the retaining sponsor. The Company elected to satisfy the RR requirements by holding Eligible Horizontal Retained Interests (“EHRIs”) in the form of subordinated certificates within the established MOAs.</w:t>
      </w:r>
    </w:p>
    <w:p>
      <w:pPr>
        <w:spacing w:after="0" w:line="215" w:lineRule="exact"/>
        <w:rPr>
          <w:sz w:val="20"/>
          <w:szCs w:val="20"/>
          <w:color w:val="auto"/>
        </w:rPr>
      </w:pPr>
    </w:p>
    <w:p>
      <w:pPr>
        <w:jc w:val="both"/>
        <w:ind w:firstLine="551"/>
        <w:spacing w:after="0" w:line="239" w:lineRule="auto"/>
        <w:rPr>
          <w:sz w:val="20"/>
          <w:szCs w:val="20"/>
          <w:color w:val="auto"/>
        </w:rPr>
      </w:pPr>
      <w:r>
        <w:rPr>
          <w:rFonts w:ascii="Arial" w:cs="Arial" w:eastAsia="Arial" w:hAnsi="Arial"/>
          <w:sz w:val="18"/>
          <w:szCs w:val="18"/>
          <w:color w:val="auto"/>
        </w:rPr>
        <w:t>Concurrently with the closing of the 2017-1, 2017-2, and 2018-1 securitization transactions, while maintaining its status as the primary beneficiary of the related MOAs, the Company sold 80% of its interests in these MOAs to an institutional investor in exchange for cash of approximately $8.0 million, $7.8 million, and $8.0 million, respectively, based on the fair value of the residual certificates held in the MOAs as determined on the pricing dates. As a result of the sales, the Company maintained a 20% interest in the MOAs and its status as the managing member, while the investor became a non-voting limited member of these MOAs. As of December 31, 2019, the institutional investor’s ownership interests in the 2018-1 MOA represent the noncontrolling interests on the consolidated balance sheets. As of December 31, 2020, no noncontrolling interests were recognized due to deconsolidation of the 2018-1 securitization during 2020.</w:t>
      </w:r>
    </w:p>
    <w:p>
      <w:pPr>
        <w:spacing w:after="0" w:line="218" w:lineRule="exact"/>
        <w:rPr>
          <w:sz w:val="20"/>
          <w:szCs w:val="20"/>
          <w:color w:val="auto"/>
        </w:rPr>
      </w:pPr>
    </w:p>
    <w:p>
      <w:pPr>
        <w:jc w:val="both"/>
        <w:ind w:firstLine="551"/>
        <w:spacing w:after="0" w:line="241" w:lineRule="auto"/>
        <w:rPr>
          <w:sz w:val="20"/>
          <w:szCs w:val="20"/>
          <w:color w:val="auto"/>
        </w:rPr>
      </w:pPr>
      <w:r>
        <w:rPr>
          <w:rFonts w:ascii="Arial" w:cs="Arial" w:eastAsia="Arial" w:hAnsi="Arial"/>
          <w:sz w:val="18"/>
          <w:szCs w:val="18"/>
          <w:color w:val="auto"/>
        </w:rPr>
        <w:t>Upon closing of these securitization transactions, the Company determined that the servicing fees represented a variable interest in these securitization entities due to the EHRIs held by the Company’s MOAs to satisfy the RR requirements. The EHRIs held by these MOAs were deemed to potentially absorb more than an insignificant amount of the VIEs’ expected losses or expected returns at the inception of the securitization transactions. The Company also determined that it was the primary beneficiary of these entities and consolidated the MOAs and trusts associated with the 2017-1, 2017-2, and 2018-1 securitization transactions.</w:t>
      </w:r>
    </w:p>
    <w:p>
      <w:pPr>
        <w:spacing w:after="0" w:line="216" w:lineRule="exact"/>
        <w:rPr>
          <w:sz w:val="20"/>
          <w:szCs w:val="20"/>
          <w:color w:val="auto"/>
        </w:rPr>
      </w:pPr>
    </w:p>
    <w:p>
      <w:pPr>
        <w:jc w:val="both"/>
        <w:ind w:firstLine="557"/>
        <w:spacing w:after="0" w:line="253" w:lineRule="auto"/>
        <w:rPr>
          <w:sz w:val="20"/>
          <w:szCs w:val="20"/>
          <w:color w:val="auto"/>
        </w:rPr>
      </w:pPr>
      <w:r>
        <w:rPr>
          <w:rFonts w:ascii="Arial" w:cs="Arial" w:eastAsia="Arial" w:hAnsi="Arial"/>
          <w:sz w:val="17"/>
          <w:szCs w:val="17"/>
          <w:color w:val="auto"/>
        </w:rPr>
        <w:t>Subsequent to the expiration of the RR requirements for 2017-1 and 2017-2 in December 2019 and 2018-1 in June 2020, the residual certificates held by each of the respective MOAs were distributed based on the proportional equity held by Upstart and the investor. This distribution required the Company to reassess whether its servicing fee is a variable interest. Although the Company maintains a reduced level of variable interests in the 2017-1 and 2017-2 securitization transactions through the EHRIs, the Company’s other interests subsequent to these distributions are no longer expected to absorb more than an insignificant amount of each of the VIE’s expected losses or expected returns. Therefore, the Company concluded that the fees for servicing the securitization transactions are no longer considered variable interests, and as such the powers the Company possesses through the servicing arrangements are no longer considered in the primary beneficiary determination. As a result, the Company concluded it was no longer the primary beneficiary of the 2017-1, 2017-2, and 2018-1 securitization transactions. The Company deconsolidated the legal entities associated with the 2017-1 and 2017-2 securitization transactions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229"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of December 31, 2019 and 2018-1 as of June 30, 2020. The Company recorded an immaterial net gain on the deconsolidation of these entities. The Company maintained its role as servicer of these securitization transactions.</w:t>
      </w:r>
    </w:p>
    <w:p>
      <w:pPr>
        <w:spacing w:after="0" w:line="198"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auto"/>
        </w:rPr>
        <w:t xml:space="preserve">The Company sponsored three additional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 Company consolidated these MOAs as of December 31, 2020 and 2019. The Company determined that it is not the primary beneficiary of the trusts which hold the loans associated with these securitization transactions, primarily because the Company’s servicing fees are not considered variable interests, and that the transfer of loans as collateral into these securitization transactions met the definition of a sale under Topic 860, </w:t>
      </w:r>
      <w:r>
        <w:rPr>
          <w:rFonts w:ascii="Arial" w:cs="Arial" w:eastAsia="Arial" w:hAnsi="Arial"/>
          <w:sz w:val="17"/>
          <w:szCs w:val="17"/>
          <w:i w:val="1"/>
          <w:iCs w:val="1"/>
          <w:color w:val="auto"/>
        </w:rPr>
        <w:t>Transferring and Servicing</w:t>
      </w:r>
      <w:r>
        <w:rPr>
          <w:rFonts w:ascii="Arial" w:cs="Arial" w:eastAsia="Arial" w:hAnsi="Arial"/>
          <w:sz w:val="17"/>
          <w:szCs w:val="17"/>
          <w:color w:val="auto"/>
        </w:rPr>
        <w:t xml:space="preserve">. As such, the Company derecognized these loans from the consolidated balance sheets upon the closing of these securitization transactions. Refer to the </w:t>
      </w:r>
      <w:r>
        <w:rPr>
          <w:rFonts w:ascii="Arial" w:cs="Arial" w:eastAsia="Arial" w:hAnsi="Arial"/>
          <w:sz w:val="17"/>
          <w:szCs w:val="17"/>
          <w:i w:val="1"/>
          <w:iCs w:val="1"/>
          <w:color w:val="auto"/>
        </w:rPr>
        <w:t xml:space="preserve">Unconsolidated Securitizations </w:t>
      </w:r>
      <w:r>
        <w:rPr>
          <w:rFonts w:ascii="Arial" w:cs="Arial" w:eastAsia="Arial" w:hAnsi="Arial"/>
          <w:sz w:val="17"/>
          <w:szCs w:val="17"/>
          <w:color w:val="auto"/>
        </w:rPr>
        <w:t>section below for more information.</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Other Consolidated VIEs</w:t>
      </w:r>
    </w:p>
    <w:p>
      <w:pPr>
        <w:spacing w:after="0" w:line="11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Upstart Loan Trust 2, a Delaware statutory trust, holds personal loans facilitated through the Upstart platform that do not meet the criteria for inclusion in the warehouse credit facilities, or that were the result of the Company’s repurchases of loans for breaches of representations and warranties made to institutional investors, as described above.</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a summary of financial assets and liabilities from the Company’s involvement with consolidated VIEs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Net Assets</w:t>
            </w: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Warehouse Entities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35,109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36,421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16,243</w:t>
            </w: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Net Assets</w:t>
            </w: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Warehouse Entities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131,903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80,206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51,697</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020" w:type="dxa"/>
            <w:vAlign w:val="bottom"/>
          </w:tcPr>
          <w:p>
            <w:pPr>
              <w:ind w:left="360"/>
              <w:spacing w:after="0"/>
              <w:rPr>
                <w:sz w:val="20"/>
                <w:szCs w:val="20"/>
                <w:color w:val="auto"/>
              </w:rPr>
            </w:pPr>
            <w:r>
              <w:rPr>
                <w:rFonts w:ascii="Arial" w:cs="Arial" w:eastAsia="Arial" w:hAnsi="Arial"/>
                <w:sz w:val="18"/>
                <w:szCs w:val="18"/>
                <w:color w:val="auto"/>
              </w:rPr>
              <w:t>Securitization Trusts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95,995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2,577</w:t>
            </w: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229"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7" w:lineRule="exact"/>
        <w:rPr>
          <w:sz w:val="20"/>
          <w:szCs w:val="20"/>
          <w:color w:val="auto"/>
        </w:rPr>
      </w:pPr>
    </w:p>
    <w:p>
      <w:pPr>
        <w:jc w:val="both"/>
        <w:ind w:firstLine="567"/>
        <w:spacing w:after="0" w:line="262" w:lineRule="auto"/>
        <w:rPr>
          <w:sz w:val="20"/>
          <w:szCs w:val="20"/>
          <w:color w:val="auto"/>
        </w:rPr>
      </w:pPr>
      <w:r>
        <w:rPr>
          <w:rFonts w:ascii="Arial" w:cs="Arial" w:eastAsia="Arial" w:hAnsi="Arial"/>
          <w:sz w:val="17"/>
          <w:szCs w:val="17"/>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 The Company’s transactions with unconsolidated VIEs include securitizations of unsecured personal whole loans and sales of whole loans to VIEs. The Company has various forms of involvement with VIEs, including servicing of loans and holding senior or residual interests in the VIEs.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Unconsolidated Securitizations</w:t>
      </w:r>
    </w:p>
    <w:p>
      <w:pPr>
        <w:spacing w:after="0" w:line="117"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As of December 31, 2020, the Company’s unconsolidated VIEs include entities established as the issuers and grantor trusts for the 2017-1, 2017-2, 2018-1, 2018-2, 2019-1, and 2019-2 securitization transactions (the “Unconsolidated Securitizations”). The Company’s continued involvement in the unconsolidated VIEs is in the form of its role as the sponsor and the servicer of these transactions. For each of the unconsolidated securitizations, the Company determined that it is not the primary beneficiary.</w:t>
      </w:r>
    </w:p>
    <w:p>
      <w:pPr>
        <w:spacing w:after="0" w:line="323" w:lineRule="exact"/>
        <w:rPr>
          <w:sz w:val="20"/>
          <w:szCs w:val="20"/>
          <w:color w:val="auto"/>
        </w:rPr>
      </w:pPr>
    </w:p>
    <w:p>
      <w:pPr>
        <w:jc w:val="both"/>
        <w:ind w:firstLine="557"/>
        <w:spacing w:after="0" w:line="284"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Upstart Network Trust</w:t>
      </w:r>
    </w:p>
    <w:p>
      <w:pPr>
        <w:spacing w:after="0" w:line="104"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7"/>
          <w:szCs w:val="17"/>
          <w:color w:val="auto"/>
        </w:rPr>
        <w:t>Upstart Network Trust (“UNT”), also a Delaware statutory trust, was established in 2014 to facilitate Upstart’s fractional loan program. The Company is the servicer of UNT’s loan assets and previously concluded that the servicing fee represents a variable interest and that the Company is the primary beneficiary of UNT. The program was formally discontinued in 2019 and as a result of a reduction in the Company’s investment in UNT, the Company concluded that it was no longer the primary beneficiary and therefore deconsolidated UNT during 2019. An immaterial loss related to servicing rights was recognized on deconsolidation. The fair value of the Company’s investment in UNT is included in notes receivable and residual certificates in the consolidated balance sheets as of December 31, 2020, and 2019. The Company’s continued involvement in UNT includes loan servicing rights and obligations for which it receives servicing fees over the life of the underlying loans</w:t>
      </w:r>
    </w:p>
    <w:p>
      <w:pPr>
        <w:spacing w:after="0" w:line="200" w:lineRule="exact"/>
        <w:rPr>
          <w:sz w:val="20"/>
          <w:szCs w:val="20"/>
          <w:color w:val="auto"/>
        </w:rPr>
      </w:pPr>
    </w:p>
    <w:p>
      <w:pPr>
        <w:spacing w:after="0" w:line="223"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The Company’s unconsolidated VIEs include UNT, which was deconsolidated during the year ended December 31, 2019 upon discontinuation of the fractional loan program.</w:t>
      </w:r>
    </w:p>
    <w:p>
      <w:pPr>
        <w:spacing w:after="0" w:line="198"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The following tables summarize the aggregate carrying value of assets and liabilities of unconsolidated VIEs in which the Company holds a variable interest but is not the primary beneficiary (in thousands):</w:t>
      </w: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5"/>
                <w:szCs w:val="15"/>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5"/>
                <w:szCs w:val="15"/>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w w:val="94"/>
              </w:rPr>
              <w:t>Maximum Exposure</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484,604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390,252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94,352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24,434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Upstart Network Trust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524,358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430,006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94,352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229"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Maximum Exposure</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778,628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640,592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138,036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34,828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Upstart Network Trust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855,835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717,799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138,036</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38,131</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The carrying value of assets that relate to variable interests in unconsolidated VIEs consists of $18.9 million and $30.3 million which are included in notes receivable and residual certificates on the consolidated balance sheets as of December 31, 2020, and 2019, respectively. The Company also had $7.2 million and $4.6 million of cash deposits made to reserve accounts for related securitizations, included in other assets on the consolidated balance sheets as of December 31, 2020, and 2019, respectively.</w:t>
      </w:r>
    </w:p>
    <w:p>
      <w:pPr>
        <w:spacing w:after="0" w:line="215"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209" w:lineRule="exact"/>
        <w:rPr>
          <w:sz w:val="20"/>
          <w:szCs w:val="20"/>
          <w:color w:val="auto"/>
        </w:rPr>
      </w:pPr>
    </w:p>
    <w:p>
      <w:pPr>
        <w:jc w:val="both"/>
        <w:ind w:right="20" w:firstLine="551"/>
        <w:spacing w:after="0" w:line="255" w:lineRule="auto"/>
        <w:rPr>
          <w:sz w:val="20"/>
          <w:szCs w:val="20"/>
          <w:color w:val="auto"/>
        </w:rPr>
      </w:pPr>
      <w:r>
        <w:rPr>
          <w:rFonts w:ascii="Arial" w:cs="Arial" w:eastAsia="Arial" w:hAnsi="Arial"/>
          <w:sz w:val="18"/>
          <w:szCs w:val="18"/>
          <w:color w:val="auto"/>
        </w:rPr>
        <w:t>The following table summarizes activity related to the unconsolidated securitization transactions on the Company’s consolidated financial statements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derecognized from loans securitized</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gains recognized from loans securitized included in earnings</w:t>
            </w:r>
          </w:p>
        </w:tc>
        <w:tc>
          <w:tcPr>
            <w:tcW w:w="940" w:type="dxa"/>
            <w:vAlign w:val="bottom"/>
          </w:tcPr>
          <w:p>
            <w:pPr>
              <w:spacing w:after="0"/>
              <w:rPr>
                <w:sz w:val="19"/>
                <w:szCs w:val="19"/>
                <w:color w:val="auto"/>
              </w:rPr>
            </w:pPr>
          </w:p>
        </w:tc>
        <w:tc>
          <w:tcPr>
            <w:tcW w:w="110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securitization notes and residual certificates retained in the transaction</w:t>
            </w:r>
          </w:p>
        </w:tc>
        <w:tc>
          <w:tcPr>
            <w:tcW w:w="9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proceeds from loans securitized</w:t>
            </w:r>
          </w:p>
        </w:tc>
        <w:tc>
          <w:tcPr>
            <w:tcW w:w="940" w:type="dxa"/>
            <w:vAlign w:val="bottom"/>
          </w:tcPr>
          <w:p>
            <w:pPr>
              <w:spacing w:after="0"/>
              <w:rPr>
                <w:sz w:val="19"/>
                <w:szCs w:val="19"/>
                <w:color w:val="auto"/>
              </w:rPr>
            </w:pPr>
          </w:p>
        </w:tc>
        <w:tc>
          <w:tcPr>
            <w:tcW w:w="110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70,845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 from servicing and other administrative fees on loans securitized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proceeds from interest received on securitization notes and residual certificates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1,663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3,112</w:t>
            </w:r>
          </w:p>
        </w:tc>
      </w:tr>
    </w:tbl>
    <w:p>
      <w:pPr>
        <w:spacing w:after="0" w:line="200" w:lineRule="exact"/>
        <w:rPr>
          <w:sz w:val="20"/>
          <w:szCs w:val="20"/>
          <w:color w:val="auto"/>
        </w:rPr>
      </w:pPr>
    </w:p>
    <w:p>
      <w:pPr>
        <w:spacing w:after="0" w:line="35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Retained Interest in Unconsolidated VIEs</w:t>
      </w:r>
    </w:p>
    <w:p>
      <w:pPr>
        <w:spacing w:after="0" w:line="117"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Off-Balance Sheet Loans</w:t>
      </w:r>
    </w:p>
    <w:p>
      <w:pPr>
        <w:spacing w:after="0" w:line="117"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216"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In December 2019, February 2020, and October 2020, the Company co-sponsored securitization transactions (“2019-3”, “2020-1”, and “2020-3”, respectively) with an investment bank. The Company was not required to retain economic risk in these securitization transactions as the co-sponsor investment bank acted as the retaining sponsor. Similar to 2018-2, 2019-1, and 2019-2, the Company contributed certain loans to this securitization as collateral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229"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recognized this transfer under Topic 860, </w:t>
      </w:r>
      <w:r>
        <w:rPr>
          <w:rFonts w:ascii="Arial" w:cs="Arial" w:eastAsia="Arial" w:hAnsi="Arial"/>
          <w:sz w:val="18"/>
          <w:szCs w:val="18"/>
          <w:i w:val="1"/>
          <w:iCs w:val="1"/>
          <w:color w:val="auto"/>
        </w:rPr>
        <w:t>Transferring and Servicing</w:t>
      </w:r>
      <w:r>
        <w:rPr>
          <w:rFonts w:ascii="Arial" w:cs="Arial" w:eastAsia="Arial" w:hAnsi="Arial"/>
          <w:sz w:val="18"/>
          <w:szCs w:val="18"/>
          <w:color w:val="auto"/>
        </w:rPr>
        <w:t>. The Company is also the servicer of these securitization transactions.</w:t>
      </w:r>
    </w:p>
    <w:p>
      <w:pPr>
        <w:spacing w:after="0" w:line="239" w:lineRule="exact"/>
        <w:rPr>
          <w:sz w:val="20"/>
          <w:szCs w:val="20"/>
          <w:color w:val="auto"/>
        </w:rPr>
      </w:pPr>
    </w:p>
    <w:p>
      <w:pPr>
        <w:ind w:firstLine="567"/>
        <w:spacing w:after="0" w:line="291" w:lineRule="auto"/>
        <w:rPr>
          <w:sz w:val="20"/>
          <w:szCs w:val="20"/>
          <w:color w:val="auto"/>
        </w:rPr>
      </w:pPr>
      <w:r>
        <w:rPr>
          <w:rFonts w:ascii="Arial" w:cs="Arial" w:eastAsia="Arial" w:hAnsi="Arial"/>
          <w:sz w:val="17"/>
          <w:szCs w:val="17"/>
          <w:color w:val="auto"/>
        </w:rPr>
        <w:t>In September 2020, the Company co-sponsored an additional securitization transaction (“2020-2”) with an investment bank. The Company did not retain economic risk in this transaction and did not contribute any loans as collateral. The Company is the servicer of this securitization.</w:t>
      </w:r>
    </w:p>
    <w:p>
      <w:pPr>
        <w:spacing w:after="0" w:line="143" w:lineRule="exact"/>
        <w:rPr>
          <w:sz w:val="20"/>
          <w:szCs w:val="20"/>
          <w:color w:val="auto"/>
        </w:rPr>
      </w:pPr>
    </w:p>
    <w:p>
      <w:pPr>
        <w:ind w:left="1300" w:hanging="725"/>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assets and liabilities measured at fair value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Loans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78,460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Loan servicing assets</w:t>
            </w: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Trailing fee liabilities</w:t>
            </w: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December 31, 2019</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Loans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232,305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232,305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Loan servicing assets</w:t>
            </w: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Trailing fee liabilities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Loan servicing liabilities</w:t>
            </w: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securitization notes and residual certificate holders</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Convertible preferred stock warrant liabilities</w:t>
            </w: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 liabilities</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102,118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102,118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Financial instruments are categorized in the fair value hierarchy based on the significance of unobservable factors in the overall fair value measurement. Since the Company’s loans, notes receivable and residual certificates, other assets, loan servicing assets and liabilities, payable to securitization note holders and residual certificate holders, trailing fee liabilities, convertible preferred stock warrants, and common stock warrants, do not trade in an active market with readily observable prices, the Company uses significant unobservable inputs to measure the fair value of these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229"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The Company has elected the fair value option for loans, notes receivable and residual certificates, and payable to securitization note holders and residual certificate holders. The election allows for assets and related liabilities to be measured similarly. Changes in the fair value of the loans are partially offset by corresponding changes in the fair value of payable to securitization note holders and residual certificate holders. The net fair value adjustments are presented as interest income and fair value adjustments, net in the consolidated statements of operations and comprehensive income (loss).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Level 2 or Level 3 of the fair value hierarchy during the periods presented.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As of December 31, 2020, loans included in the Company’s consolidated balance sheets are classified as either held-for-sale or held-for-investment. The Company reclassified such loans held by the warehouse entities from held-for-investment to held-for-sale as of January 1, 2020, due to the Company’s intent to sell the loans prior to maturity and increasing evidence of their marketability. Other loans held on the Company’s consolidated balance sheets retained their classification as held-for-investment. These loans include loans which do not satisfy the warehouse requirements and loans held in the consolidated securitizations.</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fair value of classes of loans held by the Company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held-for-sale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60,232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Loans held-for-investment</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18,228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141,555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held-for-investment in consolidated securitizations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90,750</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78,460</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232,305</w:t>
            </w:r>
          </w:p>
        </w:tc>
      </w:tr>
      <w:tr>
        <w:trPr>
          <w:trHeight w:val="21"/>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Valuation Methodology</w:t>
      </w:r>
    </w:p>
    <w:p>
      <w:pPr>
        <w:spacing w:after="0" w:line="131"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Loans held-for-sale and held-for-investment, excluding those in consolidated securitizations,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 which was immaterial as of December 31, 2020, and 2019.</w:t>
      </w:r>
    </w:p>
    <w:p>
      <w:pPr>
        <w:spacing w:after="0" w:line="215"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auto"/>
        </w:rPr>
        <w:t xml:space="preserve">For the years ended December 31, 2020 and 2019, the Company elected the measurement alternative under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and maximizes the use of observable inputs to estimate the fair value of the financial assets and liabilities of consolidated securitization entities. Under the measurement alternative, the Company measures the financial assets, which consist of held-for-investment and held-for-sale loans in the consolidated balance sheets, and financial liabilities, which consist of securitization notes and residual certificates issued to institutional investors, included in payable to securitization note holders and residual certificate holders in the consolidated balance sheets, using the more observable of the fair value of the financial assets and liabilities. The Company determined the fair value of the amounts payable to securitization note holders and residual certificate holders is more observable than that of the loans. The securitization notes and residual certificates are measured at fair value, and the loans are measured based on the sum of the fair value of the securitization notes and residual certificates, with changes in fair value included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229"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Significant Inputs and Assumptions</w:t>
      </w:r>
    </w:p>
    <w:p>
      <w:pPr>
        <w:spacing w:after="0" w:line="117" w:lineRule="exact"/>
        <w:rPr>
          <w:sz w:val="20"/>
          <w:szCs w:val="20"/>
          <w:color w:val="auto"/>
        </w:rPr>
      </w:pPr>
    </w:p>
    <w:p>
      <w:pPr>
        <w:ind w:right="20" w:firstLine="567"/>
        <w:spacing w:after="0" w:line="261"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loans held-for-investment and held-for-sale, excluding loans held-for-investment in consolidated securitizations:</w:t>
      </w:r>
    </w:p>
    <w:p>
      <w:pPr>
        <w:sectPr>
          <w:pgSz w:w="11900" w:h="16838" w:orient="portrait"/>
          <w:cols w:equalWidth="0" w:num="1">
            <w:col w:w="11240"/>
          </w:cols>
          <w:pgMar w:left="320" w:top="229" w:right="339" w:bottom="1440" w:gutter="0" w:footer="0" w:header="0"/>
        </w:sect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2020</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4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60" w:type="dxa"/>
            <w:vAlign w:val="bottom"/>
          </w:tcPr>
          <w:p>
            <w:pPr>
              <w:jc w:val="right"/>
              <w:ind w:right="57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8"/>
                <w:szCs w:val="18"/>
                <w:color w:val="auto"/>
              </w:rPr>
              <w:t>Discount rate</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16.99 %</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7.44 %</w:t>
            </w:r>
          </w:p>
        </w:tc>
        <w:tc>
          <w:tcPr>
            <w:tcW w:w="0" w:type="dxa"/>
            <w:vAlign w:val="bottom"/>
          </w:tcPr>
          <w:p>
            <w:pPr>
              <w:spacing w:after="0"/>
              <w:rPr>
                <w:sz w:val="1"/>
                <w:szCs w:val="1"/>
                <w:color w:val="auto"/>
              </w:rPr>
            </w:pPr>
          </w:p>
        </w:tc>
      </w:tr>
      <w:tr>
        <w:trPr>
          <w:trHeight w:val="229"/>
        </w:trPr>
        <w:tc>
          <w:tcPr>
            <w:tcW w:w="2280" w:type="dxa"/>
            <w:vAlign w:val="bottom"/>
          </w:tcPr>
          <w:p>
            <w:pPr>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0.36 %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19.82 %</w:t>
            </w:r>
          </w:p>
        </w:tc>
        <w:tc>
          <w:tcPr>
            <w:tcW w:w="0" w:type="dxa"/>
            <w:vAlign w:val="bottom"/>
          </w:tcPr>
          <w:p>
            <w:pPr>
              <w:spacing w:after="0"/>
              <w:rPr>
                <w:sz w:val="1"/>
                <w:szCs w:val="1"/>
                <w:color w:val="auto"/>
              </w:rPr>
            </w:pPr>
          </w:p>
        </w:tc>
      </w:tr>
      <w:tr>
        <w:trPr>
          <w:trHeight w:val="304"/>
        </w:trPr>
        <w:tc>
          <w:tcPr>
            <w:tcW w:w="2280" w:type="dxa"/>
            <w:vAlign w:val="bottom"/>
          </w:tcPr>
          <w:p>
            <w:pPr>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11.64 %</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78.36 %</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7"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3"/>
          <w:szCs w:val="13"/>
          <w:color w:val="auto"/>
        </w:rPr>
      </w:pPr>
      <w:r>
        <w:rPr>
          <w:rFonts w:ascii="Arial" w:cs="Arial" w:eastAsia="Arial" w:hAnsi="Arial"/>
          <w:sz w:val="16"/>
          <w:szCs w:val="16"/>
          <w:color w:val="auto"/>
        </w:rPr>
        <w:t>Expressed as a percentage of the original principal balance of the loans</w:t>
      </w:r>
    </w:p>
    <w:p>
      <w:pPr>
        <w:spacing w:after="0" w:line="19" w:lineRule="exact"/>
        <w:rPr>
          <w:rFonts w:ascii="Arial" w:cs="Arial" w:eastAsia="Arial" w:hAnsi="Arial"/>
          <w:sz w:val="13"/>
          <w:szCs w:val="13"/>
          <w:color w:val="auto"/>
        </w:rPr>
      </w:pPr>
    </w:p>
    <w:p>
      <w:pPr>
        <w:ind w:left="1300" w:hanging="644"/>
        <w:spacing w:after="0"/>
        <w:tabs>
          <w:tab w:leader="none" w:pos="1300" w:val="left"/>
        </w:tabs>
        <w:numPr>
          <w:ilvl w:val="0"/>
          <w:numId w:val="43"/>
        </w:numPr>
        <w:rPr>
          <w:rFonts w:ascii="Arial" w:cs="Arial" w:eastAsia="Arial" w:hAnsi="Arial"/>
          <w:sz w:val="13"/>
          <w:szCs w:val="13"/>
          <w:color w:val="auto"/>
        </w:rPr>
      </w:pPr>
      <w:r>
        <w:rPr>
          <w:rFonts w:ascii="Arial" w:cs="Arial" w:eastAsia="Arial" w:hAnsi="Arial"/>
          <w:sz w:val="16"/>
          <w:szCs w:val="16"/>
          <w:color w:val="auto"/>
        </w:rPr>
        <w:t>Unobservable inputs were weighted by relative fair value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6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50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14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80" w:type="dxa"/>
            <w:vAlign w:val="bottom"/>
          </w:tcPr>
          <w:p>
            <w:pPr>
              <w:jc w:val="right"/>
              <w:ind w:right="59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2"/>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4.72 %</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14.57 %</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29"/>
        </w:trPr>
        <w:tc>
          <w:tcPr>
            <w:tcW w:w="1380" w:type="dxa"/>
            <w:vAlign w:val="bottom"/>
          </w:tcPr>
          <w:p>
            <w:pPr>
              <w:jc w:val="right"/>
              <w:spacing w:after="0"/>
              <w:rPr>
                <w:sz w:val="20"/>
                <w:szCs w:val="20"/>
                <w:color w:val="auto"/>
              </w:rPr>
            </w:pPr>
            <w:r>
              <w:rPr>
                <w:rFonts w:ascii="Arial" w:cs="Arial" w:eastAsia="Arial" w:hAnsi="Arial"/>
                <w:sz w:val="18"/>
                <w:szCs w:val="18"/>
                <w:color w:val="auto"/>
              </w:rPr>
              <w:t>0.31 %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52.29 %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17.19 %</w:t>
            </w:r>
          </w:p>
        </w:tc>
        <w:tc>
          <w:tcPr>
            <w:tcW w:w="0" w:type="dxa"/>
            <w:vAlign w:val="bottom"/>
          </w:tcPr>
          <w:p>
            <w:pPr>
              <w:spacing w:after="0"/>
              <w:rPr>
                <w:sz w:val="1"/>
                <w:szCs w:val="1"/>
                <w:color w:val="auto"/>
              </w:rPr>
            </w:pP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11.34 %</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64.00 %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29.49 %</w:t>
            </w:r>
          </w:p>
        </w:tc>
        <w:tc>
          <w:tcPr>
            <w:tcW w:w="0" w:type="dxa"/>
            <w:vAlign w:val="bottom"/>
          </w:tcPr>
          <w:p>
            <w:pPr>
              <w:spacing w:after="0"/>
              <w:rPr>
                <w:sz w:val="1"/>
                <w:szCs w:val="1"/>
                <w:color w:val="auto"/>
              </w:rPr>
            </w:pPr>
          </w:p>
        </w:tc>
      </w:tr>
    </w:tbl>
    <w:p>
      <w:pPr>
        <w:spacing w:after="0" w:line="793" w:lineRule="exact"/>
        <w:rPr>
          <w:sz w:val="20"/>
          <w:szCs w:val="20"/>
          <w:color w:val="auto"/>
        </w:rPr>
      </w:pPr>
    </w:p>
    <w:p>
      <w:pPr>
        <w:sectPr>
          <w:pgSz w:w="11900" w:h="16838" w:orient="portrait"/>
          <w:cols w:equalWidth="0" w:num="2">
            <w:col w:w="6700" w:space="100"/>
            <w:col w:w="4440"/>
          </w:cols>
          <w:pgMar w:left="320" w:top="229" w:right="339" w:bottom="1440" w:gutter="0" w:footer="0" w:header="0"/>
          <w:type w:val="continuous"/>
        </w:sectPr>
      </w:pPr>
    </w:p>
    <w:p>
      <w:pPr>
        <w:spacing w:after="0" w:line="30"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rates of return used to discount future expected cash flows to arrive at a present value,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6"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 entire life of a</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74"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an estimate of the cumulative principal prepayments that will occur over the entire life of a loan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original principal amount of the loan. The assumption regarding cumulative prepayments impact the projected balances and expected terms of the loans.</w:t>
      </w:r>
    </w:p>
    <w:p>
      <w:pPr>
        <w:spacing w:after="0" w:line="182" w:lineRule="exact"/>
        <w:rPr>
          <w:sz w:val="20"/>
          <w:szCs w:val="20"/>
          <w:color w:val="auto"/>
        </w:rPr>
      </w:pPr>
    </w:p>
    <w:p>
      <w:pPr>
        <w:jc w:val="both"/>
        <w:ind w:right="20" w:firstLine="567"/>
        <w:spacing w:after="0" w:line="261" w:lineRule="auto"/>
        <w:rPr>
          <w:sz w:val="20"/>
          <w:szCs w:val="20"/>
          <w:color w:val="auto"/>
        </w:rPr>
      </w:pPr>
      <w:r>
        <w:rPr>
          <w:rFonts w:ascii="Arial" w:cs="Arial" w:eastAsia="Arial" w:hAnsi="Arial"/>
          <w:sz w:val="18"/>
          <w:szCs w:val="18"/>
          <w:color w:val="auto"/>
        </w:rPr>
        <w:t xml:space="preserve">The above inputs are similarly used in estimating fair value of related financial instruments. Refer to the </w:t>
      </w:r>
      <w:r>
        <w:rPr>
          <w:rFonts w:ascii="Arial" w:cs="Arial" w:eastAsia="Arial" w:hAnsi="Arial"/>
          <w:sz w:val="18"/>
          <w:szCs w:val="18"/>
          <w:i w:val="1"/>
          <w:iCs w:val="1"/>
          <w:color w:val="auto"/>
        </w:rPr>
        <w:t>Assets and Liabilities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Securitization Transactions </w:t>
      </w:r>
      <w:r>
        <w:rPr>
          <w:rFonts w:ascii="Arial" w:cs="Arial" w:eastAsia="Arial" w:hAnsi="Arial"/>
          <w:sz w:val="18"/>
          <w:szCs w:val="18"/>
          <w:color w:val="auto"/>
        </w:rPr>
        <w:t>section below for more information.</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117"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The below table presents the sensitivity of the loans held-for-sale and held-for-investment, excluding those in consolidated securitizations, to adverse changes in key assumptions used in the valuation model as of December 31, 2020, and 2019, respectively. The estimated fair value of these loans is not sensitive to adverse changes in expected prepayment rates as such changes would not result in a significant impact on the fair value in either periods.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(amounts 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141,555</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color w:val="auto"/>
              </w:rPr>
              <w:t>Discount rates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100 basis point increase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200 basis point increase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credit loss rates on underlying loans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(2,325)</w:t>
            </w:r>
          </w:p>
        </w:tc>
      </w:tr>
      <w:tr>
        <w:trPr>
          <w:trHeight w:val="229"/>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229" w:right="3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580"/>
              <w:spacing w:after="0"/>
              <w:rPr>
                <w:sz w:val="20"/>
                <w:szCs w:val="20"/>
                <w:color w:val="auto"/>
              </w:rPr>
            </w:pPr>
            <w:r>
              <w:rPr>
                <w:rFonts w:ascii="Arial" w:cs="Arial" w:eastAsia="Arial" w:hAnsi="Arial"/>
                <w:sz w:val="18"/>
                <w:szCs w:val="18"/>
                <w:i w:val="1"/>
                <w:iCs w:val="1"/>
                <w:color w:val="auto"/>
              </w:rPr>
              <w:t>Rollforward of Level 3 Fair Values</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40" w:type="dxa"/>
            <w:vAlign w:val="bottom"/>
            <w:gridSpan w:val="10"/>
          </w:tcPr>
          <w:p>
            <w:pPr>
              <w:ind w:left="580"/>
              <w:spacing w:after="0"/>
              <w:rPr>
                <w:sz w:val="20"/>
                <w:szCs w:val="20"/>
                <w:color w:val="auto"/>
              </w:rPr>
            </w:pPr>
            <w:r>
              <w:rPr>
                <w:rFonts w:ascii="Arial" w:cs="Arial" w:eastAsia="Arial" w:hAnsi="Arial"/>
                <w:sz w:val="18"/>
                <w:szCs w:val="18"/>
                <w:color w:val="auto"/>
                <w:w w:val="93"/>
              </w:rPr>
              <w:t>The following tables include a rollforward of the loans classified within Level 3 of the fair value hierarchy (in thousands):</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Loans Held-for-</w:t>
            </w:r>
          </w:p>
        </w:tc>
        <w:tc>
          <w:tcPr>
            <w:tcW w:w="200" w:type="dxa"/>
            <w:vAlign w:val="bottom"/>
          </w:tcPr>
          <w:p>
            <w:pPr>
              <w:spacing w:after="0"/>
              <w:rPr>
                <w:sz w:val="24"/>
                <w:szCs w:val="24"/>
                <w:color w:val="auto"/>
              </w:rPr>
            </w:pP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Loans Held-for-</w:t>
            </w:r>
          </w:p>
        </w:tc>
        <w:tc>
          <w:tcPr>
            <w:tcW w:w="20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Loans Held-for-</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Investment</w:t>
            </w:r>
          </w:p>
        </w:tc>
        <w:tc>
          <w:tcPr>
            <w:tcW w:w="400" w:type="dxa"/>
            <w:vAlign w:val="bottom"/>
          </w:tcPr>
          <w:p>
            <w:pPr>
              <w:spacing w:after="0"/>
              <w:rPr>
                <w:sz w:val="15"/>
                <w:szCs w:val="15"/>
                <w:color w:val="auto"/>
              </w:rPr>
            </w:pPr>
          </w:p>
        </w:tc>
        <w:tc>
          <w:tcPr>
            <w:tcW w:w="14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Sale</w:t>
            </w:r>
          </w:p>
        </w:tc>
        <w:tc>
          <w:tcPr>
            <w:tcW w:w="20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(Securitized)</w:t>
            </w: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232,305</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Reclassification of loans from HFI to HFS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(144,944)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Purchase of loans for immediate resale to investors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2,540,948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Immediate resale to investors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(2,540,948)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(2,540,948)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(19,130)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Changes due to deconsolidation</w:t>
            </w: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(57,222)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(57,222)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Loans Held-for-</w:t>
            </w:r>
          </w:p>
        </w:tc>
        <w:tc>
          <w:tcPr>
            <w:tcW w:w="200" w:type="dxa"/>
            <w:vAlign w:val="bottom"/>
          </w:tcPr>
          <w:p>
            <w:pPr>
              <w:spacing w:after="0"/>
              <w:rPr>
                <w:sz w:val="24"/>
                <w:szCs w:val="24"/>
                <w:color w:val="auto"/>
              </w:rPr>
            </w:pP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Loans Held-for-</w:t>
            </w:r>
          </w:p>
        </w:tc>
        <w:tc>
          <w:tcPr>
            <w:tcW w:w="20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Loans Held-for-</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Investment</w:t>
            </w:r>
          </w:p>
        </w:tc>
        <w:tc>
          <w:tcPr>
            <w:tcW w:w="400" w:type="dxa"/>
            <w:vAlign w:val="bottom"/>
          </w:tcPr>
          <w:p>
            <w:pPr>
              <w:spacing w:after="0"/>
              <w:rPr>
                <w:sz w:val="15"/>
                <w:szCs w:val="15"/>
                <w:color w:val="auto"/>
              </w:rPr>
            </w:pPr>
          </w:p>
        </w:tc>
        <w:tc>
          <w:tcPr>
            <w:tcW w:w="14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Sale</w:t>
            </w:r>
          </w:p>
        </w:tc>
        <w:tc>
          <w:tcPr>
            <w:tcW w:w="20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(Securitized)</w:t>
            </w: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2018</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502,666</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Purchases of loans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265,286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265,286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loans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w w:val="91"/>
              </w:rPr>
              <w:t>Purchase of loans for immediate resale to investors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1,779,180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1,779,180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Immediate resale to investors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(1,779,180)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Repayments received</w:t>
            </w: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(158,921)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(206,871)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Changes due to deconsolidation</w:t>
            </w: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(82,107)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(154,864)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141,555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90,750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232,305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Assets and Liabilities related to Securitization Transactions</w:t>
      </w:r>
    </w:p>
    <w:p>
      <w:pPr>
        <w:spacing w:after="0" w:line="104"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18"/>
          <w:szCs w:val="18"/>
          <w:color w:val="auto"/>
        </w:rPr>
        <w:t>As of December 31, 2020 and 2019, the Company held notes receivable and residual certificates with an aggregate fair value of $19.1 million and $34.1 million, respectively. The balances consist of securitization notes and residual certificates corresponding to the 5% economic risk retention the Company is required to maintain as the retaining sponsor of the unconsolidated securitizations. As of December 31, 2020 and 2019, the Company also had payables to securitization note holders and residual certificate holders with an aggregate fair value of $0 million and $89.7 million, respectively. The balances represent securitization notes and residual certificates issued and sold to institutional investors in securitization transactions, where the issuing trusts are consolidated in the Company’s consolidated financial statements. Accrued interest on these financial instruments is immaterial as of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229"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2020 and 2019. As of December 31, 2020, the balance for payables to securitization note holders and residual certificate holders and related accrued interest was $0 million due to deconsolidation of previously consolidated securitizations.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Valuation Methodology</w:t>
      </w:r>
    </w:p>
    <w:p>
      <w:pPr>
        <w:spacing w:after="0" w:line="117"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The discounted cash flow methodology is used to estimate the fair value of notes receivable and residual certificates and payables to securitization note holders and residual certificate holders (the “securities”), using the same projected net cash flows as their related loans. This model uses inputs that are inherently judgmental and reflect the Company’s best estimates of the assumptions a market participant would use to calculate fair value.</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Significant Inputs and Assumptions</w:t>
      </w:r>
    </w:p>
    <w:p>
      <w:pPr>
        <w:spacing w:after="0" w:line="104" w:lineRule="exact"/>
        <w:rPr>
          <w:sz w:val="20"/>
          <w:szCs w:val="20"/>
          <w:color w:val="auto"/>
        </w:rPr>
      </w:pPr>
    </w:p>
    <w:p>
      <w:pPr>
        <w:jc w:val="both"/>
        <w:ind w:right="20" w:firstLine="567"/>
        <w:spacing w:after="0" w:line="261"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of assets and liabilities related to securitization transactions: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2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4"/>
                <w:szCs w:val="14"/>
                <w:color w:val="auto"/>
              </w:rPr>
            </w:pPr>
          </w:p>
        </w:tc>
        <w:tc>
          <w:tcPr>
            <w:tcW w:w="13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Minimum</w:t>
            </w:r>
          </w:p>
        </w:tc>
        <w:tc>
          <w:tcPr>
            <w:tcW w:w="8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40" w:type="dxa"/>
            <w:vAlign w:val="bottom"/>
            <w:gridSpan w:val="2"/>
          </w:tcPr>
          <w:p>
            <w:pPr>
              <w:jc w:val="center"/>
              <w:ind w:right="140"/>
              <w:spacing w:after="0" w:line="230" w:lineRule="exact"/>
              <w:rPr>
                <w:sz w:val="20"/>
                <w:szCs w:val="20"/>
                <w:color w:val="auto"/>
              </w:rPr>
            </w:pPr>
            <w:r>
              <w:rPr>
                <w:rFonts w:ascii="Arial" w:cs="Arial" w:eastAsia="Arial" w:hAnsi="Arial"/>
                <w:sz w:val="18"/>
                <w:szCs w:val="18"/>
                <w:b w:val="1"/>
                <w:bCs w:val="1"/>
                <w:color w:val="auto"/>
                <w:w w:val="86"/>
              </w:rPr>
              <w:t xml:space="preserve">Average </w:t>
            </w:r>
            <w:r>
              <w:rPr>
                <w:rFonts w:ascii="Arial" w:cs="Arial" w:eastAsia="Arial" w:hAnsi="Arial"/>
                <w:sz w:val="23"/>
                <w:szCs w:val="23"/>
                <w:b w:val="1"/>
                <w:bCs w:val="1"/>
                <w:color w:val="auto"/>
                <w:w w:val="86"/>
                <w:vertAlign w:val="superscript"/>
              </w:rPr>
              <w:t>(2)</w:t>
            </w: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300" w:type="dxa"/>
            <w:vAlign w:val="bottom"/>
          </w:tcPr>
          <w:p>
            <w:pPr>
              <w:jc w:val="right"/>
              <w:ind w:right="170"/>
              <w:spacing w:after="0" w:line="23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05"/>
        </w:trPr>
        <w:tc>
          <w:tcPr>
            <w:tcW w:w="29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Notes receivable and residual</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3.01 %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5.84 %</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17.12 %</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15.60 %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36.88 %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27.63 %</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15.19 %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59.83 %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27.44 %</w:t>
            </w:r>
          </w:p>
        </w:tc>
        <w:tc>
          <w:tcPr>
            <w:tcW w:w="0" w:type="dxa"/>
            <w:vAlign w:val="bottom"/>
          </w:tcPr>
          <w:p>
            <w:pPr>
              <w:spacing w:after="0"/>
              <w:rPr>
                <w:sz w:val="1"/>
                <w:szCs w:val="1"/>
                <w:color w:val="auto"/>
              </w:rPr>
            </w:pPr>
          </w:p>
        </w:tc>
      </w:tr>
      <w:tr>
        <w:trPr>
          <w:trHeight w:val="225"/>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Payable to securitization note</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holders and residual certificate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holders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5.03 %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5.88 %</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15.17 %</w:t>
            </w:r>
          </w:p>
        </w:tc>
        <w:tc>
          <w:tcPr>
            <w:tcW w:w="0" w:type="dxa"/>
            <w:vAlign w:val="bottom"/>
          </w:tcPr>
          <w:p>
            <w:pPr>
              <w:spacing w:after="0"/>
              <w:rPr>
                <w:sz w:val="1"/>
                <w:szCs w:val="1"/>
                <w:color w:val="auto"/>
              </w:rPr>
            </w:pPr>
          </w:p>
        </w:tc>
      </w:tr>
      <w:tr>
        <w:trPr>
          <w:trHeight w:val="304"/>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16.14 %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32.47 %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25.68 %</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060" w:hanging="485"/>
        <w:spacing w:after="0"/>
        <w:tabs>
          <w:tab w:leader="none" w:pos="1060" w:val="left"/>
        </w:tabs>
        <w:numPr>
          <w:ilvl w:val="0"/>
          <w:numId w:val="44"/>
        </w:numPr>
        <w:rPr>
          <w:rFonts w:ascii="Arial" w:cs="Arial" w:eastAsia="Arial" w:hAnsi="Arial"/>
          <w:sz w:val="13"/>
          <w:szCs w:val="13"/>
          <w:color w:val="auto"/>
        </w:rPr>
      </w:pPr>
      <w:r>
        <w:rPr>
          <w:rFonts w:ascii="Arial" w:cs="Arial" w:eastAsia="Arial" w:hAnsi="Arial"/>
          <w:sz w:val="16"/>
          <w:szCs w:val="16"/>
          <w:color w:val="auto"/>
        </w:rPr>
        <w:t>Expressed as a percentage of the original principal balance of the loans underlying the financial instruments</w:t>
      </w:r>
    </w:p>
    <w:p>
      <w:pPr>
        <w:spacing w:after="0" w:line="19" w:lineRule="exact"/>
        <w:rPr>
          <w:rFonts w:ascii="Arial" w:cs="Arial" w:eastAsia="Arial" w:hAnsi="Arial"/>
          <w:sz w:val="13"/>
          <w:szCs w:val="13"/>
          <w:color w:val="auto"/>
        </w:rPr>
      </w:pPr>
    </w:p>
    <w:p>
      <w:pPr>
        <w:ind w:left="1060" w:hanging="485"/>
        <w:spacing w:after="0"/>
        <w:tabs>
          <w:tab w:leader="none" w:pos="1060" w:val="left"/>
        </w:tabs>
        <w:numPr>
          <w:ilvl w:val="0"/>
          <w:numId w:val="44"/>
        </w:numPr>
        <w:rPr>
          <w:rFonts w:ascii="Arial" w:cs="Arial" w:eastAsia="Arial" w:hAnsi="Arial"/>
          <w:sz w:val="13"/>
          <w:szCs w:val="13"/>
          <w:color w:val="auto"/>
        </w:rPr>
      </w:pPr>
      <w:r>
        <w:rPr>
          <w:rFonts w:ascii="Arial" w:cs="Arial" w:eastAsia="Arial" w:hAnsi="Arial"/>
          <w:sz w:val="16"/>
          <w:szCs w:val="16"/>
          <w:color w:val="auto"/>
        </w:rPr>
        <w:t>Unobservable inputs were weighted by relative fair value</w:t>
      </w:r>
    </w:p>
    <w:p>
      <w:pPr>
        <w:spacing w:after="0" w:line="4" w:lineRule="exact"/>
        <w:rPr>
          <w:sz w:val="20"/>
          <w:szCs w:val="20"/>
          <w:color w:val="auto"/>
        </w:rPr>
      </w:pPr>
    </w:p>
    <w:p>
      <w:pPr>
        <w:ind w:left="860" w:hanging="285"/>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6"/>
          <w:szCs w:val="16"/>
          <w:color w:val="auto"/>
        </w:rPr>
        <w:t>Not applicable as of the respective periods presented due to the deconsolidation of previously consolidated securitizations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104"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18"/>
          <w:szCs w:val="18"/>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20% decrease in the fair value of the residual certificates. The remaining classes of securities, with the exception of those in 2018-2, are all overcollateralized such that changes in credit risk rates are not expected to have significant impacts on their fair values.</w:t>
      </w:r>
    </w:p>
    <w:p>
      <w:pPr>
        <w:spacing w:after="0" w:line="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1.23% and 1.40% as of December 31, 2020 and 2019, respectively. On average, a hypothetical 200 basis point increase in discount rates results in a decrease in fair value of the securities (including securitization notes and residual certificates) of 2.36% and 2.77%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229"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fair value of securitization notes and residual certificates are not sensitive to adverse changes in expected prepayment rates as such changes would not result in a significant impact on the fair value as of December 31, 2020 and 2019.</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Rollforward of Level 3 Fair Values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tables include a rollforward of the assets and liabilities related to securitization transactions classified by the Company within Level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 of the fair value hierarchy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Notes Receivable and</w:t>
            </w:r>
          </w:p>
        </w:tc>
        <w:tc>
          <w:tcPr>
            <w:tcW w:w="120" w:type="dxa"/>
            <w:vAlign w:val="bottom"/>
          </w:tcPr>
          <w:p>
            <w:pPr>
              <w:spacing w:after="0"/>
              <w:rPr>
                <w:sz w:val="17"/>
                <w:szCs w:val="17"/>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Payable to Securitization</w:t>
            </w:r>
          </w:p>
        </w:tc>
        <w:tc>
          <w:tcPr>
            <w:tcW w:w="0" w:type="dxa"/>
            <w:vAlign w:val="bottom"/>
          </w:tcPr>
          <w:p>
            <w:pPr>
              <w:spacing w:after="0"/>
              <w:rPr>
                <w:sz w:val="1"/>
                <w:szCs w:val="1"/>
                <w:color w:val="auto"/>
              </w:rPr>
            </w:pP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1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Note Holders and Residual</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Residual Certificates</w:t>
            </w:r>
          </w:p>
        </w:tc>
        <w:tc>
          <w:tcPr>
            <w:tcW w:w="120" w:type="dxa"/>
            <w:vAlign w:val="bottom"/>
          </w:tcPr>
          <w:p>
            <w:pPr>
              <w:spacing w:after="0"/>
              <w:rPr>
                <w:sz w:val="19"/>
                <w:szCs w:val="19"/>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Certificate Holders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89,672</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Purchases and issuances of securitization notes and residual certificates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due to deconsolidation</w:t>
            </w:r>
          </w:p>
        </w:tc>
        <w:tc>
          <w:tcPr>
            <w:tcW w:w="1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(58,017)</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14" w:lineRule="exact"/>
        <w:rPr>
          <w:sz w:val="20"/>
          <w:szCs w:val="20"/>
          <w:color w:val="auto"/>
        </w:rPr>
      </w:pPr>
    </w:p>
    <w:p>
      <w:pPr>
        <w:ind w:left="7080"/>
        <w:spacing w:after="0"/>
        <w:rPr>
          <w:sz w:val="20"/>
          <w:szCs w:val="20"/>
          <w:color w:val="auto"/>
        </w:rPr>
      </w:pPr>
      <w:r>
        <w:rPr>
          <w:rFonts w:ascii="Arial" w:cs="Arial" w:eastAsia="Arial" w:hAnsi="Arial"/>
          <w:sz w:val="15"/>
          <w:szCs w:val="15"/>
          <w:b w:val="1"/>
          <w:bCs w:val="1"/>
          <w:color w:val="auto"/>
        </w:rPr>
        <w:t>Notes Receivable and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Residual Certificates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40"/>
        <w:spacing w:after="0" w:line="261" w:lineRule="auto"/>
        <w:rPr>
          <w:sz w:val="20"/>
          <w:szCs w:val="20"/>
          <w:color w:val="auto"/>
        </w:rPr>
      </w:pPr>
      <w:r>
        <w:rPr>
          <w:rFonts w:ascii="Arial" w:cs="Arial" w:eastAsia="Arial" w:hAnsi="Arial"/>
          <w:sz w:val="16"/>
          <w:szCs w:val="16"/>
          <w:b w:val="1"/>
          <w:bCs w:val="1"/>
          <w:color w:val="auto"/>
        </w:rPr>
        <w:t>Payable to Securitization Note Holders and Residual Certificate Holders</w:t>
      </w:r>
    </w:p>
    <w:p>
      <w:pPr>
        <w:spacing w:after="0" w:line="1" w:lineRule="exact"/>
        <w:rPr>
          <w:sz w:val="20"/>
          <w:szCs w:val="20"/>
          <w:color w:val="auto"/>
        </w:rPr>
      </w:pPr>
    </w:p>
    <w:p>
      <w:pPr>
        <w:sectPr>
          <w:pgSz w:w="11900" w:h="16838" w:orient="portrait"/>
          <w:cols w:equalWidth="0" w:num="2">
            <w:col w:w="8720" w:space="400"/>
            <w:col w:w="21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2018</w:t>
            </w: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353,292</w:t>
            </w: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Purchases and issuances of securitization notes and residual certificates</w:t>
            </w:r>
          </w:p>
        </w:tc>
        <w:tc>
          <w:tcPr>
            <w:tcW w:w="8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31,645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8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(176,742)</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(6,053)</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due to deconsolidation</w:t>
            </w: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(80,825)</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34,116</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89,672</w:t>
            </w:r>
          </w:p>
        </w:tc>
      </w:tr>
      <w:tr>
        <w:trPr>
          <w:trHeight w:val="21"/>
        </w:trPr>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Loan Servicing Assets and Liabilities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Valuation Methodology</w:t>
      </w:r>
    </w:p>
    <w:p>
      <w:pPr>
        <w:spacing w:after="0" w:line="117"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Significant Inputs and Assumptions</w:t>
      </w:r>
    </w:p>
    <w:p>
      <w:pPr>
        <w:spacing w:after="0" w:line="117"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 servicing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229" w:right="33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 2020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3"/>
          </w:tcPr>
          <w:p>
            <w:pPr>
              <w:jc w:val="right"/>
              <w:ind w:right="1295"/>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16.72 %</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Market-servicing rate </w:t>
            </w:r>
            <w:r>
              <w:rPr>
                <w:rFonts w:ascii="Arial" w:cs="Arial" w:eastAsia="Arial" w:hAnsi="Arial"/>
                <w:sz w:val="23"/>
                <w:szCs w:val="23"/>
                <w:color w:val="auto"/>
                <w:vertAlign w:val="superscript"/>
              </w:rPr>
              <w:t>(3)(4)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0.78 %</w:t>
            </w:r>
          </w:p>
        </w:tc>
        <w:tc>
          <w:tcPr>
            <w:tcW w:w="0" w:type="dxa"/>
            <w:vAlign w:val="bottom"/>
          </w:tcPr>
          <w:p>
            <w:pPr>
              <w:spacing w:after="0"/>
              <w:rPr>
                <w:sz w:val="1"/>
                <w:szCs w:val="1"/>
                <w:color w:val="auto"/>
              </w:rPr>
            </w:pPr>
          </w:p>
        </w:tc>
      </w:tr>
      <w:tr>
        <w:trPr>
          <w:trHeight w:val="288"/>
        </w:trPr>
        <w:tc>
          <w:tcPr>
            <w:tcW w:w="270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89.01 %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31.62 %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11.60 %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76.45 %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28.57 %</w:t>
            </w:r>
          </w:p>
        </w:tc>
        <w:tc>
          <w:tcPr>
            <w:tcW w:w="0" w:type="dxa"/>
            <w:vAlign w:val="bottom"/>
          </w:tcPr>
          <w:p>
            <w:pPr>
              <w:spacing w:after="0"/>
              <w:rPr>
                <w:sz w:val="1"/>
                <w:szCs w:val="1"/>
                <w:color w:val="auto"/>
              </w:rPr>
            </w:pPr>
          </w:p>
        </w:tc>
      </w:tr>
    </w:tbl>
    <w:p>
      <w:pPr>
        <w:ind w:left="1060" w:hanging="485"/>
        <w:spacing w:after="0"/>
        <w:tabs>
          <w:tab w:leader="none" w:pos="1060" w:val="left"/>
        </w:tabs>
        <w:numPr>
          <w:ilvl w:val="0"/>
          <w:numId w:val="46"/>
        </w:numPr>
        <w:rPr>
          <w:rFonts w:ascii="Arial" w:cs="Arial" w:eastAsia="Arial" w:hAnsi="Arial"/>
          <w:sz w:val="13"/>
          <w:szCs w:val="13"/>
          <w:color w:val="auto"/>
        </w:rPr>
      </w:pPr>
      <w:r>
        <w:rPr>
          <w:rFonts w:ascii="Arial" w:cs="Arial" w:eastAsia="Arial" w:hAnsi="Arial"/>
          <w:sz w:val="16"/>
          <w:szCs w:val="16"/>
          <w:color w:val="auto"/>
        </w:rPr>
        <w:t>Expressed as a percentage of the original principal balance of the loans underlying the servicing arrangement</w:t>
      </w:r>
    </w:p>
    <w:p>
      <w:pPr>
        <w:spacing w:after="0" w:line="5" w:lineRule="exact"/>
        <w:rPr>
          <w:rFonts w:ascii="Arial" w:cs="Arial" w:eastAsia="Arial" w:hAnsi="Arial"/>
          <w:sz w:val="13"/>
          <w:szCs w:val="13"/>
          <w:color w:val="auto"/>
        </w:rPr>
      </w:pPr>
    </w:p>
    <w:p>
      <w:pPr>
        <w:ind w:left="1060" w:hanging="485"/>
        <w:spacing w:after="0"/>
        <w:tabs>
          <w:tab w:leader="none" w:pos="1060" w:val="left"/>
        </w:tabs>
        <w:numPr>
          <w:ilvl w:val="0"/>
          <w:numId w:val="46"/>
        </w:numPr>
        <w:rPr>
          <w:rFonts w:ascii="Arial" w:cs="Arial" w:eastAsia="Arial" w:hAnsi="Arial"/>
          <w:sz w:val="13"/>
          <w:szCs w:val="13"/>
          <w:color w:val="auto"/>
        </w:rPr>
      </w:pPr>
      <w:r>
        <w:rPr>
          <w:rFonts w:ascii="Arial" w:cs="Arial" w:eastAsia="Arial" w:hAnsi="Arial"/>
          <w:sz w:val="16"/>
          <w:szCs w:val="16"/>
          <w:color w:val="auto"/>
        </w:rPr>
        <w:t>Unobservable inputs were weighted by relative fair value</w:t>
      </w:r>
    </w:p>
    <w:p>
      <w:pPr>
        <w:spacing w:after="0" w:line="5" w:lineRule="exact"/>
        <w:rPr>
          <w:rFonts w:ascii="Arial" w:cs="Arial" w:eastAsia="Arial" w:hAnsi="Arial"/>
          <w:sz w:val="13"/>
          <w:szCs w:val="13"/>
          <w:color w:val="auto"/>
        </w:rPr>
      </w:pPr>
    </w:p>
    <w:p>
      <w:pPr>
        <w:ind w:left="1060" w:hanging="485"/>
        <w:spacing w:after="0"/>
        <w:tabs>
          <w:tab w:leader="none" w:pos="1060" w:val="left"/>
        </w:tabs>
        <w:numPr>
          <w:ilvl w:val="0"/>
          <w:numId w:val="46"/>
        </w:numPr>
        <w:rPr>
          <w:rFonts w:ascii="Arial" w:cs="Arial" w:eastAsia="Arial" w:hAnsi="Arial"/>
          <w:sz w:val="13"/>
          <w:szCs w:val="13"/>
          <w:color w:val="auto"/>
        </w:rPr>
      </w:pPr>
      <w:r>
        <w:rPr>
          <w:rFonts w:ascii="Arial" w:cs="Arial" w:eastAsia="Arial" w:hAnsi="Arial"/>
          <w:sz w:val="16"/>
          <w:szCs w:val="16"/>
          <w:color w:val="auto"/>
        </w:rPr>
        <w:t>Excludes ancillary fees that would be passed on to a third-party servicer</w:t>
      </w:r>
    </w:p>
    <w:p>
      <w:pPr>
        <w:spacing w:after="0" w:line="5" w:lineRule="exact"/>
        <w:rPr>
          <w:rFonts w:ascii="Arial" w:cs="Arial" w:eastAsia="Arial" w:hAnsi="Arial"/>
          <w:sz w:val="13"/>
          <w:szCs w:val="13"/>
          <w:color w:val="auto"/>
        </w:rPr>
      </w:pPr>
    </w:p>
    <w:p>
      <w:pPr>
        <w:ind w:left="1060" w:hanging="485"/>
        <w:spacing w:after="0"/>
        <w:tabs>
          <w:tab w:leader="none" w:pos="1060" w:val="left"/>
        </w:tabs>
        <w:numPr>
          <w:ilvl w:val="0"/>
          <w:numId w:val="46"/>
        </w:numPr>
        <w:rPr>
          <w:rFonts w:ascii="Arial" w:cs="Arial" w:eastAsia="Arial" w:hAnsi="Arial"/>
          <w:sz w:val="13"/>
          <w:szCs w:val="13"/>
          <w:color w:val="auto"/>
        </w:rPr>
      </w:pPr>
      <w:r>
        <w:rPr>
          <w:rFonts w:ascii="Arial" w:cs="Arial" w:eastAsia="Arial" w:hAnsi="Arial"/>
          <w:sz w:val="16"/>
          <w:szCs w:val="16"/>
          <w:color w:val="auto"/>
        </w:rPr>
        <w:t>Expressed as a percentage of the outstanding principal balance of the loan</w:t>
      </w:r>
    </w:p>
    <w:p>
      <w:pPr>
        <w:spacing w:after="0" w:line="203"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–The discount rates are the Company’s estimate of the rates of return that market participants in servicing rights would require when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49"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i w:val="1"/>
          <w:iCs w:val="1"/>
          <w:color w:val="auto"/>
        </w:rPr>
        <w:t>Credit risk rates</w:t>
      </w:r>
      <w:r>
        <w:rPr>
          <w:rFonts w:ascii="Arial" w:cs="Arial" w:eastAsia="Arial" w:hAnsi="Arial"/>
          <w:sz w:val="18"/>
          <w:szCs w:val="18"/>
          <w:color w:val="auto"/>
        </w:rPr>
        <w:t>–The credit risk rates are the Company’s estimate of the net cumulative principal payments that will not be repaid over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a loan expressed as a percentage of the original principal amount of the loan. The assumption regarding net cumulative losses impact the projected balances and expected terms of the loans, which are used to project future servicing revenues.</w:t>
      </w:r>
    </w:p>
    <w:p>
      <w:pPr>
        <w:spacing w:after="0" w:line="182"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i w:val="1"/>
          <w:iCs w:val="1"/>
          <w:color w:val="auto"/>
        </w:rPr>
        <w:t>Market-servicing rates</w:t>
      </w:r>
      <w:r>
        <w:rPr>
          <w:rFonts w:ascii="Arial" w:cs="Arial" w:eastAsia="Arial" w:hAnsi="Arial"/>
          <w:sz w:val="17"/>
          <w:szCs w:val="17"/>
          <w:color w:val="auto"/>
        </w:rPr>
        <w:t>–Market-servicing rate is an estimated measure of adequate compensation for a market participant, if one was required. The</w:t>
      </w:r>
      <w:r>
        <w:rPr>
          <w:rFonts w:ascii="Arial" w:cs="Arial" w:eastAsia="Arial" w:hAnsi="Arial"/>
          <w:sz w:val="17"/>
          <w:szCs w:val="17"/>
          <w:i w:val="1"/>
          <w:iCs w:val="1"/>
          <w:color w:val="auto"/>
        </w:rPr>
        <w:t xml:space="preserve"> </w:t>
      </w:r>
      <w:r>
        <w:rPr>
          <w:rFonts w:ascii="Arial" w:cs="Arial" w:eastAsia="Arial" w:hAnsi="Arial"/>
          <w:sz w:val="17"/>
          <w:szCs w:val="17"/>
          <w:color w:val="auto"/>
        </w:rPr>
        <w:t>rate is expressed as a fixed percentage of outstanding principal balance on a per annum basis. The estimate considers the profit that would be demanded in the marketplace to service the portfolio of outstanding loans subject to the Company’s servicing agreements.</w:t>
      </w:r>
    </w:p>
    <w:p>
      <w:pPr>
        <w:spacing w:after="0" w:line="164"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the Company’s estimate of the cumulative principal prepayments that will occur over the entire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loan as a percentage of the original principal amount of the loan. The assumption regarding cumulative prepayments impact the projected balances and expected terms of the loans, which are used to project future servicing revenues.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11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2020 and 2019,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5"/>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(amounts 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6,831</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(38,027)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(59,262)</w:t>
            </w:r>
          </w:p>
        </w:tc>
      </w:tr>
      <w:tr>
        <w:trPr>
          <w:trHeight w:val="25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(3,629)</w:t>
            </w: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229"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of loan servicing liabilities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market-servicing rates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 market-servicing rates increase</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20% market-servicing rates increase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prepayment rates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 adverse change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 adverse change</w:t>
      </w:r>
    </w:p>
    <w:p>
      <w:pPr>
        <w:spacing w:after="0" w:line="359" w:lineRule="exact"/>
        <w:rPr>
          <w:sz w:val="20"/>
          <w:szCs w:val="20"/>
          <w:color w:val="auto"/>
        </w:rPr>
      </w:pPr>
    </w:p>
    <w:p>
      <w:pPr>
        <w:jc w:val="right"/>
        <w:ind w:right="1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ind w:right="39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384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7"/>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r>
      <w:tr>
        <w:trPr>
          <w:trHeight w:val="465"/>
        </w:trPr>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22,974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32,234</w:t>
            </w:r>
          </w:p>
        </w:tc>
      </w:tr>
      <w:tr>
        <w:trPr>
          <w:trHeight w:val="230"/>
        </w:trPr>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45,948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64,467</w:t>
            </w:r>
          </w:p>
        </w:tc>
      </w:tr>
      <w:tr>
        <w:trPr>
          <w:trHeight w:val="485"/>
        </w:trPr>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3,948</w:t>
            </w:r>
          </w:p>
        </w:tc>
      </w:tr>
      <w:tr>
        <w:trPr>
          <w:trHeight w:val="230"/>
        </w:trPr>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-1071245</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-745490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-454025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-145415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3240" w:space="720"/>
            <w:col w:w="7280"/>
          </w:cols>
          <w:pgMar w:left="320" w:top="229" w:right="339" w:bottom="1440" w:gutter="0" w:footer="0" w:header="0"/>
        </w:sectPr>
      </w:pPr>
    </w:p>
    <w:p>
      <w:pPr>
        <w:ind w:right="380" w:firstLine="567"/>
        <w:spacing w:after="0" w:line="246" w:lineRule="auto"/>
        <w:rPr>
          <w:sz w:val="20"/>
          <w:szCs w:val="20"/>
          <w:color w:val="auto"/>
        </w:rPr>
      </w:pPr>
      <w:r>
        <w:rPr>
          <w:rFonts w:ascii="Arial" w:cs="Arial" w:eastAsia="Arial" w:hAnsi="Arial"/>
          <w:sz w:val="18"/>
          <w:szCs w:val="18"/>
          <w:color w:val="auto"/>
        </w:rPr>
        <w:t>The following table presents a rollforward of the loan servicing assets and liabilities classified by the Company within Level 3 of the fair value hierarchy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Loan Servicing</w:t>
            </w:r>
          </w:p>
        </w:tc>
        <w:tc>
          <w:tcPr>
            <w:tcW w:w="180" w:type="dxa"/>
            <w:vAlign w:val="bottom"/>
          </w:tcPr>
          <w:p>
            <w:pPr>
              <w:spacing w:after="0"/>
              <w:rPr>
                <w:sz w:val="17"/>
                <w:szCs w:val="17"/>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Loan Servicing</w:t>
            </w:r>
          </w:p>
        </w:tc>
      </w:tr>
      <w:tr>
        <w:trPr>
          <w:trHeight w:val="230"/>
        </w:trPr>
        <w:tc>
          <w:tcPr>
            <w:tcW w:w="7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19"/>
                <w:szCs w:val="19"/>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Liabilities</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4,725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5,140</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80" w:type="dxa"/>
            <w:vAlign w:val="bottom"/>
          </w:tcPr>
          <w:p>
            <w:pPr>
              <w:spacing w:after="0"/>
              <w:rPr>
                <w:sz w:val="19"/>
                <w:szCs w:val="19"/>
                <w:color w:val="auto"/>
              </w:rPr>
            </w:pP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88"/>
              </w:rPr>
              <w:t>7,269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88"/>
              </w:rPr>
              <w:t>5,739</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1"/>
              </w:rPr>
              <w:t>(5,163)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4"/>
              </w:rPr>
              <w:t>(2,625)</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88"/>
              </w:rPr>
              <w:t>6,831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88"/>
              </w:rPr>
              <w:t>8,254</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8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Loan Servicing</w:t>
            </w:r>
          </w:p>
        </w:tc>
      </w:tr>
      <w:tr>
        <w:trPr>
          <w:trHeight w:val="229"/>
        </w:trPr>
        <w:tc>
          <w:tcPr>
            <w:tcW w:w="7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19"/>
                <w:szCs w:val="19"/>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Liabilities</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1,685</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88"/>
              </w:rPr>
              <w:t>4,730</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4"/>
              </w:rPr>
              <w:t>(1,275)</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88"/>
              </w:rPr>
              <w:t>5,140</w:t>
            </w: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During the year ended December 31, 2019 the Company’s other assets were composed of financial instruments related to the Company’s legacy loan programs, which were wound down prior to December 31, 2019. The fair value of these financial instruments were estimated using the discounted cash flow model based on expected cash flows of the underlying loans. As of December 31, 2020 and 2019 the Company did not hold any of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229" w:right="339"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Rollforward of Level 3 Fair Values</w:t>
      </w:r>
    </w:p>
    <w:p>
      <w:pPr>
        <w:spacing w:after="0" w:line="11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following table includes a rollforward of other assets classified by the Company within Level 3 of the fair value hierarchy during the year ended December 31, 2019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Other Assets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due to deconsolidation</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Trailing Fee Liabilities</w:t>
      </w:r>
    </w:p>
    <w:p>
      <w:pPr>
        <w:spacing w:after="0" w:line="11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6.80% to 16.99% and credit risk rates of 0.36% to 52.31%.</w:t>
      </w:r>
    </w:p>
    <w:p>
      <w:pPr>
        <w:spacing w:after="0" w:line="182"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The fair value sensitivity of trailing fee liabilities to adverse changes in key assumptions would not result in a material impact on the Company’s financial position.</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Rollforward of Level 3 Fair Values</w:t>
      </w:r>
    </w:p>
    <w:p>
      <w:pPr>
        <w:spacing w:after="0" w:line="11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following tables include a rollforward of other assets and trailing fee liabilities classified by the Company within Level 3 of the fair value hierarchy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Trailing Fee</w:t>
            </w:r>
          </w:p>
        </w:tc>
      </w:tr>
      <w:tr>
        <w:trPr>
          <w:trHeight w:val="230"/>
        </w:trPr>
        <w:tc>
          <w:tcPr>
            <w:tcW w:w="9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7"/>
        </w:trPr>
        <w:tc>
          <w:tcPr>
            <w:tcW w:w="956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Trailing Fee</w:t>
            </w:r>
          </w:p>
        </w:tc>
      </w:tr>
      <w:tr>
        <w:trPr>
          <w:trHeight w:val="230"/>
        </w:trPr>
        <w:tc>
          <w:tcPr>
            <w:tcW w:w="9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due to deconsolidation</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Common Stock and Convertible Preferred Stock Warrants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Valuation Methodology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229" w:right="339" w:bottom="144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The fair values of common stock warrant liabilities and convertible preferred stock warrant liabilities are estimated using the Black-Scholes option-pricing model. The Black-Scholes option-pricing model considers several variables and assumptions in estimating the fair value of the warrants, including the per share fair value of the underlying securities, exercise price, expected term, risk-free interest rate, expected annual dividend yield and expected stock price volatility over the expected term.</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Significant Inputs and Assumptions</w:t>
      </w:r>
    </w:p>
    <w:p>
      <w:pPr>
        <w:spacing w:after="0" w:line="104" w:lineRule="exact"/>
        <w:rPr>
          <w:sz w:val="20"/>
          <w:szCs w:val="20"/>
          <w:color w:val="auto"/>
        </w:rPr>
      </w:pPr>
    </w:p>
    <w:p>
      <w:pPr>
        <w:jc w:val="both"/>
        <w:ind w:right="20" w:firstLine="567"/>
        <w:spacing w:after="0" w:line="261"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common stock and convertible preferred stock warrants: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2019</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Minimum</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2"/>
              </w:rPr>
              <w:t xml:space="preserve">Average </w:t>
            </w:r>
            <w:r>
              <w:rPr>
                <w:rFonts w:ascii="Arial" w:cs="Arial" w:eastAsia="Arial" w:hAnsi="Arial"/>
                <w:sz w:val="23"/>
                <w:szCs w:val="23"/>
                <w:b w:val="1"/>
                <w:bCs w:val="1"/>
                <w:color w:val="auto"/>
                <w:w w:val="82"/>
                <w:vertAlign w:val="superscript"/>
              </w:rPr>
              <w:t>(1)</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30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4"/>
              </w:rPr>
              <w:t xml:space="preserve">Average </w:t>
            </w:r>
            <w:r>
              <w:rPr>
                <w:rFonts w:ascii="Arial" w:cs="Arial" w:eastAsia="Arial" w:hAnsi="Arial"/>
                <w:sz w:val="23"/>
                <w:szCs w:val="23"/>
                <w:b w:val="1"/>
                <w:bCs w:val="1"/>
                <w:color w:val="auto"/>
                <w:w w:val="84"/>
                <w:vertAlign w:val="superscript"/>
              </w:rPr>
              <w:t>(1)</w:t>
            </w:r>
          </w:p>
        </w:tc>
        <w:tc>
          <w:tcPr>
            <w:tcW w:w="0" w:type="dxa"/>
            <w:vAlign w:val="bottom"/>
          </w:tcPr>
          <w:p>
            <w:pPr>
              <w:spacing w:after="0"/>
              <w:rPr>
                <w:sz w:val="1"/>
                <w:szCs w:val="1"/>
                <w:color w:val="auto"/>
              </w:rPr>
            </w:pPr>
          </w:p>
        </w:tc>
      </w:tr>
      <w:tr>
        <w:trPr>
          <w:trHeight w:val="156"/>
        </w:trPr>
        <w:tc>
          <w:tcPr>
            <w:tcW w:w="2920" w:type="dxa"/>
            <w:vAlign w:val="bottom"/>
            <w:tcBorders>
              <w:top w:val="single" w:sz="8" w:color="CCEEFF"/>
            </w:tcBorders>
            <w:shd w:val="clear" w:color="auto" w:fill="CCEEFF"/>
          </w:tcPr>
          <w:p>
            <w:pPr>
              <w:ind w:left="100"/>
              <w:spacing w:after="0" w:line="156" w:lineRule="exact"/>
              <w:rPr>
                <w:sz w:val="20"/>
                <w:szCs w:val="20"/>
                <w:color w:val="auto"/>
              </w:rPr>
            </w:pPr>
            <w:r>
              <w:rPr>
                <w:rFonts w:ascii="Arial" w:cs="Arial" w:eastAsia="Arial" w:hAnsi="Arial"/>
                <w:sz w:val="18"/>
                <w:szCs w:val="18"/>
                <w:b w:val="1"/>
                <w:bCs w:val="1"/>
                <w:color w:val="auto"/>
              </w:rPr>
              <w:t>Convertible preferred stock</w:t>
            </w: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warrant liabilities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Annual volatility</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Fair value of underlying securities</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Common stock warrant liabilities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Annual volatility</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Fair value of underlying securities</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060" w:hanging="485"/>
        <w:spacing w:after="0"/>
        <w:tabs>
          <w:tab w:leader="none" w:pos="1060" w:val="left"/>
        </w:tabs>
        <w:numPr>
          <w:ilvl w:val="0"/>
          <w:numId w:val="47"/>
        </w:numPr>
        <w:rPr>
          <w:rFonts w:ascii="Arial" w:cs="Arial" w:eastAsia="Arial" w:hAnsi="Arial"/>
          <w:sz w:val="13"/>
          <w:szCs w:val="13"/>
          <w:color w:val="auto"/>
        </w:rPr>
      </w:pPr>
      <w:r>
        <w:rPr>
          <w:rFonts w:ascii="Arial" w:cs="Arial" w:eastAsia="Arial" w:hAnsi="Arial"/>
          <w:sz w:val="18"/>
          <w:szCs w:val="18"/>
          <w:color w:val="auto"/>
        </w:rPr>
        <w:t>Unob</w:t>
      </w:r>
      <w:r>
        <w:rPr>
          <w:rFonts w:ascii="Arial" w:cs="Arial" w:eastAsia="Arial" w:hAnsi="Arial"/>
          <w:sz w:val="16"/>
          <w:szCs w:val="16"/>
          <w:color w:val="auto"/>
        </w:rPr>
        <w:t>servable inputs were weighted based on convertible preferred stock warrants outstanding</w:t>
      </w:r>
    </w:p>
    <w:p>
      <w:pPr>
        <w:spacing w:after="0" w:line="27" w:lineRule="exact"/>
        <w:rPr>
          <w:sz w:val="20"/>
          <w:szCs w:val="20"/>
          <w:color w:val="auto"/>
        </w:rPr>
      </w:pPr>
    </w:p>
    <w:p>
      <w:pPr>
        <w:ind w:left="1060" w:right="140" w:hanging="485"/>
        <w:spacing w:after="0" w:line="230" w:lineRule="auto"/>
        <w:tabs>
          <w:tab w:leader="none" w:pos="866" w:val="left"/>
        </w:tabs>
        <w:numPr>
          <w:ilvl w:val="0"/>
          <w:numId w:val="48"/>
        </w:numPr>
        <w:rPr>
          <w:rFonts w:ascii="Arial" w:cs="Arial" w:eastAsia="Arial" w:hAnsi="Arial"/>
          <w:sz w:val="18"/>
          <w:szCs w:val="18"/>
          <w:color w:val="auto"/>
        </w:rPr>
      </w:pPr>
      <w:r>
        <w:rPr>
          <w:rFonts w:ascii="Arial" w:cs="Arial" w:eastAsia="Arial" w:hAnsi="Arial"/>
          <w:sz w:val="16"/>
          <w:szCs w:val="16"/>
          <w:color w:val="auto"/>
        </w:rPr>
        <w:t>Not applicable as of the respective periods presented. Only one set of each convertible preferred stock warrants and common stock warrants were outstanding as of December 31, 2019. Accordingly, weighted average inputs are not applicable.</w:t>
      </w:r>
    </w:p>
    <w:p>
      <w:pPr>
        <w:spacing w:after="0" w:line="1" w:lineRule="exact"/>
        <w:rPr>
          <w:sz w:val="20"/>
          <w:szCs w:val="20"/>
          <w:color w:val="auto"/>
        </w:rPr>
      </w:pPr>
    </w:p>
    <w:p>
      <w:pPr>
        <w:ind w:left="1060" w:right="160" w:hanging="485"/>
        <w:spacing w:after="0" w:line="235" w:lineRule="auto"/>
        <w:tabs>
          <w:tab w:leader="none" w:pos="956" w:val="left"/>
        </w:tabs>
        <w:numPr>
          <w:ilvl w:val="0"/>
          <w:numId w:val="49"/>
        </w:numPr>
        <w:rPr>
          <w:rFonts w:ascii="Arial" w:cs="Arial" w:eastAsia="Arial" w:hAnsi="Arial"/>
          <w:sz w:val="18"/>
          <w:szCs w:val="18"/>
          <w:color w:val="auto"/>
        </w:rPr>
      </w:pPr>
      <w:r>
        <w:rPr>
          <w:rFonts w:ascii="Arial" w:cs="Arial" w:eastAsia="Arial" w:hAnsi="Arial"/>
          <w:sz w:val="16"/>
          <w:szCs w:val="16"/>
          <w:color w:val="auto"/>
        </w:rPr>
        <w:t xml:space="preserve">Not applicable as of the respective periods presented. Preferred stock warrants were exercised and common stock warrants were </w:t>
      </w:r>
      <w:r>
        <w:rPr>
          <w:rFonts w:ascii="Arial" w:cs="Arial" w:eastAsia="Arial" w:hAnsi="Arial"/>
          <w:sz w:val="17"/>
          <w:szCs w:val="17"/>
          <w:color w:val="auto"/>
        </w:rPr>
        <w:t>reclassified</w:t>
      </w:r>
      <w:r>
        <w:rPr>
          <w:rFonts w:ascii="Arial" w:cs="Arial" w:eastAsia="Arial" w:hAnsi="Arial"/>
          <w:sz w:val="16"/>
          <w:szCs w:val="16"/>
          <w:color w:val="auto"/>
        </w:rPr>
        <w:t xml:space="preserve"> to equity as of December 31, 2020.</w:t>
      </w:r>
    </w:p>
    <w:p>
      <w:pPr>
        <w:spacing w:after="0" w:line="200" w:lineRule="exact"/>
        <w:rPr>
          <w:sz w:val="20"/>
          <w:szCs w:val="20"/>
          <w:color w:val="auto"/>
        </w:rPr>
      </w:pPr>
    </w:p>
    <w:p>
      <w:pPr>
        <w:spacing w:after="0" w:line="238"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Because the Company was privately held and did not have an active trading market for its common or convertible preferred stock for a</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period of time, the expected volatility is estimated based on the average volatility for comparable publicly-traded companies, over a period equal to the expected term of the warrants.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contractual life of the warrants being valued.</w:t>
      </w:r>
    </w:p>
    <w:p>
      <w:pPr>
        <w:spacing w:after="0" w:line="225"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Company has never paid dividends on its common stock or convertible preferred stock and does not anticipate paying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common stock. Therefore, the Company uses an expected dividend yield of zero.</w:t>
      </w:r>
    </w:p>
    <w:p>
      <w:pPr>
        <w:spacing w:after="0" w:line="171"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determined from the implied yields from U.S. Treasury zero-coupon bonds with a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 consistent with the contractual term of the warrants being valued.</w:t>
      </w:r>
    </w:p>
    <w:p>
      <w:pPr>
        <w:spacing w:after="0" w:line="171"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i w:val="1"/>
          <w:iCs w:val="1"/>
          <w:color w:val="auto"/>
        </w:rPr>
        <w:t>Fair value of underlying security</w:t>
      </w:r>
      <w:r>
        <w:rPr>
          <w:rFonts w:ascii="Arial" w:cs="Arial" w:eastAsia="Arial" w:hAnsi="Arial"/>
          <w:sz w:val="18"/>
          <w:szCs w:val="18"/>
          <w:color w:val="auto"/>
        </w:rPr>
        <w:t>–Prior to the completion of the IPO, the estimated fair value of the shares of underlying securities is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Board of Directors as there is no public market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229"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Company’s common stock or preferred stock. The Board of Directors determines the fair value of the underlying securities by considering a number of objective and subjective factors, including: third-party valuations of the Company’s common stock and convertible preferred stock, the valuation of comparable companies, the Company’s operating and financial performance, and a general and an industry-specific economic outlook, amongst other factors. After the completion of the IPO, the fair value of the Company’s common stock is determined by the closing price, on the grant date, of its common stock, which is traded on the Nasdaq Global Select Market.</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12" w:lineRule="exact"/>
        <w:rPr>
          <w:sz w:val="20"/>
          <w:szCs w:val="20"/>
          <w:color w:val="auto"/>
        </w:rPr>
      </w:pPr>
    </w:p>
    <w:p>
      <w:pPr>
        <w:jc w:val="both"/>
        <w:ind w:right="20" w:firstLine="567"/>
        <w:spacing w:after="0" w:line="233" w:lineRule="auto"/>
        <w:rPr>
          <w:sz w:val="20"/>
          <w:szCs w:val="20"/>
          <w:color w:val="auto"/>
        </w:rPr>
      </w:pPr>
      <w:r>
        <w:rPr>
          <w:rFonts w:ascii="Arial" w:cs="Arial" w:eastAsia="Arial" w:hAnsi="Arial"/>
          <w:sz w:val="18"/>
          <w:szCs w:val="18"/>
          <w:color w:val="auto"/>
        </w:rPr>
        <w:t>The fair value sensitivity of the common stock warrant liabilities and convertible preferred stock warrant liabilities to adverse changes in key assumptions would not result in a material impact on the Company’s financial position.</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Rollforward of Level 3 Fair Values</w:t>
      </w:r>
    </w:p>
    <w:p>
      <w:pPr>
        <w:spacing w:after="0" w:line="12"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7"/>
          <w:szCs w:val="17"/>
          <w:color w:val="auto"/>
        </w:rPr>
        <w:t>The following table presents a rollforward of the common stock warrant liabilities and convertible preferred stock warrant liabilities, included in accrued expenses and other liabilities on the consolidated balance sheets, classified by the Company within Level 3 of the fair value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 Stock Warrant</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Convertible Preferred Stock</w:t>
            </w:r>
          </w:p>
        </w:tc>
      </w:tr>
      <w:tr>
        <w:trPr>
          <w:trHeight w:val="241"/>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280" w:type="dxa"/>
            <w:vAlign w:val="bottom"/>
          </w:tcPr>
          <w:p>
            <w:pPr>
              <w:spacing w:after="0"/>
              <w:rPr>
                <w:sz w:val="20"/>
                <w:szCs w:val="20"/>
                <w:color w:val="auto"/>
              </w:rPr>
            </w:pPr>
          </w:p>
        </w:tc>
        <w:tc>
          <w:tcPr>
            <w:tcW w:w="2100" w:type="dxa"/>
            <w:vAlign w:val="bottom"/>
          </w:tcPr>
          <w:p>
            <w:pPr>
              <w:jc w:val="right"/>
              <w:ind w:right="350"/>
              <w:spacing w:after="0"/>
              <w:rPr>
                <w:sz w:val="20"/>
                <w:szCs w:val="20"/>
                <w:color w:val="auto"/>
              </w:rPr>
            </w:pPr>
            <w:r>
              <w:rPr>
                <w:rFonts w:ascii="Arial" w:cs="Arial" w:eastAsia="Arial" w:hAnsi="Arial"/>
                <w:sz w:val="18"/>
                <w:szCs w:val="18"/>
                <w:b w:val="1"/>
                <w:bCs w:val="1"/>
                <w:color w:val="auto"/>
              </w:rPr>
              <w:t>Warrant Liabilities</w:t>
            </w:r>
          </w:p>
        </w:tc>
      </w:tr>
      <w:tr>
        <w:trPr>
          <w:trHeight w:val="22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Exercises in the year</w:t>
            </w:r>
          </w:p>
        </w:tc>
        <w:tc>
          <w:tcPr>
            <w:tcW w:w="14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(12,177)</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to equity</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 Stock Warrant</w:t>
            </w: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Convertible Preferred Stock</w:t>
            </w:r>
          </w:p>
        </w:tc>
      </w:tr>
      <w:tr>
        <w:trPr>
          <w:trHeight w:val="241"/>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280" w:type="dxa"/>
            <w:vAlign w:val="bottom"/>
          </w:tcPr>
          <w:p>
            <w:pPr>
              <w:spacing w:after="0"/>
              <w:rPr>
                <w:sz w:val="20"/>
                <w:szCs w:val="20"/>
                <w:color w:val="auto"/>
              </w:rPr>
            </w:pPr>
          </w:p>
        </w:tc>
        <w:tc>
          <w:tcPr>
            <w:tcW w:w="2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Warrant Liabilities</w:t>
            </w:r>
          </w:p>
        </w:tc>
      </w:tr>
      <w:tr>
        <w:trPr>
          <w:trHeight w:val="230"/>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shd w:val="clear" w:color="auto" w:fill="CCEEFF"/>
          </w:tcPr>
          <w:p>
            <w:pPr>
              <w:jc w:val="center"/>
              <w:ind w:left="1450"/>
              <w:spacing w:after="0"/>
              <w:rPr>
                <w:sz w:val="20"/>
                <w:szCs w:val="20"/>
                <w:color w:val="auto"/>
              </w:rPr>
            </w:pPr>
            <w:r>
              <w:rPr>
                <w:rFonts w:ascii="Arial" w:cs="Arial" w:eastAsia="Arial" w:hAnsi="Arial"/>
                <w:sz w:val="18"/>
                <w:szCs w:val="18"/>
                <w:color w:val="auto"/>
                <w:w w:val="88"/>
              </w:rPr>
              <w:t>7,579</w:t>
            </w:r>
          </w:p>
        </w:tc>
      </w:tr>
      <w:tr>
        <w:trPr>
          <w:trHeight w:val="236"/>
        </w:trPr>
        <w:tc>
          <w:tcPr>
            <w:tcW w:w="6520" w:type="dxa"/>
            <w:vAlign w:val="bottom"/>
          </w:tcPr>
          <w:p>
            <w:pPr>
              <w:ind w:left="20"/>
              <w:spacing w:after="0"/>
              <w:rPr>
                <w:sz w:val="20"/>
                <w:szCs w:val="20"/>
                <w:color w:val="auto"/>
              </w:rPr>
            </w:pPr>
            <w:r>
              <w:rPr>
                <w:rFonts w:ascii="Arial" w:cs="Arial" w:eastAsia="Arial" w:hAnsi="Arial"/>
                <w:sz w:val="18"/>
                <w:szCs w:val="18"/>
                <w:color w:val="auto"/>
              </w:rPr>
              <w:t>Exercises in the year</w:t>
            </w:r>
          </w:p>
        </w:tc>
        <w:tc>
          <w:tcPr>
            <w:tcW w:w="140" w:type="dxa"/>
            <w:vAlign w:val="bottom"/>
          </w:tcPr>
          <w:p>
            <w:pPr>
              <w:spacing w:after="0"/>
              <w:rPr>
                <w:sz w:val="20"/>
                <w:szCs w:val="20"/>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100" w:type="dxa"/>
            <w:vAlign w:val="bottom"/>
          </w:tcPr>
          <w:p>
            <w:pPr>
              <w:jc w:val="center"/>
              <w:ind w:left="1430"/>
              <w:spacing w:after="0"/>
              <w:rPr>
                <w:sz w:val="20"/>
                <w:szCs w:val="20"/>
                <w:color w:val="auto"/>
              </w:rPr>
            </w:pPr>
            <w:r>
              <w:rPr>
                <w:rFonts w:ascii="Arial" w:cs="Arial" w:eastAsia="Arial" w:hAnsi="Arial"/>
                <w:sz w:val="18"/>
                <w:szCs w:val="18"/>
                <w:color w:val="auto"/>
                <w:w w:val="94"/>
              </w:rPr>
              <w:t>(1,131)</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and retirements in the period</w:t>
            </w:r>
          </w:p>
        </w:tc>
        <w:tc>
          <w:tcPr>
            <w:tcW w:w="14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4"/>
              </w:rPr>
              <w:t>(5,083)</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left="1450"/>
              <w:spacing w:after="0"/>
              <w:rPr>
                <w:sz w:val="20"/>
                <w:szCs w:val="20"/>
                <w:color w:val="auto"/>
              </w:rPr>
            </w:pPr>
            <w:r>
              <w:rPr>
                <w:rFonts w:ascii="Arial" w:cs="Arial" w:eastAsia="Arial" w:hAnsi="Arial"/>
                <w:sz w:val="18"/>
                <w:szCs w:val="18"/>
                <w:color w:val="auto"/>
                <w:w w:val="88"/>
              </w:rPr>
              <w:t>4,301</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ind w:left="1450"/>
              <w:spacing w:after="0"/>
              <w:rPr>
                <w:sz w:val="20"/>
                <w:szCs w:val="20"/>
                <w:color w:val="auto"/>
              </w:rPr>
            </w:pPr>
            <w:r>
              <w:rPr>
                <w:rFonts w:ascii="Arial" w:cs="Arial" w:eastAsia="Arial" w:hAnsi="Arial"/>
                <w:sz w:val="18"/>
                <w:szCs w:val="18"/>
                <w:color w:val="auto"/>
                <w:w w:val="88"/>
              </w:rPr>
              <w:t>5,666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hanging="725"/>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Loans at Fair Value</w:t>
      </w:r>
    </w:p>
    <w:p>
      <w:pPr>
        <w:spacing w:after="0" w:line="229" w:lineRule="exact"/>
        <w:rPr>
          <w:sz w:val="20"/>
          <w:szCs w:val="20"/>
          <w:color w:val="auto"/>
        </w:rPr>
      </w:pPr>
    </w:p>
    <w:p>
      <w:pPr>
        <w:ind w:firstLine="567"/>
        <w:spacing w:after="0" w:line="261" w:lineRule="auto"/>
        <w:rPr>
          <w:sz w:val="20"/>
          <w:szCs w:val="20"/>
          <w:color w:val="auto"/>
        </w:rPr>
      </w:pPr>
      <w:r>
        <w:rPr>
          <w:rFonts w:ascii="Arial" w:cs="Arial" w:eastAsia="Arial" w:hAnsi="Arial"/>
          <w:sz w:val="18"/>
          <w:szCs w:val="18"/>
          <w:color w:val="auto"/>
        </w:rPr>
        <w:t>The following table presents the aggregate fair value and aggregate principal outstanding of all loans and loans that were 90 days or more past due included in the consolidated balance sheets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5"/>
          </w:tcPr>
          <w:p>
            <w:pPr>
              <w:ind w:left="138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c>
          <w:tcPr>
            <w:tcW w:w="33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Loans &gt; 90 Days Past Due</w:t>
            </w:r>
          </w:p>
        </w:tc>
      </w:tr>
      <w:tr>
        <w:trPr>
          <w:trHeight w:val="223"/>
        </w:trPr>
        <w:tc>
          <w:tcPr>
            <w:tcW w:w="4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December 31, 2020</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4"/>
              </w:rPr>
              <w:t>December 31, 2019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December 31, 2019</w:t>
            </w: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principal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0"/>
              </w:rPr>
              <w:t>97,497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8"/>
              </w:rPr>
              <w:t>276,974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fair value and accrued interest adjustments</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89"/>
              </w:rPr>
              <w:t>(19,037)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2"/>
              </w:rPr>
              <w:t>(44,669)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0"/>
              </w:rPr>
              <w:t>78,460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8"/>
              </w:rPr>
              <w:t>232,305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229"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ind w:left="580"/>
              <w:spacing w:after="0"/>
              <w:rPr>
                <w:sz w:val="20"/>
                <w:szCs w:val="20"/>
                <w:color w:val="auto"/>
              </w:rPr>
            </w:pPr>
            <w:r>
              <w:rPr>
                <w:rFonts w:ascii="Arial" w:cs="Arial" w:eastAsia="Arial" w:hAnsi="Arial"/>
                <w:sz w:val="18"/>
                <w:szCs w:val="18"/>
                <w:b w:val="1"/>
                <w:bCs w:val="1"/>
                <w:color w:val="auto"/>
              </w:rPr>
              <w:t>6.</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Balance Sheet Components</w:t>
            </w: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800" w:type="dxa"/>
            <w:vAlign w:val="bottom"/>
            <w:gridSpan w:val="2"/>
          </w:tcPr>
          <w:p>
            <w:pPr>
              <w:ind w:left="580"/>
              <w:spacing w:after="0"/>
              <w:rPr>
                <w:sz w:val="20"/>
                <w:szCs w:val="20"/>
                <w:color w:val="auto"/>
              </w:rPr>
            </w:pPr>
            <w:r>
              <w:rPr>
                <w:rFonts w:ascii="Arial" w:cs="Arial" w:eastAsia="Arial" w:hAnsi="Arial"/>
                <w:sz w:val="18"/>
                <w:szCs w:val="18"/>
                <w:b w:val="1"/>
                <w:bCs w:val="1"/>
                <w:i w:val="1"/>
                <w:iCs w:val="1"/>
                <w:color w:val="auto"/>
              </w:rPr>
              <w:t>Other Assets</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7800" w:type="dxa"/>
            <w:vAlign w:val="bottom"/>
            <w:gridSpan w:val="2"/>
          </w:tcPr>
          <w:p>
            <w:pPr>
              <w:ind w:left="580"/>
              <w:spacing w:after="0"/>
              <w:rPr>
                <w:sz w:val="20"/>
                <w:szCs w:val="20"/>
                <w:color w:val="auto"/>
              </w:rPr>
            </w:pPr>
            <w:r>
              <w:rPr>
                <w:rFonts w:ascii="Arial" w:cs="Arial" w:eastAsia="Arial" w:hAnsi="Arial"/>
                <w:sz w:val="18"/>
                <w:szCs w:val="18"/>
                <w:color w:val="auto"/>
              </w:rPr>
              <w:t>Other assets consisted of the following (in thousands):</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3"/>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Servicing fees and other receivables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11,656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Deposits</w:t>
            </w:r>
          </w:p>
        </w:tc>
        <w:tc>
          <w:tcPr>
            <w:tcW w:w="6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6,429</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Prepaid expenses</w:t>
            </w:r>
          </w:p>
        </w:tc>
        <w:tc>
          <w:tcPr>
            <w:tcW w:w="6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Loan servicing assets (at fair value)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4,725</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5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w w:val="86"/>
              </w:rPr>
              <w:t>Total other assets</w:t>
            </w:r>
          </w:p>
        </w:tc>
        <w:tc>
          <w:tcPr>
            <w:tcW w:w="65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40,046</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24,754</w:t>
            </w:r>
          </w:p>
        </w:tc>
      </w:tr>
      <w:tr>
        <w:trPr>
          <w:trHeight w:val="21"/>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Servicing fees and other receivables represent amounts recognized as revenue but not yet collected in relation to servicing and other agreements with institutional investors and bank partners.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equipment, and software, net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equipment, and software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13,724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(3,692)</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10,032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For the year ended December 31, 2020, depreciation and amortization expense on property, equipment, and software was $2.3 million. Depreciation and amortization expense on property, equipment, and software for the year ended December 31, 2019 and 2018, was immaterial to the consolidated statements of operations and comprehensive income (loss). As of December 31, 2020 and 2019, capitalized internally developed software balances, net of accumulated amortization, were $6.0 million and $2.2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229"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580"/>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800" w:type="dxa"/>
            <w:vAlign w:val="bottom"/>
          </w:tcPr>
          <w:p>
            <w:pPr>
              <w:ind w:left="580"/>
              <w:spacing w:after="0"/>
              <w:rPr>
                <w:sz w:val="20"/>
                <w:szCs w:val="20"/>
                <w:color w:val="auto"/>
              </w:rPr>
            </w:pPr>
            <w:r>
              <w:rPr>
                <w:rFonts w:ascii="Arial" w:cs="Arial" w:eastAsia="Arial" w:hAnsi="Arial"/>
                <w:sz w:val="18"/>
                <w:szCs w:val="18"/>
                <w:color w:val="auto"/>
              </w:rPr>
              <w:t>Accrued expenses and other liabilities consisted of the following (in thousands):</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3"/>
        </w:trPr>
        <w:tc>
          <w:tcPr>
            <w:tcW w:w="78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10,974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13,834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5,746</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warrant liabilities (at fair value)</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warrant liabilities (at fair value)</w:t>
            </w:r>
          </w:p>
        </w:tc>
        <w:tc>
          <w:tcPr>
            <w:tcW w:w="10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 (at fair value)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Trailing fee liability (at fair value)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35,669</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34,648</w:t>
            </w:r>
          </w:p>
        </w:tc>
      </w:tr>
      <w:tr>
        <w:trPr>
          <w:trHeight w:val="21"/>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hanging="725"/>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The following table presents the aggregate principal outstanding of all loans mentioned in this note that are included in the consolidated balance sheets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190"/>
              <w:spacing w:after="0"/>
              <w:rPr>
                <w:sz w:val="20"/>
                <w:szCs w:val="20"/>
                <w:color w:val="auto"/>
              </w:rPr>
            </w:pPr>
            <w:r>
              <w:rPr>
                <w:rFonts w:ascii="Arial" w:cs="Arial" w:eastAsia="Arial" w:hAnsi="Arial"/>
                <w:sz w:val="18"/>
                <w:szCs w:val="18"/>
                <w:b w:val="1"/>
                <w:bCs w:val="1"/>
                <w:color w:val="auto"/>
              </w:rPr>
              <w:t>Borrowings</w:t>
            </w:r>
          </w:p>
        </w:tc>
      </w:tr>
      <w:tr>
        <w:trPr>
          <w:trHeight w:val="223"/>
        </w:trPr>
        <w:tc>
          <w:tcPr>
            <w:tcW w:w="7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 2019</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Risk retention funding loans</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payments due</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118,737</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In February 2016, the Company, together with its wholly-owned subsidiary, Upstart Network, Inc. (“UNI”) as the co-borrower, entered into a loan and security agreement (the “LSA”) with a third-party lender to obtain a term loan of $5.5 million. The term loan had an original maturity of March 1, 2019. In September 2018, the parties amended the LSA to extend the maturity date to December 1, 2020. Commencing on the effective date of the amended LSA, the Company is required to repay the term loan in thirty (30) equal monthly installments plus accrued interest. On December 1, 2020, the Company settled the term loan by paying the outstanding principal and accrued interest. The term loan bears a floating interest of prime rate plus 1.75% per annum, payable on the first calendar day of each month.</w:t>
      </w:r>
    </w:p>
    <w:p>
      <w:pPr>
        <w:spacing w:after="0" w:line="216" w:lineRule="exact"/>
        <w:rPr>
          <w:sz w:val="20"/>
          <w:szCs w:val="20"/>
          <w:color w:val="auto"/>
        </w:rPr>
      </w:pPr>
    </w:p>
    <w:p>
      <w:pPr>
        <w:jc w:val="both"/>
        <w:ind w:firstLine="551"/>
        <w:spacing w:after="0" w:line="248" w:lineRule="auto"/>
        <w:rPr>
          <w:sz w:val="20"/>
          <w:szCs w:val="20"/>
          <w:color w:val="auto"/>
        </w:rPr>
      </w:pPr>
      <w:r>
        <w:rPr>
          <w:rFonts w:ascii="Arial" w:cs="Arial" w:eastAsia="Arial" w:hAnsi="Arial"/>
          <w:sz w:val="18"/>
          <w:szCs w:val="18"/>
          <w:color w:val="auto"/>
        </w:rPr>
        <w:t>In October 2018, the Company and UNI entered into a mezzanine loan and security agreement with the same lender to obtain a second term loan of up to $15.0 million (the “Mezzanine Loan”). The Mezzanine Loan bears interest at the greater of prime rate plus 5.25% or 10.00% per annum, payable monthly. The principal balance is due upon maturity on October 1, 2021.</w:t>
      </w:r>
    </w:p>
    <w:p>
      <w:pPr>
        <w:spacing w:after="0" w:line="20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term loans are secured by all assets of the Company, excluding assets of consolidated securitizations and cash and restricted cash relating to other borrowing arrangements.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40"/>
          </w:cols>
          <w:pgMar w:left="320" w:top="229" w:right="33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UNI Credit Facility</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7"/>
          <w:szCs w:val="17"/>
          <w:color w:val="auto"/>
        </w:rPr>
        <w:t>In connection with the LSA with the same lender above, as amended in September 2018, the Company and UNI also obtained a revolving credit facility of up to $5.5 million (the “UNI Credit Facility”). The UNI Credit Facility had an original termination and maturity date of June 1, 2020. During the year ended December 31, 2020, the parties agreed to extend the maturity date of the UNI Credit Facility to June 1, 2021 when the outstanding principal and any accrued and unpaid interest are due and payable in full. The UNI Credit Facility bears floating interest at the greater of prime rate plus 1.00% or 4.25% annum, payable monthly, subject to a monthly minimum interest requirement prior to maturity.</w:t>
      </w:r>
    </w:p>
    <w:p>
      <w:pPr>
        <w:spacing w:after="0" w:line="201" w:lineRule="exact"/>
        <w:rPr>
          <w:sz w:val="20"/>
          <w:szCs w:val="20"/>
          <w:color w:val="auto"/>
        </w:rPr>
      </w:pPr>
    </w:p>
    <w:p>
      <w:pPr>
        <w:jc w:val="both"/>
        <w:ind w:firstLine="551"/>
        <w:spacing w:after="0" w:line="243" w:lineRule="auto"/>
        <w:rPr>
          <w:sz w:val="20"/>
          <w:szCs w:val="20"/>
          <w:color w:val="auto"/>
        </w:rPr>
      </w:pPr>
      <w:r>
        <w:rPr>
          <w:rFonts w:ascii="Arial" w:cs="Arial" w:eastAsia="Arial" w:hAnsi="Arial"/>
          <w:sz w:val="18"/>
          <w:szCs w:val="18"/>
          <w:color w:val="auto"/>
        </w:rPr>
        <w:t>The UNI Credit Facility is secured by all assets of the Company, excluding assets of consolidated securitizations and cash and restricted cash relating to other borrowing arrangements. The UNI Credit Facility contains certain financial covenants. As of December 31, 2020 and 2019, the Company was in compliance with all applicable covenants under the revolving credit and security agreement. As of December 31, 2020 and 2019, outstanding borrowings under the UNI Credit Facility was $5.5 million.</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Upstart Loan Trust Credit Facility</w:t>
      </w:r>
    </w:p>
    <w:p>
      <w:pPr>
        <w:spacing w:after="0" w:line="117"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17"/>
          <w:szCs w:val="17"/>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Under the revolving credit and security agreement, as amended from time to time, ULT may borrow up to $100.0 million (subject to a borrowing base capacity) until the earlier of May 15, 2021 or the occurrence of an accelerated amortization event. An accelerated amortization event includes failure to satisfy certain loan performance metrics or the occurrence of an event of default. The proceeds may only be used to purchase unsecured personal loans from Upstart’s platform and to pay fees and expenses related to the credit facility. The ULT Warehouse Credit Facility matures on the earlier of May 15, 2022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plus a spread ranging from 3.35% to 4.00% per annum, due and payable monthly in arrears. The Company is subject to additional interest payments under a minimum utilization requirement of $35 million. The maximum advance rate under the ULT Warehouse Credit Facility on outstanding principal of loans held by ULT was 80% as of December 31, 2020 and 85% as of December 31, 2019.</w:t>
      </w:r>
    </w:p>
    <w:p>
      <w:pPr>
        <w:spacing w:after="0" w:line="210"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The ULT Warehouse Credit Facility contains certain financial covenants. As of December 31, 2020 and 2019, ULT was in material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includes the aggregate balances held by ULT that were pledged as collateral for the ULT Warehouse Credit Facility and included in loans at fair value and restricted cash in the consolidated balance sheets, respectively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229"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ULT Warehouse Credit Facility</w:t>
            </w:r>
          </w:p>
        </w:tc>
      </w:tr>
      <w:tr>
        <w:trPr>
          <w:trHeight w:val="229"/>
        </w:trPr>
        <w:tc>
          <w:tcPr>
            <w:tcW w:w="7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2019</w:t>
            </w:r>
          </w:p>
        </w:tc>
      </w:tr>
      <w:tr>
        <w:trPr>
          <w:trHeight w:val="237"/>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54,770</w:t>
            </w: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Aggregate outstanding principal of loans pledged as collateral</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73,489</w:t>
            </w:r>
          </w:p>
        </w:tc>
      </w:tr>
      <w:tr>
        <w:trPr>
          <w:trHeight w:val="26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of loans purchased and held by ULT</w:t>
            </w: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86,742</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Restricted cash pledged as collateral</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3,441</w:t>
            </w: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Upstart Warehouse Trust Credit Facility</w:t>
      </w:r>
    </w:p>
    <w:p>
      <w:pPr>
        <w:spacing w:after="0" w:line="117"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7"/>
          <w:szCs w:val="17"/>
          <w:color w:val="auto"/>
        </w:rPr>
        <w:t>In May 2018, the Company’s consolidated VIE, Upstart Warehouse Trust (“UWT”) entered into a revolving credit and security agreement with third-party lenders, including one subordinated lender, for an uncommitted credit facility up to $152.0 million (the “UWT Warehouse Credit Facility”) to fund UWT’s purchase of loans from Upstart’s platform. The ability to borrow additional amounts under this warehouse credit facility expired in May 2020. The UWT Warehouse Credit Facility matures on the earlier of May 21, 2021 or the acceleration of the facility following an event of default, upon which date 100% of the outstanding principal, together with any accrued and unpaid interest, becomes due and payable. The entire amount of the outstanding debt may be prepaid at any time without penalty. The UWT Warehouse Credit Facility bears a floating interest rate of LIBOR plus 2.75% for a total amount up to $125.0 million and LIBOR plus 6.25% for an additional amount up to $27.0 million funded by the subordinated lender. These interest rates increased by an additional 0.75% following the scheduled expiration of the revolving period on May 22, 2020. In November 2020, the Company terminated the UWT Warehouse Credit Facility and paid down the full outstanding borrowings and accrued interest.</w:t>
      </w:r>
    </w:p>
    <w:p>
      <w:pPr>
        <w:spacing w:after="0" w:line="76"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The maximum advance rates under the UWT Warehouse Credit Facility for the senior loans and the subordinated loans held by UWT were 70% and 85%, respectively, as of December 31, 2019.</w:t>
      </w:r>
    </w:p>
    <w:p>
      <w:pPr>
        <w:spacing w:after="0" w:line="198"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The UWT Warehouse Credit Facility contains certain financial covenants. As of December 31, 2019, UWT was in material compliance with all applicable covenants under the UWT Warehouse Credit Facility. The creditors of UWT have no recourse to the general credit of the Company except for certain limited obligations of UWT to its creditors that are guaranteed by the Company. The Company does not guarantee the credit performance of the loans owned by UWT, and the loans and other assets owned by UWT are not available to settle the claims of creditors of the Company.</w:t>
      </w:r>
    </w:p>
    <w:p>
      <w:pPr>
        <w:spacing w:after="0" w:line="307"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As of December 31, 2019 the aggregate balances held by UWT that were pledged as collateral for the UWT Warehouse Credit Facility and included in loans at fair value and restricted cash in the consolidated balance sheets, respectively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UWT Warehouse Credit Facility</w:t>
            </w:r>
          </w:p>
        </w:tc>
      </w:tr>
      <w:tr>
        <w:trPr>
          <w:trHeight w:val="230"/>
        </w:trPr>
        <w:tc>
          <w:tcPr>
            <w:tcW w:w="7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2020</w:t>
            </w: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2019</w:t>
            </w:r>
          </w:p>
        </w:tc>
      </w:tr>
      <w:tr>
        <w:trPr>
          <w:trHeight w:val="23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Aggregate outstanding principal of loans pledged as collateral</w:t>
            </w:r>
          </w:p>
        </w:tc>
        <w:tc>
          <w:tcPr>
            <w:tcW w:w="160" w:type="dxa"/>
            <w:vAlign w:val="bottom"/>
          </w:tcPr>
          <w:p>
            <w:pPr>
              <w:spacing w:after="0"/>
              <w:rPr>
                <w:sz w:val="21"/>
                <w:szCs w:val="21"/>
                <w:color w:val="auto"/>
              </w:rPr>
            </w:pPr>
          </w:p>
        </w:tc>
        <w:tc>
          <w:tcPr>
            <w:tcW w:w="1900" w:type="dxa"/>
            <w:vAlign w:val="bottom"/>
            <w:gridSpan w:val="3"/>
          </w:tcPr>
          <w:p>
            <w:pPr>
              <w:ind w:left="14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36,228</w:t>
            </w:r>
          </w:p>
        </w:tc>
      </w:tr>
      <w:tr>
        <w:trPr>
          <w:trHeight w:val="26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of personal loans purchased and held by UWT</w:t>
            </w:r>
          </w:p>
        </w:tc>
        <w:tc>
          <w:tcPr>
            <w:tcW w:w="160" w:type="dxa"/>
            <w:vAlign w:val="bottom"/>
            <w:shd w:val="clear" w:color="auto" w:fill="CCEEFF"/>
          </w:tcPr>
          <w:p>
            <w:pPr>
              <w:spacing w:after="0"/>
              <w:rPr>
                <w:sz w:val="22"/>
                <w:szCs w:val="22"/>
                <w:color w:val="auto"/>
              </w:rPr>
            </w:pPr>
          </w:p>
        </w:tc>
        <w:tc>
          <w:tcPr>
            <w:tcW w:w="190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39,557</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Restricted cash pledged as collateral</w:t>
            </w:r>
          </w:p>
        </w:tc>
        <w:tc>
          <w:tcPr>
            <w:tcW w:w="160" w:type="dxa"/>
            <w:vAlign w:val="bottom"/>
          </w:tcPr>
          <w:p>
            <w:pPr>
              <w:spacing w:after="0"/>
              <w:rPr>
                <w:sz w:val="21"/>
                <w:szCs w:val="21"/>
                <w:color w:val="auto"/>
              </w:rPr>
            </w:pPr>
          </w:p>
        </w:tc>
        <w:tc>
          <w:tcPr>
            <w:tcW w:w="1900" w:type="dxa"/>
            <w:vAlign w:val="bottom"/>
            <w:gridSpan w:val="3"/>
          </w:tcPr>
          <w:p>
            <w:pPr>
              <w:ind w:left="14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1,720</w:t>
            </w: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Risk Retention Funding Loans</w:t>
      </w:r>
    </w:p>
    <w:p>
      <w:pPr>
        <w:spacing w:after="0" w:line="225" w:lineRule="exact"/>
        <w:rPr>
          <w:sz w:val="20"/>
          <w:szCs w:val="20"/>
          <w:color w:val="auto"/>
        </w:rPr>
      </w:pPr>
    </w:p>
    <w:p>
      <w:pPr>
        <w:jc w:val="both"/>
        <w:ind w:right="20" w:firstLine="567"/>
        <w:spacing w:after="0" w:line="271" w:lineRule="auto"/>
        <w:rPr>
          <w:sz w:val="20"/>
          <w:szCs w:val="20"/>
          <w:color w:val="auto"/>
        </w:rPr>
      </w:pPr>
      <w:r>
        <w:rPr>
          <w:rFonts w:ascii="Arial" w:cs="Arial" w:eastAsia="Arial" w:hAnsi="Arial"/>
          <w:sz w:val="16"/>
          <w:szCs w:val="16"/>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w:t>
      </w:r>
    </w:p>
    <w:p>
      <w:pPr>
        <w:ind w:firstLine="8"/>
        <w:spacing w:after="0" w:line="243"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entity as part of monthly cash distributions from the 2018-2 securitization on securitization notes and residual certificates. As of December 31, 2020, the outstanding principal balance under the 2018-2 RR Financing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229"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was immaterial. As of December 31, 2019, the outstanding principal balance under the 2018-2 RR Financing Agreement was $3.2 million.</w:t>
      </w:r>
    </w:p>
    <w:p>
      <w:pPr>
        <w:spacing w:after="0" w:line="239"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6"/>
          <w:szCs w:val="16"/>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2020 and 2019, the outstanding principal balance under the 2019-2 RR Financing Agreement was $6.6 million and $13.8 million, respectively.</w:t>
      </w:r>
    </w:p>
    <w:p>
      <w:pPr>
        <w:spacing w:after="0" w:line="186" w:lineRule="exact"/>
        <w:rPr>
          <w:sz w:val="20"/>
          <w:szCs w:val="20"/>
          <w:color w:val="auto"/>
        </w:rPr>
      </w:pPr>
    </w:p>
    <w:p>
      <w:pPr>
        <w:jc w:val="both"/>
        <w:ind w:firstLine="551"/>
        <w:spacing w:after="0" w:line="284" w:lineRule="auto"/>
        <w:rPr>
          <w:sz w:val="20"/>
          <w:szCs w:val="20"/>
          <w:color w:val="auto"/>
        </w:rPr>
      </w:pPr>
      <w:r>
        <w:rPr>
          <w:rFonts w:ascii="Arial" w:cs="Arial" w:eastAsia="Arial" w:hAnsi="Arial"/>
          <w:sz w:val="16"/>
          <w:szCs w:val="16"/>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$12.6 million and $22.0 million of securities held for risk retention for the 2018-2 and 2019-2 securitization transactions, included in notes receivables and residual certificates on the consolidated balance sheets as of December 31, 2020 and 2019, respectively.</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aggregate amount of maturities of all borrowings as of December 31, 2020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Borders>
              <w:bottom w:val="single" w:sz="8" w:color="CCEEFF"/>
            </w:tcBorders>
          </w:tcPr>
          <w:p>
            <w:pPr>
              <w:spacing w:after="0"/>
              <w:rPr>
                <w:sz w:val="20"/>
                <w:szCs w:val="20"/>
                <w:color w:val="auto"/>
              </w:rPr>
            </w:pPr>
          </w:p>
        </w:tc>
        <w:tc>
          <w:tcPr>
            <w:tcW w:w="85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December 31, 2020</w:t>
            </w:r>
          </w:p>
        </w:tc>
      </w:tr>
      <w:tr>
        <w:trPr>
          <w:trHeight w:val="22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85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r>
      <w:tr>
        <w:trPr>
          <w:trHeight w:val="230"/>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2022</w:t>
            </w:r>
          </w:p>
        </w:tc>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35,542</w:t>
            </w:r>
          </w:p>
        </w:tc>
      </w:tr>
      <w:tr>
        <w:trPr>
          <w:trHeight w:val="229"/>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2023</w:t>
            </w:r>
          </w:p>
        </w:tc>
        <w:tc>
          <w:tcPr>
            <w:tcW w:w="8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w:t>
            </w:r>
          </w:p>
        </w:tc>
      </w:tr>
      <w:tr>
        <w:trPr>
          <w:trHeight w:val="229"/>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2024</w:t>
            </w:r>
          </w:p>
        </w:tc>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2025</w:t>
            </w:r>
          </w:p>
        </w:tc>
        <w:tc>
          <w:tcPr>
            <w:tcW w:w="8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8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62,681</w:t>
            </w:r>
          </w:p>
        </w:tc>
      </w:tr>
      <w:tr>
        <w:trPr>
          <w:trHeight w:val="20"/>
        </w:trPr>
        <w:tc>
          <w:tcPr>
            <w:tcW w:w="10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85"/>
        </w:trPr>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8.</w:t>
            </w:r>
          </w:p>
        </w:tc>
        <w:tc>
          <w:tcPr>
            <w:tcW w:w="8680" w:type="dxa"/>
            <w:vAlign w:val="bottom"/>
            <w:gridSpan w:val="2"/>
          </w:tcPr>
          <w:p>
            <w:pPr>
              <w:jc w:val="right"/>
              <w:ind w:right="2770"/>
              <w:spacing w:after="0"/>
              <w:rPr>
                <w:sz w:val="20"/>
                <w:szCs w:val="20"/>
                <w:color w:val="auto"/>
              </w:rPr>
            </w:pPr>
            <w:r>
              <w:rPr>
                <w:rFonts w:ascii="Arial" w:cs="Arial" w:eastAsia="Arial" w:hAnsi="Arial"/>
                <w:sz w:val="18"/>
                <w:szCs w:val="18"/>
                <w:b w:val="1"/>
                <w:bCs w:val="1"/>
                <w:color w:val="auto"/>
                <w:w w:val="96"/>
              </w:rPr>
              <w:t>Convertible Preferred Stock and Convertible Preferred Stock Warrants</w:t>
            </w: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IPO, all shares of convertible preferred stock outstanding, totaling 47,949,785 shares, were automatically converted into an equivalent number of shares of common stock on a one-to-one basis. The carrying value of $162.5 million was reclassified into stockholders' equity (deficit). As of December 31, 2020, no shares of redeemable convertible preferred stock were issued and outstanding.</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2020, the Company's amended and restated certificate of incorporation became effective, which authorized the issuance of 70,000,000 shares of preferred stock with a par value of $0.0001 per share with rights and preferences, including voting rights, designated from time to time by the Company's Board of Directors.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Convertible Preferred Stock Warrants</w:t>
      </w:r>
    </w:p>
    <w:p>
      <w:pPr>
        <w:spacing w:after="0" w:line="225"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During June through November 2014, the Company issued initial lenders in the Upstart platform warrants to purchase an aggregate of 1,500,519 shares of Series B convertible preferred stock at a strike price of $0.01 or $1.67 per share. Of these warrants, 600,208 were outstanding as of December 31, 2019. The warrants have a contractual term of five to seven years and expire between June 2019 and November 2021. The convertible preferred stock warrants are recorded within accrued expenses and other liabilities on the consolidated balance sheets at their estimated fair value as of December 31, 2019. See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229"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In November 2020, the warrant holder exercised their rights to purchase 600,208 shares of our Series B preferred stock resulting in the reclassification of the convertible preferred stock warrant liability to additional paid-in capital. Upon completion of the IPO, convertible preferred stock were automatically converted into shares of common stock on a one-for-one basis. As of December 31, 2020, there were no convertible preferred stock warrants outstanding.</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Repurchase of Convertible Preferred Stock and Convertible Preferred Stock Warrants</w:t>
      </w:r>
    </w:p>
    <w:p>
      <w:pPr>
        <w:spacing w:after="0" w:line="225"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In November 2019, the Company repurchased and retired 277,831 shares of the Company’s Series C convertible preferred stock held by investors for a purchase price of $0.7 million. On repurchase, the portion equal to the original issuance price of $1.0 million was recorded as a reduction to convertible preferred stock and the excess of the original issuance price over the repurchase price was reflected as a decrease in accumulated deficit.</w:t>
      </w:r>
    </w:p>
    <w:p>
      <w:pPr>
        <w:spacing w:after="0" w:line="149"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On the same day, the Company also repurchased and cancelled 600,208 warrants to purchase Series B convertible preferred stock held by the same investor for a purchase price of $1.4 million. Upon repurchase, the Company derecognized $5.1 million of the convertible preferred stock warrant liabilities to reflect the fair value of the warrants repurchased. The Company recognized a $3.7 million gain on repurchase of the warrants, calculated as the difference between the price paid to repurchase the warrants and the fair value of the warrants immediately before the repurchase. The gain on repurchase of the warrants is included in expense on warrants and other non-operating expenses, net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00" w:hanging="725"/>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2020, the Company's amended and restated certificate of incorporation became effective, which authorized the issuance of 700,000,000 shares of common stock with a par value of $0.0001 per share.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of December 31, 2020 and 2019, the Company had reserved shares of common stock for issuance, on an as-converted basis,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234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95"/>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outstanding</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47,349,577</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Options issued and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19,600,223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16,502,206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stock option grants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2,537,181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1,319,666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Warrants to purchase convertible preferred stock</w:t>
            </w:r>
          </w:p>
        </w:tc>
        <w:tc>
          <w:tcPr>
            <w:tcW w:w="23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600,208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319,669</w:t>
            </w:r>
          </w:p>
        </w:tc>
      </w:tr>
      <w:tr>
        <w:trPr>
          <w:trHeight w:val="223"/>
        </w:trPr>
        <w:tc>
          <w:tcPr>
            <w:tcW w:w="7800" w:type="dxa"/>
            <w:vAlign w:val="bottom"/>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22,212,404</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66,091,326</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In March 2015 through July 2017, the Company issued warrants to purchase common stock in connection with the Mezzanine Loan and other historical borrowings. The Company also issued warrants to purchase common stock to other investors in March 2016. In December 2020, the warrant holders net exercised all 169,669 warrants resulting in 164,300 net shares issued by the Company. The outstanding warrants to purchase common stock not subject to remeasurement as of the balance sheet dates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229"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420" w:type="dxa"/>
            <w:vAlign w:val="bottom"/>
            <w:gridSpan w:val="4"/>
          </w:tcPr>
          <w:p>
            <w:pPr>
              <w:ind w:left="840"/>
              <w:spacing w:after="0"/>
              <w:rPr>
                <w:sz w:val="20"/>
                <w:szCs w:val="20"/>
                <w:color w:val="auto"/>
              </w:rPr>
            </w:pPr>
            <w:r>
              <w:rPr>
                <w:rFonts w:ascii="Arial" w:cs="Arial" w:eastAsia="Arial" w:hAnsi="Arial"/>
                <w:sz w:val="18"/>
                <w:szCs w:val="18"/>
                <w:b w:val="1"/>
                <w:bCs w:val="1"/>
                <w:color w:val="auto"/>
              </w:rPr>
              <w:t>Warrants Outstanding</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6"/>
        </w:trPr>
        <w:tc>
          <w:tcPr>
            <w:tcW w:w="4280" w:type="dxa"/>
            <w:vAlign w:val="bottom"/>
          </w:tcPr>
          <w:p>
            <w:pPr>
              <w:spacing w:after="0"/>
              <w:rPr>
                <w:sz w:val="22"/>
                <w:szCs w:val="22"/>
                <w:color w:val="auto"/>
              </w:rPr>
            </w:pPr>
          </w:p>
        </w:tc>
        <w:tc>
          <w:tcPr>
            <w:tcW w:w="232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93"/>
              </w:rPr>
              <w:t>December 31,</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Exercise Price</w:t>
            </w:r>
          </w:p>
        </w:tc>
        <w:tc>
          <w:tcPr>
            <w:tcW w:w="1680" w:type="dxa"/>
            <w:vAlign w:val="bottom"/>
          </w:tcPr>
          <w:p>
            <w:pPr>
              <w:spacing w:after="0"/>
              <w:rPr>
                <w:sz w:val="22"/>
                <w:szCs w:val="22"/>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Issuance Date</w:t>
            </w:r>
          </w:p>
        </w:tc>
        <w:tc>
          <w:tcPr>
            <w:tcW w:w="1660" w:type="dxa"/>
            <w:vAlign w:val="bottom"/>
          </w:tcPr>
          <w:p>
            <w:pPr>
              <w:ind w:left="66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per Share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2015</w:t>
            </w:r>
          </w:p>
        </w:tc>
        <w:tc>
          <w:tcPr>
            <w:tcW w:w="166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$1.67</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February 1, 2016</w:t>
            </w:r>
          </w:p>
        </w:tc>
        <w:tc>
          <w:tcPr>
            <w:tcW w:w="232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60,084</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$1.17</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2017</w:t>
            </w:r>
          </w:p>
        </w:tc>
        <w:tc>
          <w:tcPr>
            <w:tcW w:w="232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$1.35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3"/>
        </w:trPr>
        <w:tc>
          <w:tcPr>
            <w:tcW w:w="4280" w:type="dxa"/>
            <w:vAlign w:val="bottom"/>
          </w:tcPr>
          <w:p>
            <w:pPr>
              <w:ind w:left="1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169,669</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
        </w:trPr>
        <w:tc>
          <w:tcPr>
            <w:tcW w:w="4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estimated grant date fair value of the above common stock warrants granted in March 2015 through July 2017 was immaterial and recognized as an expense in the period granted.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Common Stock Warrants Measured at Fair Value on a Recurring Basis</w:t>
      </w:r>
    </w:p>
    <w:p>
      <w:pPr>
        <w:spacing w:after="0" w:line="117"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In October 2018, the Company issued two common stock warrants to purchase an aggregate of 150,000 shares of common stock, with an exercise price of $2.16 per share. The estimated grant date fair value of the common stock warrants was recognized as debt issuance costs in the period granted. The common stock warrants have a contractual term of ten years and expire in October 2028. The common stock warrants were outstanding in their entirety as of December 31, 2019 and recorded as accrued expenses and other liabilities on the consolidated balance sheets at their estimated fair value. See “</w:t>
      </w:r>
      <w:r>
        <w:rPr>
          <w:rFonts w:ascii="Arial" w:cs="Arial" w:eastAsia="Arial" w:hAnsi="Arial"/>
          <w:sz w:val="18"/>
          <w:szCs w:val="18"/>
          <w:i w:val="1"/>
          <w:iCs w:val="1"/>
          <w:color w:val="auto"/>
        </w:rPr>
        <w:t>Note 4.</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for further details.</w:t>
      </w:r>
    </w:p>
    <w:p>
      <w:pPr>
        <w:spacing w:after="0" w:line="188"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On December 1, 2020, the common stock warrants were amended to include a repurchase option in the event of an IPO. Upon the completion of an IPO, or a qualified acquisition of the Company, the common stock warrant holders have the option to require the Company to repurchase the warrants in their entirety for an aggregate purchase price of $3.0 million. The repurchase options terminate on the earlier of (i) 30 days after the closing of a qualified sale of the Company or; (ii) 10 business days after the date on which the Company’s IPO price per share is confirmed by the Company’s underwriters.</w:t>
      </w:r>
    </w:p>
    <w:p>
      <w:pPr>
        <w:spacing w:after="0" w:line="157"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On December 21, 2020 a warrant holder net exercised 75,000 warrants with an exercise price of $2.16 per share. The transaction was a cashless exercise resulting in 71,325 common shares issued by the Company. On December 31, 2020, the repurchase clause for the remaining outstanding warrants expired resulting in the value of 75,000 warrants reclassified from liability to equity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00" w:hanging="725"/>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04"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18"/>
          <w:szCs w:val="18"/>
          <w:color w:val="auto"/>
        </w:rPr>
        <w:t>In 2012, the Company adopted the Equity Incentive Plan (“2012 Equity Incentive Plan”) authorizing the granting of incentive stock options (“ISOs”) and non-statutory stock options (“NSOs”) to eligible participants. As of December 31, 2019, the Company is authorized to issue up to 19,063,647 shares of common stock under the 2012 Equity Incentive Plan.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83"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229"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38" w:lineRule="auto"/>
        <w:rPr>
          <w:sz w:val="20"/>
          <w:szCs w:val="20"/>
          <w:color w:val="auto"/>
        </w:rPr>
      </w:pPr>
      <w:r>
        <w:rPr>
          <w:rFonts w:ascii="Arial" w:cs="Arial" w:eastAsia="Arial" w:hAnsi="Arial"/>
          <w:sz w:val="18"/>
          <w:szCs w:val="18"/>
          <w:color w:val="auto"/>
        </w:rPr>
        <w:t>The 2020 Equity Incentive Plan authorizes granting of ISOs, NSOs, stock appreciation rights, restricted stock, restricted stock units, or RSUs, and performance awards. As of December 31, 2020, the Company is authorized to issue up to 5,520,000 shares of common stock under the 2020 Equity Incentive Plan. In addition, the 2020 Equity 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the 2021 in an amount equal to the least of 15,000,000 shares or 5% of the outstanding shares of our common stock on the last day of our immediately preceding fiscal year.</w:t>
      </w:r>
    </w:p>
    <w:p>
      <w:pPr>
        <w:spacing w:after="0" w:line="19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Activity under the Company’s 2012 Equity Incentive Plan and 2020 Equity Incentive Plan is set forth below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6"/>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7"/>
                <w:szCs w:val="17"/>
                <w:color w:val="auto"/>
              </w:rPr>
            </w:pPr>
          </w:p>
        </w:tc>
        <w:tc>
          <w:tcPr>
            <w:tcW w:w="126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Options Available</w:t>
            </w:r>
          </w:p>
        </w:tc>
        <w:tc>
          <w:tcPr>
            <w:tcW w:w="1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w w:val="96"/>
              </w:rPr>
              <w:t>Exercise Price Per</w:t>
            </w:r>
          </w:p>
        </w:tc>
        <w:tc>
          <w:tcPr>
            <w:tcW w:w="16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4"/>
              </w:rPr>
              <w:t>Contractual Life</w:t>
            </w:r>
          </w:p>
        </w:tc>
        <w:tc>
          <w:tcPr>
            <w:tcW w:w="220" w:type="dxa"/>
            <w:vAlign w:val="bottom"/>
          </w:tcPr>
          <w:p>
            <w:pPr>
              <w:spacing w:after="0"/>
              <w:rPr>
                <w:sz w:val="15"/>
                <w:szCs w:val="15"/>
                <w:color w:val="auto"/>
              </w:rPr>
            </w:pPr>
          </w:p>
        </w:tc>
        <w:tc>
          <w:tcPr>
            <w:tcW w:w="126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22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2019</w:t>
            </w:r>
          </w:p>
        </w:tc>
        <w:tc>
          <w:tcPr>
            <w:tcW w:w="148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1,319,666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16,502,206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6"/>
              </w:rPr>
              <w:t>115,764</w:t>
            </w:r>
          </w:p>
        </w:tc>
        <w:tc>
          <w:tcPr>
            <w:tcW w:w="0" w:type="dxa"/>
            <w:vAlign w:val="bottom"/>
          </w:tcPr>
          <w:p>
            <w:pPr>
              <w:spacing w:after="0"/>
              <w:rPr>
                <w:sz w:val="1"/>
                <w:szCs w:val="1"/>
                <w:color w:val="auto"/>
              </w:rPr>
            </w:pPr>
          </w:p>
        </w:tc>
      </w:tr>
      <w:tr>
        <w:trPr>
          <w:trHeight w:val="229"/>
        </w:trPr>
        <w:tc>
          <w:tcPr>
            <w:tcW w:w="3420" w:type="dxa"/>
            <w:vAlign w:val="bottom"/>
          </w:tcPr>
          <w:p>
            <w:pPr>
              <w:ind w:left="140"/>
              <w:spacing w:after="0"/>
              <w:rPr>
                <w:sz w:val="20"/>
                <w:szCs w:val="20"/>
                <w:color w:val="auto"/>
              </w:rPr>
            </w:pPr>
            <w:r>
              <w:rPr>
                <w:rFonts w:ascii="Arial" w:cs="Arial" w:eastAsia="Arial" w:hAnsi="Arial"/>
                <w:sz w:val="18"/>
                <w:szCs w:val="18"/>
                <w:color w:val="auto"/>
              </w:rPr>
              <w:t>Options authorized</w:t>
            </w:r>
          </w:p>
        </w:tc>
        <w:tc>
          <w:tcPr>
            <w:tcW w:w="1480" w:type="dxa"/>
            <w:vAlign w:val="bottom"/>
          </w:tcPr>
          <w:p>
            <w:pPr>
              <w:jc w:val="center"/>
              <w:ind w:left="550"/>
              <w:spacing w:after="0"/>
              <w:rPr>
                <w:sz w:val="20"/>
                <w:szCs w:val="20"/>
                <w:color w:val="auto"/>
              </w:rPr>
            </w:pPr>
            <w:r>
              <w:rPr>
                <w:rFonts w:ascii="Arial" w:cs="Arial" w:eastAsia="Arial" w:hAnsi="Arial"/>
                <w:sz w:val="18"/>
                <w:szCs w:val="18"/>
                <w:color w:val="auto"/>
                <w:w w:val="89"/>
              </w:rPr>
              <w:t>5,600,000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granted</w:t>
            </w:r>
          </w:p>
        </w:tc>
        <w:tc>
          <w:tcPr>
            <w:tcW w:w="148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1"/>
              </w:rPr>
              <w:t>(5,709,030)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(1,284,468)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cancelled and forfeited</w:t>
            </w:r>
          </w:p>
        </w:tc>
        <w:tc>
          <w:tcPr>
            <w:tcW w:w="148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1,326,545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4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2,537,181</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19,600,223</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left="410"/>
              <w:spacing w:after="0"/>
              <w:rPr>
                <w:sz w:val="20"/>
                <w:szCs w:val="20"/>
                <w:color w:val="auto"/>
              </w:rPr>
            </w:pPr>
            <w:r>
              <w:rPr>
                <w:rFonts w:ascii="Arial" w:cs="Arial" w:eastAsia="Arial" w:hAnsi="Arial"/>
                <w:sz w:val="18"/>
                <w:szCs w:val="18"/>
                <w:color w:val="auto"/>
                <w:w w:val="89"/>
              </w:rPr>
              <w:t>$ 715,084</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Options exercisable – December 31, 2020</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11,040,672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$ 434,287</w:t>
            </w:r>
          </w:p>
        </w:tc>
        <w:tc>
          <w:tcPr>
            <w:tcW w:w="0" w:type="dxa"/>
            <w:vAlign w:val="bottom"/>
          </w:tcPr>
          <w:p>
            <w:pPr>
              <w:spacing w:after="0"/>
              <w:rPr>
                <w:sz w:val="1"/>
                <w:szCs w:val="1"/>
                <w:color w:val="auto"/>
              </w:rPr>
            </w:pPr>
          </w:p>
        </w:tc>
      </w:tr>
      <w:tr>
        <w:trPr>
          <w:trHeight w:val="175"/>
        </w:trPr>
        <w:tc>
          <w:tcPr>
            <w:tcW w:w="3420" w:type="dxa"/>
            <w:vAlign w:val="bottom"/>
          </w:tcPr>
          <w:p>
            <w:pPr>
              <w:ind w:left="140"/>
              <w:spacing w:after="0" w:line="176" w:lineRule="exact"/>
              <w:rPr>
                <w:sz w:val="20"/>
                <w:szCs w:val="20"/>
                <w:color w:val="auto"/>
              </w:rPr>
            </w:pPr>
            <w:r>
              <w:rPr>
                <w:rFonts w:ascii="Arial" w:cs="Arial" w:eastAsia="Arial" w:hAnsi="Arial"/>
                <w:sz w:val="18"/>
                <w:szCs w:val="18"/>
                <w:color w:val="auto"/>
              </w:rPr>
              <w:t>Options vested and expected to vest –</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18,044,133</w:t>
            </w:r>
          </w:p>
        </w:tc>
        <w:tc>
          <w:tcPr>
            <w:tcW w:w="4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center"/>
              <w:ind w:left="410"/>
              <w:spacing w:after="0"/>
              <w:rPr>
                <w:sz w:val="20"/>
                <w:szCs w:val="20"/>
                <w:color w:val="auto"/>
              </w:rPr>
            </w:pPr>
            <w:r>
              <w:rPr>
                <w:rFonts w:ascii="Arial" w:cs="Arial" w:eastAsia="Arial" w:hAnsi="Arial"/>
                <w:sz w:val="18"/>
                <w:szCs w:val="18"/>
                <w:color w:val="auto"/>
                <w:w w:val="89"/>
              </w:rPr>
              <w:t>$ 665,438</w:t>
            </w: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Arial" w:cs="Arial" w:eastAsia="Arial" w:hAnsi="Arial"/>
                <w:sz w:val="18"/>
                <w:szCs w:val="18"/>
                <w:color w:val="auto"/>
              </w:rPr>
              <w:t>December 31, 2020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awards and the fair value of the Company’s stock as of December 31, 2020. The aggregate intrinsic value of options exercised for the years ended December 31, 2020, 2019 and 2018, was $50.0 million, $2.1 million, and $0.6 million, respectively. The weighted-average grant date fair value of options granted during the years ended December 31, 2020, 2019 and 2018, was $11.04, $3.99, and $1.68 per share, respectively. The total fair value of options vested for the years ended December 31, 2020, 2019 and 2018, was $7.9 million, $2.7 million and $1.8 million, respectively.</w:t>
      </w:r>
    </w:p>
    <w:p>
      <w:pPr>
        <w:spacing w:after="0" w:line="188"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As of December 31, 2020, total unrecognized stock-based compensation expense was $35.3 million, which is expected to be recognized over a weighted-average period of 2.82 years.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22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During the years ended December 31, 2020, 2019 and 2018, the Company granted non-qualified options to non-employees to purchase 0, 135,969 and 148,295 shares, respectively, of common stock under the 2012 Equity Incentive Plan. Non-employee options were issued with various vesting periods depending on the specific terms of each option and services provided by non-employees.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Fair Value of Options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229"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 Prior to the completion of the IPO, the fair value of the shares of common stock has historically been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Board of Directors as there is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 specific economic outlook, among other factors. After the completion of the IPO, the fair value of the Company’s common stock is determined by the closing price, on the date of grant, of its common stock, which is traded on the Nasdaq Global Select Market.</w:t>
      </w:r>
    </w:p>
    <w:p>
      <w:pPr>
        <w:spacing w:after="0" w:line="19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the Company’s stock options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the expected term for employee stock options based on historical terminations and exercise behavior, which factors in an extended post-termination exercise provision for vested awards for certain employees that provide more than three years of service to the Company. The Company uses the contractual term for all nonemployee awards.</w:t>
      </w:r>
    </w:p>
    <w:p>
      <w:pPr>
        <w:spacing w:after="0" w:line="18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Because the Company was privately held and did not have an active trading market for its common stock for a sufficient period of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volatility is estimated based on the average volatility for comparable publicly-traded companies, over a period equal to the expected term of the stock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-353695</wp:posOffset>
            </wp:positionV>
            <wp:extent cx="28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assumption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The Company has never paid dividends on its common stock and does not anticipate paying dividends on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uses an expected dividend yield of zero.</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assumptions were used to estimate the fair value of employee and nonemployee stock options granted and the resulting fair values: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Year Ended December 31,</w:t>
            </w:r>
          </w:p>
        </w:tc>
        <w:tc>
          <w:tcPr>
            <w:tcW w:w="9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5.3 – 10.0</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5.5 – 10.0</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5.9 – 10.0</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53.23%</w:t>
            </w:r>
          </w:p>
        </w:tc>
        <w:tc>
          <w:tcPr>
            <w:tcW w:w="1020" w:type="dxa"/>
            <w:vAlign w:val="bottom"/>
          </w:tcPr>
          <w:p>
            <w:pPr>
              <w:ind w:left="20"/>
              <w:spacing w:after="0"/>
              <w:rPr>
                <w:sz w:val="20"/>
                <w:szCs w:val="20"/>
                <w:color w:val="auto"/>
              </w:rPr>
            </w:pPr>
            <w:r>
              <w:rPr>
                <w:rFonts w:ascii="Arial" w:cs="Arial" w:eastAsia="Arial" w:hAnsi="Arial"/>
                <w:sz w:val="18"/>
                <w:szCs w:val="18"/>
                <w:color w:val="auto"/>
              </w:rPr>
              <w:t>– 72.02%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55.69%</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59.23%</w:t>
            </w:r>
          </w:p>
        </w:tc>
        <w:tc>
          <w:tcPr>
            <w:tcW w:w="900" w:type="dxa"/>
            <w:vAlign w:val="bottom"/>
          </w:tcPr>
          <w:p>
            <w:pPr>
              <w:jc w:val="right"/>
              <w:spacing w:after="0"/>
              <w:rPr>
                <w:sz w:val="20"/>
                <w:szCs w:val="20"/>
                <w:color w:val="auto"/>
              </w:rPr>
            </w:pPr>
            <w:r>
              <w:rPr>
                <w:rFonts w:ascii="Arial" w:cs="Arial" w:eastAsia="Arial" w:hAnsi="Arial"/>
                <w:sz w:val="18"/>
                <w:szCs w:val="18"/>
                <w:color w:val="auto"/>
              </w:rPr>
              <w:t>54.70%</w:t>
            </w:r>
          </w:p>
        </w:tc>
        <w:tc>
          <w:tcPr>
            <w:tcW w:w="1040" w:type="dxa"/>
            <w:vAlign w:val="bottom"/>
          </w:tcPr>
          <w:p>
            <w:pPr>
              <w:ind w:left="20"/>
              <w:spacing w:after="0"/>
              <w:rPr>
                <w:sz w:val="20"/>
                <w:szCs w:val="20"/>
                <w:color w:val="auto"/>
              </w:rPr>
            </w:pPr>
            <w:r>
              <w:rPr>
                <w:rFonts w:ascii="Arial" w:cs="Arial" w:eastAsia="Arial" w:hAnsi="Arial"/>
                <w:sz w:val="18"/>
                <w:szCs w:val="18"/>
                <w:color w:val="auto"/>
              </w:rPr>
              <w:t>– 58.59%</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3.13%</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7"/>
              </w:rPr>
              <w:t>— %</w:t>
            </w:r>
          </w:p>
        </w:tc>
        <w:tc>
          <w:tcPr>
            <w:tcW w:w="100" w:type="dxa"/>
            <w:vAlign w:val="bottom"/>
          </w:tcPr>
          <w:p>
            <w:pPr>
              <w:spacing w:after="0"/>
              <w:rPr>
                <w:sz w:val="20"/>
                <w:szCs w:val="20"/>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 %</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97"/>
              </w:rPr>
              <w:t>— %</w:t>
            </w:r>
          </w:p>
        </w:tc>
      </w:tr>
    </w:tbl>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12"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7"/>
          <w:szCs w:val="17"/>
          <w:color w:val="auto"/>
        </w:rPr>
        <w:t>In October 2020, our Board of Directors adopted, and in November 2020 our Board of Directors amended and our stockholders approved, our Employee Stock Purchase Plan (“ESPP”) which was effective on December 14, 2020. Our ESPP provides for consecutive six-month offering periods. The offering periods are scheduled to start on the first trading day on or after February 15 and August 15 of each year, except the first offering period commenced on December 16, 2020 and will end on the first trading day on or before August 15, 2021. The second offering period will commence on the last trading day on or after August 15, 2021. The ESPP permits participants to purchase price shares in the amount of 85% of the lower of the fair market value of our shares of common stock on the first trading day of the offering period or on the exercise date. As of December 31, 2020, the maximum number of shares of common stock that can be issued under the employee stock purchase plan was 1,380,000 shares,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229"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addition to any automatic annual evergreen increase. As of December 31, 2020, no shares of common stock have been granted or purchased under the ESPP.</w:t>
      </w:r>
    </w:p>
    <w:p>
      <w:pPr>
        <w:spacing w:after="0" w:line="17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Company recorded stock-based compensation in the following expense categories in its consolidated statements of operations and comprehensive income (loss) for employees and non-employees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Customer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r>
      <w:tr>
        <w:trPr>
          <w:trHeight w:val="248"/>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80" w:hanging="705"/>
        <w:spacing w:after="0"/>
        <w:tabs>
          <w:tab w:leader="none" w:pos="1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16"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The Company’s operating leases are primarily for its corporate headquarters in San Mateo, California and Columbus, Ohio. Both operating leases include early termination options, and one of the leases includes renewal options for two successive five-year periods. The exercise of these options was not recognized as part of the ROU assets and lease liabilities, as the Company did not conclude, at the commencement date of the leases, that the exercise of renewal options or termination options was reasonably certain. In connection with one of the leases, a letter of credit was issued on behalf of the Company for the benefit of the landlord in the amount of $2.0 million. The letter of credit is secured by a certificate of deposit which is included in restricted cash on the consolidated balance sheets.</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future minimum non-cancelable lease payments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Operating Leases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5,221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2,567</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adjustment</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2020, the Company does not have any operating leases which are yet to commence.</w:t>
      </w:r>
    </w:p>
    <w:p>
      <w:pPr>
        <w:spacing w:after="0" w:line="239"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The Company’s operating lease expense consists of rent and variable lease payments. Variable lease payments such as common area maintenance and parking fees, were included in operating expenses. Rent expense for the Company’s short-term leases was immaterial for the years ended December 31, 2020, 2019 and 2018. Operating lease expense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229"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380" w:type="dxa"/>
            <w:vAlign w:val="bottom"/>
            <w:tcBorders>
              <w:bottom w:val="single" w:sz="8" w:color="auto"/>
            </w:tcBorders>
          </w:tcPr>
          <w:p>
            <w:pPr>
              <w:spacing w:after="0"/>
              <w:rPr>
                <w:sz w:val="20"/>
                <w:szCs w:val="20"/>
                <w:color w:val="auto"/>
              </w:rPr>
            </w:pPr>
          </w:p>
        </w:tc>
      </w:tr>
      <w:tr>
        <w:trPr>
          <w:trHeight w:val="223"/>
        </w:trPr>
        <w:tc>
          <w:tcPr>
            <w:tcW w:w="114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Rent expense</w:t>
            </w:r>
          </w:p>
        </w:tc>
        <w:tc>
          <w:tcPr>
            <w:tcW w:w="5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30"/>
        </w:trPr>
        <w:tc>
          <w:tcPr>
            <w:tcW w:w="7380" w:type="dxa"/>
            <w:vAlign w:val="bottom"/>
            <w:gridSpan w:val="3"/>
          </w:tcPr>
          <w:p>
            <w:pPr>
              <w:ind w:left="20"/>
              <w:spacing w:after="0"/>
              <w:rPr>
                <w:sz w:val="20"/>
                <w:szCs w:val="20"/>
                <w:color w:val="auto"/>
              </w:rPr>
            </w:pPr>
            <w:r>
              <w:rPr>
                <w:rFonts w:ascii="Arial" w:cs="Arial" w:eastAsia="Arial" w:hAnsi="Arial"/>
                <w:sz w:val="18"/>
                <w:szCs w:val="18"/>
                <w:color w:val="auto"/>
              </w:rPr>
              <w:t>Variable lease payments</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431"/>
        </w:trPr>
        <w:tc>
          <w:tcPr>
            <w:tcW w:w="9580" w:type="dxa"/>
            <w:vAlign w:val="bottom"/>
            <w:gridSpan w:val="7"/>
          </w:tcPr>
          <w:p>
            <w:pPr>
              <w:ind w:left="580"/>
              <w:spacing w:after="0"/>
              <w:rPr>
                <w:sz w:val="20"/>
                <w:szCs w:val="20"/>
                <w:color w:val="auto"/>
              </w:rPr>
            </w:pPr>
            <w:r>
              <w:rPr>
                <w:rFonts w:ascii="Arial" w:cs="Arial" w:eastAsia="Arial" w:hAnsi="Arial"/>
                <w:sz w:val="18"/>
                <w:szCs w:val="18"/>
                <w:color w:val="auto"/>
                <w:w w:val="91"/>
              </w:rPr>
              <w:t>Supplemental cash flow and noncash information related to the Company’s operating leases was as follows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r>
      <w:tr>
        <w:trPr>
          <w:trHeight w:val="230"/>
        </w:trPr>
        <w:tc>
          <w:tcPr>
            <w:tcW w:w="11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14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73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380" w:type="dxa"/>
            <w:vAlign w:val="bottom"/>
            <w:gridSpan w:val="3"/>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4,158</w:t>
            </w:r>
          </w:p>
        </w:tc>
      </w:tr>
      <w:tr>
        <w:trPr>
          <w:trHeight w:val="229"/>
        </w:trPr>
        <w:tc>
          <w:tcPr>
            <w:tcW w:w="73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380" w:type="dxa"/>
            <w:vAlign w:val="bottom"/>
            <w:gridSpan w:val="3"/>
          </w:tcPr>
          <w:p>
            <w:pPr>
              <w:ind w:left="20"/>
              <w:spacing w:after="0"/>
              <w:rPr>
                <w:sz w:val="20"/>
                <w:szCs w:val="20"/>
                <w:color w:val="auto"/>
              </w:rPr>
            </w:pPr>
            <w:r>
              <w:rPr>
                <w:rFonts w:ascii="Arial" w:cs="Arial" w:eastAsia="Arial" w:hAnsi="Arial"/>
                <w:sz w:val="18"/>
                <w:szCs w:val="18"/>
                <w:color w:val="auto"/>
              </w:rPr>
              <w:t>Total right-of-use assets capitalized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5,506</w:t>
            </w:r>
          </w:p>
        </w:tc>
      </w:tr>
      <w:tr>
        <w:trPr>
          <w:trHeight w:val="566"/>
        </w:trPr>
        <w:tc>
          <w:tcPr>
            <w:tcW w:w="9580" w:type="dxa"/>
            <w:vAlign w:val="bottom"/>
            <w:gridSpan w:val="7"/>
          </w:tcPr>
          <w:p>
            <w:pPr>
              <w:ind w:left="580"/>
              <w:spacing w:after="0"/>
              <w:rPr>
                <w:sz w:val="20"/>
                <w:szCs w:val="20"/>
                <w:color w:val="auto"/>
              </w:rPr>
            </w:pPr>
            <w:r>
              <w:rPr>
                <w:rFonts w:ascii="Arial" w:cs="Arial" w:eastAsia="Arial" w:hAnsi="Arial"/>
                <w:sz w:val="18"/>
                <w:szCs w:val="18"/>
                <w:color w:val="auto"/>
                <w:w w:val="91"/>
              </w:rPr>
              <w:t>Supplemental cash flow and noncash information related to the Company’s operating leases was as follows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14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4.57</w:t>
            </w:r>
          </w:p>
        </w:tc>
      </w:tr>
      <w:tr>
        <w:trPr>
          <w:trHeight w:val="230"/>
        </w:trPr>
        <w:tc>
          <w:tcPr>
            <w:tcW w:w="7380" w:type="dxa"/>
            <w:vAlign w:val="bottom"/>
            <w:gridSpan w:val="3"/>
          </w:tcPr>
          <w:p>
            <w:pPr>
              <w:ind w:left="20"/>
              <w:spacing w:after="0"/>
              <w:rPr>
                <w:sz w:val="20"/>
                <w:szCs w:val="20"/>
                <w:color w:val="auto"/>
              </w:rPr>
            </w:pPr>
            <w:r>
              <w:rPr>
                <w:rFonts w:ascii="Arial" w:cs="Arial" w:eastAsia="Arial" w:hAnsi="Arial"/>
                <w:sz w:val="18"/>
                <w:szCs w:val="18"/>
                <w:color w:val="auto"/>
              </w:rPr>
              <w:t>Weighted average discount rate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90"/>
              </w:rPr>
              <w:t>5.12%</w:t>
            </w:r>
          </w:p>
        </w:tc>
      </w:tr>
      <w:tr>
        <w:trPr>
          <w:trHeight w:val="431"/>
        </w:trPr>
        <w:tc>
          <w:tcPr>
            <w:tcW w:w="1140" w:type="dxa"/>
            <w:vAlign w:val="bottom"/>
          </w:tcPr>
          <w:p>
            <w:pPr>
              <w:ind w:left="580"/>
              <w:spacing w:after="0"/>
              <w:rPr>
                <w:sz w:val="20"/>
                <w:szCs w:val="20"/>
                <w:color w:val="auto"/>
              </w:rPr>
            </w:pPr>
            <w:r>
              <w:rPr>
                <w:rFonts w:ascii="Arial" w:cs="Arial" w:eastAsia="Arial" w:hAnsi="Arial"/>
                <w:sz w:val="18"/>
                <w:szCs w:val="18"/>
                <w:b w:val="1"/>
                <w:bCs w:val="1"/>
                <w:color w:val="auto"/>
              </w:rPr>
              <w:t>12.</w:t>
            </w:r>
          </w:p>
        </w:tc>
        <w:tc>
          <w:tcPr>
            <w:tcW w:w="6240" w:type="dxa"/>
            <w:vAlign w:val="bottom"/>
            <w:gridSpan w:val="2"/>
          </w:tcPr>
          <w:p>
            <w:pPr>
              <w:jc w:val="right"/>
              <w:ind w:right="3450"/>
              <w:spacing w:after="0"/>
              <w:rPr>
                <w:sz w:val="20"/>
                <w:szCs w:val="20"/>
                <w:color w:val="auto"/>
              </w:rPr>
            </w:pPr>
            <w:r>
              <w:rPr>
                <w:rFonts w:ascii="Arial" w:cs="Arial" w:eastAsia="Arial" w:hAnsi="Arial"/>
                <w:sz w:val="18"/>
                <w:szCs w:val="18"/>
                <w:b w:val="1"/>
                <w:bCs w:val="1"/>
                <w:color w:val="auto"/>
                <w:w w:val="93"/>
              </w:rPr>
              <w:t>Commitments and Contingencies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Loan Purchase Obligation</w:t>
      </w:r>
    </w:p>
    <w:p>
      <w:pPr>
        <w:spacing w:after="0" w:line="225" w:lineRule="exact"/>
        <w:rPr>
          <w:sz w:val="20"/>
          <w:szCs w:val="20"/>
          <w:color w:val="auto"/>
        </w:rPr>
      </w:pPr>
    </w:p>
    <w:p>
      <w:pPr>
        <w:jc w:val="both"/>
        <w:ind w:firstLine="567"/>
        <w:spacing w:after="0" w:line="262" w:lineRule="auto"/>
        <w:rPr>
          <w:sz w:val="20"/>
          <w:szCs w:val="20"/>
          <w:color w:val="auto"/>
        </w:rPr>
      </w:pPr>
      <w:r>
        <w:rPr>
          <w:rFonts w:ascii="Arial" w:cs="Arial" w:eastAsia="Arial" w:hAnsi="Arial"/>
          <w:sz w:val="17"/>
          <w:szCs w:val="17"/>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unpaid principal balance, plus accrued interest, at the conclusion of the required holding period. As of December 31, 2020 and 2019, the total loan purchase commitment included outstanding principal balance of $39.3 million and $51.9 million, respectively.</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Repurchase and Indemnification Contingency</w:t>
      </w:r>
    </w:p>
    <w:p>
      <w:pPr>
        <w:spacing w:after="0" w:line="225"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Under the terms of the loan purchase and loan servicing agreements between the Company and institutional investors, as well as in agreements with investors in securitizations where the Company is not the sponsor,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maximum potential amount of future payments associated under this obligation is the outstanding balances of the loans sold to the investors, which at December 31, 2020 and 2019, is $5,180.7 million and $3,498.1 million, respectively. The Company recognizes a liability for the repurchase obligation based on historical experience when the loans are issued. The liability is subsequently remeasured when a related loss is probable and can be reasonably estimated. Actual payments made relating to the Company’s repurchase and indemnification obligations were immaterial historically. The Company has recorded contingent liabilities as of December 31, 2020 and 2019 of immaterial amounts to cover estimated future obligations related to these contractual terms. These amounts are included in accrued expenses and other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229"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Legal</w:t>
      </w:r>
    </w:p>
    <w:p>
      <w:pPr>
        <w:spacing w:after="0" w:line="225" w:lineRule="exact"/>
        <w:rPr>
          <w:sz w:val="20"/>
          <w:szCs w:val="20"/>
          <w:color w:val="auto"/>
        </w:rPr>
      </w:pPr>
    </w:p>
    <w:p>
      <w:pPr>
        <w:jc w:val="both"/>
        <w:ind w:firstLine="567"/>
        <w:spacing w:after="0" w:line="284" w:lineRule="auto"/>
        <w:rPr>
          <w:sz w:val="20"/>
          <w:szCs w:val="20"/>
          <w:color w:val="auto"/>
        </w:rPr>
      </w:pPr>
      <w:r>
        <w:rPr>
          <w:rFonts w:ascii="Arial" w:cs="Arial" w:eastAsia="Arial" w:hAnsi="Arial"/>
          <w:sz w:val="16"/>
          <w:szCs w:val="16"/>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2020 and 2019, no loss contingency has been recorded in connection with legal proceedings arising in the ordinary course of business.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consolidated financial statements.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w:t>
      </w:r>
    </w:p>
    <w:p>
      <w:pPr>
        <w:spacing w:after="0" w:line="170" w:lineRule="exact"/>
        <w:rPr>
          <w:sz w:val="20"/>
          <w:szCs w:val="20"/>
          <w:color w:val="auto"/>
        </w:rPr>
      </w:pPr>
    </w:p>
    <w:p>
      <w:pPr>
        <w:ind w:left="1300" w:hanging="725"/>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Income (loss) before income taxes consisted entirely of income from domestic operations of $6.1 million, $(4.9) million and $(11.2) million for the calendar years ended December 31, 2020, 2019 and 2018, respectively. Income tax expense (benefit) included in the statements of income and comprehensive income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tax expense</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Federal</w:t>
            </w: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w:t>
            </w:r>
          </w:p>
        </w:tc>
        <w:tc>
          <w:tcPr>
            <w:tcW w:w="10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Income tax expense differed from the amount computed by applying the federal statutory income tax rate of 21% to pretax income (loss) as a result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229"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 on warrants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PPP loan forgiveness (CARES Act)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Tax return to tax provision adjustment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The tax effects of temporary differences that gave rise to significant portions of the Company’s deferred tax assets and liabilities related to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14,716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17,180</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Investment in partnerships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reserves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Servicing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 net of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 – residual certificates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Management believes that, based on available evidence, both positive and negative, it is more likely than not that the deferred tax assets will not be utilized, and as such the Company maintains a full valuation allowance at December 31, 2020. The valuation allowance increased by $0.5 million for the year ended December 31, 2020 primarily as a result of current year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229"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7"/>
          <w:szCs w:val="17"/>
          <w:color w:val="auto"/>
        </w:rPr>
        <w:t>As of December 31, 2020, the Company had approximately $50.2 million and $49.2 million of federal and state (post-apportioned) net operating losses (NOL), respectively, that will begin to expire in 2035 and 2034, respectively. The Company also has federal and California research and development tax credits of approximately $3.8 million and $0.9 million, respectively. The federal research credits will begin to expire in 2032 and the California research credits have no expiration date. The Internal Revenue Code (“IRC”) limits the amount of NOL carryforwards that a company may use in a given year in the event of certain cumulative changes in ownership over a three-year period as described in IRC Section 382. Utilization of NOL carryforwards and credits may be subject to a substantial annual limitation due to the ownership change limitations provided by the IRC, as amended, and similar state provisions. The annual limitation may result in the expiration of NOL and credits before utilization. The Company performed an ownership analysis and identified two previous ownership changes in 2013 and 2015, as defined under IRC Section 382 and 383, however neither resulted in a material limitation that will reduce the total amount of NOL carryforwards and credits that can be utilized.</w:t>
      </w:r>
    </w:p>
    <w:p>
      <w:pPr>
        <w:spacing w:after="0" w:line="211" w:lineRule="exact"/>
        <w:rPr>
          <w:sz w:val="20"/>
          <w:szCs w:val="20"/>
          <w:color w:val="auto"/>
        </w:rPr>
      </w:pPr>
    </w:p>
    <w:p>
      <w:pPr>
        <w:jc w:val="both"/>
        <w:ind w:firstLine="551"/>
        <w:spacing w:after="0" w:line="238" w:lineRule="auto"/>
        <w:rPr>
          <w:sz w:val="20"/>
          <w:szCs w:val="20"/>
          <w:color w:val="auto"/>
        </w:rPr>
      </w:pPr>
      <w:r>
        <w:rPr>
          <w:rFonts w:ascii="Arial" w:cs="Arial" w:eastAsia="Arial" w:hAnsi="Arial"/>
          <w:sz w:val="18"/>
          <w:szCs w:val="18"/>
          <w:color w:val="auto"/>
        </w:rPr>
        <w:t>The Coronavirus Aid, Relief, and Economic Stimulus Act (CARES Act), was passed on March 27, 2020, and included several income tax policy changes designed to counteract the effect of the COVID-19 pandemic and its economic impact. These include making qualified investment property eligible for accelerated bonus depreciation, as a correction to the 2017 tax reform; accelerating the ability for companies to receive refunds of alternative minimum tax credit in tax years beginning in 2019; increasing the adjusted taxable income limitation for IRC Sec 163(j) interest expense limitation calculation from 30% to 50% for tax years 2019 and 2020; allowing NOL from tax years 2018, 2019, 2020 to be carried back for 5 years, as well as temporarily removing the 80% limitation on the NOL offset; and increasing charitable contribution deductions for corporations from 10% to 25% for tax year 2020. The CARES Act also includes non-income based tax provisions such as the paycheck protection program (PPP), employee retention credits, and deferral of employer payroll taxes. The Company has incorporated its PPP loan and accelerated bonus depreciation for its qualified investment properties in its 2020 tax provision.</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California Assembly Bill 85 (A.B. 85) was enacted on June 29, 2020 and includes provisions to suspend the use of NOL from tax years 2020 to 2022 for taxpayers with taxable income of $1 million or more. Additionally, A.B. 85 limits the use of business incentive tax credits for tax years 2020 to 2022 to $5M annually. In 2020, the Company has more than $1 million of California taxable income. However, the Company has sufficient research credits to offset its 2020 California tax liabilities as it was less than $5 million.</w:t>
      </w:r>
    </w:p>
    <w:p>
      <w:pPr>
        <w:spacing w:after="0" w:line="200" w:lineRule="exact"/>
        <w:rPr>
          <w:sz w:val="20"/>
          <w:szCs w:val="20"/>
          <w:color w:val="auto"/>
        </w:rPr>
      </w:pP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balances of gross unrecognized tax benefits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positions related to the current year</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7"/>
          <w:szCs w:val="17"/>
          <w:color w:val="auto"/>
        </w:rPr>
        <w:t>If recognized, substantially all of the balance would favorably affect the Company’s effective income tax rate in future periods. As of December 31, 2020 the Company had $1.8 million in unrecognized income tax benefits and there were increases of $0.8 million to the Company’s unrecognized tax benefits during the year. The Company does not anticipate any significant increases or decreases to unrecognized tax benefit during the next twelve months. The Company’s policy is to classify interest and penalties associated with unrecognized tax benefits as income tax expense. The Company had no interest or penalty accruals associated with uncertain tax benefits in its consolidated balance sheets and consolidated statement of operations and comprehensive income (loss) for the tax year ended December 31, 2020.</w:t>
      </w:r>
    </w:p>
    <w:p>
      <w:pPr>
        <w:spacing w:after="0" w:line="202" w:lineRule="exact"/>
        <w:rPr>
          <w:sz w:val="20"/>
          <w:szCs w:val="20"/>
          <w:color w:val="auto"/>
        </w:rPr>
      </w:pPr>
    </w:p>
    <w:p>
      <w:pPr>
        <w:jc w:val="both"/>
        <w:ind w:firstLine="551"/>
        <w:spacing w:after="0" w:line="261"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and has identified its federal, California, Pennsylvania, New York, Illinois and New Jersey tax returns as significant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229"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filings. The Company is not currently under examination by income tax authorities in federal or state jurisdictions. However, because the Company has net operating losses and credits carried forward in several jurisdictions, including the United States federal, California, Pennsylvania, New York and Illinois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00" w:hanging="725"/>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Since the Company’s inception, it has engaged in various transactions with its executive officers and directors, holders of more than 10% of its voting securities, and their affiliates.</w:t>
      </w:r>
    </w:p>
    <w:p>
      <w:pPr>
        <w:spacing w:after="0" w:line="198"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The related party investor and its affiliates also participated in securitization transactions sponsored and serviced by the Company in the years ended December 31, 2020, 2019, and, 2018 by contributing loans and purchasing securitization notes or residual certificates. As of December 31, 2020 and 2019, the balance of payable to securitization note holders and residual certificate holders due to the related party investors and its affiliates was $0 million and $41.3 million,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hanging="725"/>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Upstart Holdings, Inc. Common Stockholders</w:t>
      </w:r>
    </w:p>
    <w:p>
      <w:pPr>
        <w:spacing w:after="0" w:line="229" w:lineRule="exact"/>
        <w:rPr>
          <w:sz w:val="20"/>
          <w:szCs w:val="20"/>
          <w:color w:val="auto"/>
        </w:rPr>
      </w:pPr>
    </w:p>
    <w:p>
      <w:pPr>
        <w:jc w:val="both"/>
        <w:ind w:firstLine="891"/>
        <w:spacing w:after="0" w:line="294" w:lineRule="auto"/>
        <w:rPr>
          <w:sz w:val="20"/>
          <w:szCs w:val="20"/>
          <w:color w:val="auto"/>
        </w:rPr>
      </w:pPr>
      <w:r>
        <w:rPr>
          <w:rFonts w:ascii="Arial" w:cs="Arial" w:eastAsia="Arial" w:hAnsi="Arial"/>
          <w:sz w:val="16"/>
          <w:szCs w:val="16"/>
          <w:color w:val="auto"/>
        </w:rPr>
        <w:t>Basic net income (loss) per common share attributable to Upstart Holdings, Inc.’s common stockholders is based on the weighted-average common shares outstanding during the relevant period. Diluted net income (loss) per common share attributable to Upstart Holdings, Inc.’s common stockholders is based on the weighted-average common shares outstanding during the relevant period adjusted for the dilutive effect of share-based awards.</w:t>
      </w:r>
    </w:p>
    <w:p>
      <w:pPr>
        <w:spacing w:after="0" w:line="147" w:lineRule="exact"/>
        <w:rPr>
          <w:sz w:val="20"/>
          <w:szCs w:val="20"/>
          <w:color w:val="auto"/>
        </w:rPr>
      </w:pPr>
    </w:p>
    <w:p>
      <w:pPr>
        <w:jc w:val="both"/>
        <w:ind w:firstLine="891"/>
        <w:spacing w:after="0" w:line="291" w:lineRule="auto"/>
        <w:rPr>
          <w:sz w:val="20"/>
          <w:szCs w:val="20"/>
          <w:color w:val="auto"/>
        </w:rPr>
      </w:pPr>
      <w:r>
        <w:rPr>
          <w:rFonts w:ascii="Arial" w:cs="Arial" w:eastAsia="Arial" w:hAnsi="Arial"/>
          <w:sz w:val="17"/>
          <w:szCs w:val="17"/>
          <w:color w:val="auto"/>
        </w:rPr>
        <w:t>For periods in which the Company reports net losses, basic and diluted net loss per share attributable to Upstart Holdings, Inc.’s common stockholders are the same because potentially dilutive common shares are not assumed to have been issued if their effect is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 (in thousands):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Upstart Holdings, Inc. common stockholders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Less: noncumulative dividends to preferred stockholders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basic and diluted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Weighted-average common shares outstanding used to calculate net income (loss) per</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17,513,670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14,335,611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14,128,183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share attributable to Upstart Holdings, Inc. common stockholders, basic and diluted</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per share attributable to Upstart Holdings, Inc. common</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basic and diluted</w:t>
            </w:r>
          </w:p>
        </w:tc>
        <w:tc>
          <w:tcPr>
            <w:tcW w:w="34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551"/>
        <w:spacing w:after="0" w:line="261" w:lineRule="auto"/>
        <w:rPr>
          <w:sz w:val="20"/>
          <w:szCs w:val="20"/>
          <w:color w:val="auto"/>
        </w:rPr>
      </w:pPr>
      <w:r>
        <w:rPr>
          <w:rFonts w:ascii="Arial" w:cs="Arial" w:eastAsia="Arial" w:hAnsi="Arial"/>
          <w:sz w:val="18"/>
          <w:szCs w:val="18"/>
          <w:color w:val="auto"/>
        </w:rPr>
        <w:t>The following securities were excluded from the computation of diluted net income (loss) per share attributable to Upstart Holdings, Inc. common stockholders for the periods presented, because including them would have been anti-dilutive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229"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680" w:type="dxa"/>
            <w:vAlign w:val="bottom"/>
            <w:tcBorders>
              <w:bottom w:val="single" w:sz="8" w:color="auto"/>
            </w:tcBorders>
            <w:gridSpan w:val="5"/>
          </w:tcPr>
          <w:p>
            <w:pPr>
              <w:ind w:left="144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47,349,577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46,882,877</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16,502,206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12,293,165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convertible preferred stock</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1,500,519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Warrants to purchase common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1,617,553</w:t>
            </w: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19,675,223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64,771,660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62,294,114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The Company has evaluated the impact of events that have occurred subsequent to December 31, 2020, through March 18, 2021, the date which the consolidated financial statements were available to be issued. Based on the evaluation, the Company has determined no subsequent events were required to be recognized or disclosed except the matter below.</w:t>
      </w:r>
    </w:p>
    <w:p>
      <w:pPr>
        <w:spacing w:after="0" w:line="182"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In January 2021, the Company repurchased $11.2 million of loans previously sold to an institutional investor for inclusion into a structured pass-through certificate program. Upstart determined in January 2021 to repurchase these loans to adhere to the hypothetical pool characteristics outlined in the preliminary offering memorandum. The Company did not recognize any gain or loss on the repurchase and classified the repurchased loans as held-for-sale.</w:t>
      </w:r>
    </w:p>
    <w:p>
      <w:pPr>
        <w:spacing w:after="0" w:line="188"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On March 15, 2021, the Company entered into a definitive agreement to acquire Prodigy Software, Inc., a provider of cloud-based automotive retail software. The aggregate consideration to be paid by us is estimated to be $100 million, subject to customary purchase price adjustments, payable in a combination of cash and shares of our common stock. The transaction is subject to customary closing conditions, and is expected to close in the second quarter of 2021.</w:t>
      </w:r>
    </w:p>
    <w:p>
      <w:pPr>
        <w:spacing w:after="0" w:line="188"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In March 2021, the Company’s Board of Directors approved the Company’s intent to voluntarily repay proceeds received under the Paycheck Protection Program in the second quarter of 2021. There has been no change in the Company’s assessment that forgiveness of the loan under the CARES Act is reasonably assured. Upon repayment, the Company’s other income will be reduced by the repayment amount of approximately $5.3 million.</w:t>
      </w:r>
    </w:p>
    <w:p>
      <w:pPr>
        <w:spacing w:after="0" w:line="143"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b w:val="1"/>
          <w:bCs w:val="1"/>
          <w:color w:val="auto"/>
        </w:rPr>
        <w:t>I thi17.</w:t>
      </w:r>
      <w:r>
        <w:rPr>
          <w:sz w:val="20"/>
          <w:szCs w:val="20"/>
          <w:color w:val="auto"/>
        </w:rPr>
        <w:tab/>
      </w:r>
      <w:r>
        <w:rPr>
          <w:rFonts w:ascii="Arial" w:cs="Arial" w:eastAsia="Arial" w:hAnsi="Arial"/>
          <w:sz w:val="16"/>
          <w:szCs w:val="16"/>
          <w:b w:val="1"/>
          <w:bCs w:val="1"/>
          <w:color w:val="auto"/>
        </w:rPr>
        <w:t>Quarterly Results of Operations (Unaudited)</w:t>
      </w:r>
    </w:p>
    <w:p>
      <w:pPr>
        <w:spacing w:after="0" w:line="229"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following table sets forth our unaudited Consolidated Statements of Operations and Comprehensive Income (Loss) for each of the eight quarters ended December 31, 2020. The quarterly results of operations should be read in conjunction with the consolidated financial statements and the related notes included in this Form 10-K.</w:t>
      </w:r>
    </w:p>
    <w:p>
      <w:pPr>
        <w:spacing w:after="0" w:line="184"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The unaudited quarterly results of operations below have been prepared on the same basis as our audited consolidated financial statements in this Form 10-K and, in the opinion of management, reflect all adjustments that are normal and recurring nature which are necessary for the fair presentation of the unaudited quarterly results of operations. Our historical results are not necessarily indicative of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229" w:right="339" w:bottom="1440" w:gutter="0" w:footer="0" w:header="0"/>
        </w:sectPr>
      </w:pPr>
    </w:p>
    <w:bookmarkStart w:id="161" w:name="page162"/>
    <w:bookmarkEnd w:id="16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 31, 2020</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Sep. 30, 2020</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 30, 2020</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Mar. 31, 2020</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00" w:type="dxa"/>
            <w:vAlign w:val="bottom"/>
            <w:gridSpan w:val="10"/>
          </w:tcPr>
          <w:p>
            <w:pPr>
              <w:jc w:val="right"/>
              <w:ind w:right="1130"/>
              <w:spacing w:after="0"/>
              <w:rPr>
                <w:sz w:val="20"/>
                <w:szCs w:val="20"/>
                <w:color w:val="auto"/>
              </w:rPr>
            </w:pPr>
            <w:r>
              <w:rPr>
                <w:rFonts w:ascii="Arial" w:cs="Arial" w:eastAsia="Arial" w:hAnsi="Arial"/>
                <w:sz w:val="18"/>
                <w:szCs w:val="18"/>
                <w:b w:val="1"/>
                <w:bCs w:val="1"/>
                <w:color w:val="auto"/>
              </w:rPr>
              <w:t>(in thousands, except share and per share data)</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Revenue from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84,421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62,861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13,305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68,013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(loss) and fair value adjustments,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63,994</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35,952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operations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Engineering and product development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administrative, and 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Income (expense) on warrants and other non-operating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 before income taxes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56"/>
        </w:trPr>
        <w:tc>
          <w:tcPr>
            <w:tcW w:w="5180" w:type="dxa"/>
            <w:vAlign w:val="bottom"/>
          </w:tcPr>
          <w:p>
            <w:pPr>
              <w:ind w:left="20"/>
              <w:spacing w:after="0" w:line="156" w:lineRule="exact"/>
              <w:rPr>
                <w:sz w:val="20"/>
                <w:szCs w:val="20"/>
                <w:color w:val="auto"/>
              </w:rPr>
            </w:pPr>
            <w:r>
              <w:rPr>
                <w:rFonts w:ascii="Arial" w:cs="Arial" w:eastAsia="Arial" w:hAnsi="Arial"/>
                <w:sz w:val="18"/>
                <w:szCs w:val="18"/>
                <w:color w:val="auto"/>
              </w:rPr>
              <w:t>Net income (loss) attributable to Upstart Holdings, Inc. common</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per common share attributable to Upstart Holdings,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 stockholders, basic</w:t>
            </w:r>
          </w:p>
        </w:tc>
        <w:tc>
          <w:tcPr>
            <w:tcW w:w="16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3"/>
              </w:rPr>
              <w:t>Net income (loss) per common share attributable to Upstart Holdings,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 stockholders, diluted</w:t>
            </w:r>
          </w:p>
        </w:tc>
        <w:tc>
          <w:tcPr>
            <w:tcW w:w="16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Weighted-average number of shares outstanding used in computing net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income (loss )per share attributable to Upstart Holdings, Inc. common</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26,001,856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14,707,717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14,657,399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14,625,267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basic</w:t>
            </w: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89"/>
              </w:rPr>
              <w:t>Weighted-average number of shares outstanding used in computing net</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2"/>
              </w:rPr>
              <w:t>income (loss) per share attributable to Upstart Holdings, Inc. common</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26,001,856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26,745,480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14,657,399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14,625,267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stockholders, diluted</w:t>
            </w: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 31, 2019</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Sep. 30, 2019</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 30, 2019</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Mar 31, 2019</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00" w:type="dxa"/>
            <w:vAlign w:val="bottom"/>
            <w:gridSpan w:val="10"/>
          </w:tcPr>
          <w:p>
            <w:pPr>
              <w:jc w:val="right"/>
              <w:ind w:right="1130"/>
              <w:spacing w:after="0"/>
              <w:rPr>
                <w:sz w:val="20"/>
                <w:szCs w:val="20"/>
                <w:color w:val="auto"/>
              </w:rPr>
            </w:pPr>
            <w:r>
              <w:rPr>
                <w:rFonts w:ascii="Arial" w:cs="Arial" w:eastAsia="Arial" w:hAnsi="Arial"/>
                <w:sz w:val="18"/>
                <w:szCs w:val="18"/>
                <w:b w:val="1"/>
                <w:bCs w:val="1"/>
                <w:color w:val="auto"/>
              </w:rPr>
              <w:t>(in thousands, except share and per share data)</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Revenue from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61,148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47,899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28,558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(loss) and fair value adjustments,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19,611</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operations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Engineering and product development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administrative, and 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28,065</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Income (expense) on warrants and other non-operating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 before income taxes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156"/>
        </w:trPr>
        <w:tc>
          <w:tcPr>
            <w:tcW w:w="5180" w:type="dxa"/>
            <w:vAlign w:val="bottom"/>
          </w:tcPr>
          <w:p>
            <w:pPr>
              <w:ind w:left="20"/>
              <w:spacing w:after="0" w:line="156" w:lineRule="exact"/>
              <w:rPr>
                <w:sz w:val="20"/>
                <w:szCs w:val="20"/>
                <w:color w:val="auto"/>
              </w:rPr>
            </w:pPr>
            <w:r>
              <w:rPr>
                <w:rFonts w:ascii="Arial" w:cs="Arial" w:eastAsia="Arial" w:hAnsi="Arial"/>
                <w:sz w:val="18"/>
                <w:szCs w:val="18"/>
                <w:color w:val="auto"/>
              </w:rPr>
              <w:t>Net income (loss) attributable to Upstart Holdings, Inc. common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per common share attributable to Upstart Holdings,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 stockholders, basic</w:t>
            </w: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3"/>
              </w:rPr>
              <w:t>Net income (loss) per common share attributable to Upstart Holdings,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 stockholders, diluted</w:t>
            </w:r>
          </w:p>
        </w:tc>
        <w:tc>
          <w:tcPr>
            <w:tcW w:w="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Weighted-average number of shares outstanding used in computing net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income (loss )per share attributable to Upstart Holdings, Inc. common</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14,401,927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14,325,618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14,312,263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14,301,641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basic</w:t>
            </w: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89"/>
              </w:rPr>
              <w:t>Weighted-average number of shares outstanding used in computing net</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2"/>
              </w:rPr>
              <w:t>income (loss) per share attributable to Upstart Holdings, Inc. common</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24,978,484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14,325,618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14,312,263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14,301,641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stockholders, diluted</w:t>
            </w: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management, with the participation and supervision of the Company’s Chief Executive Officer and Chief Financial Officer, have evaluated the effectiveness of the Company’s disclosure controls and procedures as defined in Rules 13a-15(e) and 15d-15(e) under the Securities Exchange Act of 1934, as amended (the “Exchange Act”),. Based on that evaluation, the Company’s Chief Executive Officer and Chief Financial Officer have concluded that, as of December 31, 2020, the Company’s disclosure controls and procedures were designed and function effectively to provide reasonable assurance that information required to be disclosed by the Company in reports filed or submitted under the Exchange Act is recorded, processed, summarized, and reported within the time periods specified in SEC rules and forms, and that such information is accumulated and communicated to our management, including the Company’s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December 31, 2020 that has materially affected, or is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5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Form 10-K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Controls and Procedures</w:t>
      </w:r>
    </w:p>
    <w:p>
      <w:pPr>
        <w:spacing w:after="0" w:line="2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5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March 15, 2021, Upstart Holdings, Inc., a Delaware corporation (“Parent”), AMG Acquisition Corp., a Delaware Corporation and wholly-owned subsidiary of Parent (“Merger Sub I”), AMG Acquisition Sub, LLC, a Delaware limited liability company and wholly-owned subsidiary of Parent (“Merger Sub II”), Prodigy Software, Inc., a Delaware corporation (the “Company”), and Shareholder Representative Services LLC (as the representative of the security holders of the Company) entered into an Agreement and Plan of Reorganization (the “Merger Agreement”). Under the terms of the Merger Agreement, and subject to satisfaction of customary closing conditions, Parent will acquire the Company for aggregate consideration of $100 million, subject to customary purchase price adjustments (the “Merger Consideration”) and escrow provisions. 85% of the Merger consideration will be payable in shares of Parent common stock (the “Stock Merger Consideration”) and 15% of the Merger Consideration will be payable in cash. The Stock Merger Consideration will be issued at the closing of the transactions contemplated by the Merger Agreement (the “Closing”), and each such share shall be valued at the daily volume weighted average price per share rounded to four decimal places (with amounts 0.00005 and above rounded up) of Parent common stock on the Nasdaq Global Select Stock Market for the the shorter of (a) the thirty five (35) consecutive trading days ending with the complete trading day ending two (2) trading days prior to the date of the Closing and (b) the number of consecutive trading days beginning on the first trading day after March 15, 2021 and ending with the complete trading day ending two (2) trading days prior to the date of the Closing, as reported by Bloomberg Finance. A portion of the Stock Merger Consideration will be subject to a repurchase right in favor of Parent, which will lapse following the Closing subject to the satisfaction of customary service-based conditions by the applicable recipient. The issuance of the Stock Merger Consideration was made in reliance on the exemptions or exclusions from the registration requirements of the Securities Act of 1933, as amended (the “Securities Act”) contained in Regulation D promulgated thereunder by virtue of Section 4(a(2) of the Securities Act.</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 Code of Ethics that incorporates our code of ethics applicable to all employees, including all directors and executive officers. Our Code of Ethics is published on our Investor Relations website at ir.upstart.com under “Governance.” We intend to satisfy the disclosure requirement under Item 5.05 of Form 8-K regarding amendments to, or waiver from, a provision of the Company’s Code of Ethics by posting such information on the website address and location specified above.</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2021 Annual Meeting of Stockholders, which will be filed with the SEC no later than 120 days after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remaining information required by this item will be set forth in our Proxy Statement and is incorporated herein by reference. The Proxy Statement will be filed with the SEC no later than 120 days after December 31, 2020.</w:t>
      </w:r>
    </w:p>
    <w:p>
      <w:pPr>
        <w:spacing w:after="0" w:line="162" w:lineRule="exact"/>
        <w:rPr>
          <w:sz w:val="20"/>
          <w:szCs w:val="20"/>
          <w:color w:val="auto"/>
        </w:rPr>
      </w:pPr>
    </w:p>
    <w:p>
      <w:pPr>
        <w:ind w:right="108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no later than 120 days after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no later than 120 days after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no later than 120 days after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filed the following documents as part of this Form 10-K:</w:t>
      </w:r>
    </w:p>
    <w:p>
      <w:pPr>
        <w:spacing w:after="0" w:line="244" w:lineRule="exact"/>
        <w:rPr>
          <w:sz w:val="20"/>
          <w:szCs w:val="20"/>
          <w:color w:val="auto"/>
        </w:rPr>
      </w:pPr>
    </w:p>
    <w:p>
      <w:pPr>
        <w:ind w:left="200" w:hanging="192"/>
        <w:spacing w:after="0"/>
        <w:tabs>
          <w:tab w:leader="none" w:pos="20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Financial Statements</w:t>
      </w:r>
    </w:p>
    <w:p>
      <w:pPr>
        <w:spacing w:after="0" w:line="242" w:lineRule="exact"/>
        <w:rPr>
          <w:rFonts w:ascii="Arial" w:cs="Arial" w:eastAsia="Arial" w:hAnsi="Arial"/>
          <w:sz w:val="20"/>
          <w:szCs w:val="20"/>
          <w:b w:val="1"/>
          <w:bCs w:val="1"/>
          <w:color w:val="auto"/>
        </w:rPr>
      </w:pPr>
    </w:p>
    <w:p>
      <w:pPr>
        <w:ind w:left="200" w:hanging="192"/>
        <w:spacing w:after="0"/>
        <w:tabs>
          <w:tab w:leader="none" w:pos="20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w:t>
      </w:r>
    </w:p>
    <w:p>
      <w:pPr>
        <w:spacing w:after="0" w:line="24" w:lineRule="exact"/>
        <w:rPr>
          <w:sz w:val="20"/>
          <w:szCs w:val="20"/>
          <w:color w:val="auto"/>
        </w:rPr>
      </w:pPr>
    </w:p>
    <w:p>
      <w:pPr>
        <w:ind w:right="620" w:firstLine="648"/>
        <w:spacing w:after="0" w:line="280" w:lineRule="auto"/>
        <w:rPr>
          <w:sz w:val="20"/>
          <w:szCs w:val="20"/>
          <w:color w:val="auto"/>
        </w:rPr>
      </w:pPr>
      <w:r>
        <w:rPr>
          <w:rFonts w:ascii="Arial" w:cs="Arial" w:eastAsia="Arial" w:hAnsi="Arial"/>
          <w:sz w:val="17"/>
          <w:szCs w:val="17"/>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tbl>
      <w:tblPr>
        <w:tblLayout w:type="fixed"/>
        <w:tblInd w:w="2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190"/>
        </w:trPr>
        <w:tc>
          <w:tcPr>
            <w:tcW w:w="8740" w:type="dxa"/>
            <w:vAlign w:val="bottom"/>
            <w:gridSpan w:val="7"/>
          </w:tcPr>
          <w:p>
            <w:pPr>
              <w:spacing w:after="0" w:line="190" w:lineRule="exact"/>
              <w:rPr>
                <w:rFonts w:ascii="Arial" w:cs="Arial" w:eastAsia="Arial" w:hAnsi="Arial"/>
                <w:sz w:val="18"/>
                <w:szCs w:val="18"/>
                <w:color w:val="0000FF"/>
              </w:rPr>
            </w:pPr>
            <w:hyperlink w:anchor="page108">
              <w:r>
                <w:rPr>
                  <w:rFonts w:ascii="Arial" w:cs="Arial" w:eastAsia="Arial" w:hAnsi="Arial"/>
                  <w:sz w:val="18"/>
                  <w:szCs w:val="18"/>
                  <w:color w:val="0000FF"/>
                </w:rPr>
                <w:t>Report of Independent Registered Public Accounting Firm</w:t>
              </w:r>
            </w:hyperlink>
          </w:p>
        </w:tc>
        <w:tc>
          <w:tcPr>
            <w:tcW w:w="2460" w:type="dxa"/>
            <w:vAlign w:val="bottom"/>
          </w:tcPr>
          <w:p>
            <w:pPr>
              <w:jc w:val="right"/>
              <w:spacing w:after="0" w:line="190" w:lineRule="exact"/>
              <w:rPr>
                <w:sz w:val="20"/>
                <w:szCs w:val="20"/>
                <w:color w:val="auto"/>
              </w:rPr>
            </w:pPr>
            <w:r>
              <w:rPr>
                <w:rFonts w:ascii="Arial" w:cs="Arial" w:eastAsia="Arial" w:hAnsi="Arial"/>
                <w:sz w:val="18"/>
                <w:szCs w:val="18"/>
                <w:color w:val="auto"/>
              </w:rPr>
              <w:t>109</w:t>
            </w:r>
          </w:p>
        </w:tc>
      </w:tr>
      <w:tr>
        <w:trPr>
          <w:trHeight w:val="209"/>
        </w:trPr>
        <w:tc>
          <w:tcPr>
            <w:tcW w:w="210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109">
              <w:r>
                <w:rPr>
                  <w:rFonts w:ascii="Arial" w:cs="Arial" w:eastAsia="Arial" w:hAnsi="Arial"/>
                  <w:sz w:val="18"/>
                  <w:szCs w:val="18"/>
                  <w:color w:val="0000FF"/>
                  <w:w w:val="88"/>
                </w:rPr>
                <w:t>Consolidated Balance Sheets</w:t>
              </w:r>
            </w:hyperlink>
          </w:p>
        </w:tc>
        <w:tc>
          <w:tcPr>
            <w:tcW w:w="2120" w:type="dxa"/>
            <w:vAlign w:val="bottom"/>
            <w:tcBorders>
              <w:top w:val="single" w:sz="8" w:color="0000FF"/>
            </w:tcBorders>
            <w:gridSpan w:val="3"/>
          </w:tcPr>
          <w:p>
            <w:pPr>
              <w:spacing w:after="0"/>
              <w:rPr>
                <w:sz w:val="18"/>
                <w:szCs w:val="18"/>
                <w:color w:val="auto"/>
              </w:rPr>
            </w:pPr>
          </w:p>
        </w:tc>
        <w:tc>
          <w:tcPr>
            <w:tcW w:w="4520" w:type="dxa"/>
            <w:vAlign w:val="bottom"/>
            <w:gridSpan w:val="3"/>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0"/>
        </w:trPr>
        <w:tc>
          <w:tcPr>
            <w:tcW w:w="8740" w:type="dxa"/>
            <w:vAlign w:val="bottom"/>
            <w:gridSpan w:val="7"/>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Consolidated Statements of Operations and Comprehensive Income (Loss)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10"/>
        </w:trPr>
        <w:tc>
          <w:tcPr>
            <w:tcW w:w="6640" w:type="dxa"/>
            <w:vAlign w:val="bottom"/>
            <w:tcBorders>
              <w:bottom w:val="single" w:sz="8" w:color="0000FF"/>
            </w:tcBorders>
            <w:gridSpan w:val="6"/>
          </w:tcPr>
          <w:p>
            <w:pPr>
              <w:ind w:left="60"/>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Consolidated Statements of Convertible Preferred Stock and Stockholders’ Equity (Deficit)</w:t>
              </w:r>
            </w:hyperlink>
          </w:p>
        </w:tc>
        <w:tc>
          <w:tcPr>
            <w:tcW w:w="210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28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14">
              <w:r>
                <w:rPr>
                  <w:rFonts w:ascii="Arial" w:cs="Arial" w:eastAsia="Arial" w:hAnsi="Arial"/>
                  <w:sz w:val="18"/>
                  <w:szCs w:val="18"/>
                  <w:color w:val="0000FF"/>
                  <w:w w:val="89"/>
                </w:rPr>
                <w:t>Consolidated Statements of Cash Flows</w:t>
              </w:r>
            </w:hyperlink>
          </w:p>
        </w:tc>
        <w:tc>
          <w:tcPr>
            <w:tcW w:w="5860" w:type="dxa"/>
            <w:vAlign w:val="bottom"/>
            <w:gridSpan w:val="5"/>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9"/>
        </w:trPr>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Notes to Consolidated Financial Statements</w:t>
              </w:r>
            </w:hyperlink>
          </w:p>
        </w:tc>
        <w:tc>
          <w:tcPr>
            <w:tcW w:w="5580" w:type="dxa"/>
            <w:vAlign w:val="bottom"/>
            <w:gridSpan w:val="4"/>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Exhibits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212529"/>
        </w:rPr>
        <w:t>The exhibits listed below are filed as part of this Annual Report on Form 10-K or are incorporated herein by reference, in each case as indicated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40" w:type="dxa"/>
            <w:vAlign w:val="bottom"/>
            <w:gridSpan w:val="7"/>
          </w:tcPr>
          <w:p>
            <w:pPr>
              <w:ind w:left="100"/>
              <w:spacing w:after="0"/>
              <w:rPr>
                <w:sz w:val="20"/>
                <w:szCs w:val="20"/>
                <w:color w:val="auto"/>
              </w:rPr>
            </w:pPr>
            <w:r>
              <w:rPr>
                <w:rFonts w:ascii="Arial" w:cs="Arial" w:eastAsia="Arial" w:hAnsi="Arial"/>
                <w:sz w:val="18"/>
                <w:szCs w:val="18"/>
                <w:b w:val="1"/>
                <w:bCs w:val="1"/>
                <w:color w:val="212529"/>
              </w:rPr>
              <w:t>EXHIBIT INDEX</w:t>
            </w:r>
          </w:p>
        </w:tc>
        <w:tc>
          <w:tcPr>
            <w:tcW w:w="1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Incorporated by Reference</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40" w:type="dxa"/>
            <w:vAlign w:val="bottom"/>
            <w:gridSpan w:val="2"/>
          </w:tcPr>
          <w:p>
            <w:pPr>
              <w:ind w:left="240"/>
              <w:spacing w:after="0" w:line="162" w:lineRule="exact"/>
              <w:rPr>
                <w:sz w:val="20"/>
                <w:szCs w:val="20"/>
                <w:color w:val="auto"/>
              </w:rPr>
            </w:pPr>
            <w:r>
              <w:rPr>
                <w:rFonts w:ascii="Arial" w:cs="Arial" w:eastAsia="Arial" w:hAnsi="Arial"/>
                <w:sz w:val="18"/>
                <w:szCs w:val="18"/>
                <w:b w:val="1"/>
                <w:bCs w:val="1"/>
                <w:color w:val="auto"/>
              </w:rPr>
              <w:t>Exhibit</w:t>
            </w:r>
          </w:p>
        </w:tc>
        <w:tc>
          <w:tcPr>
            <w:tcW w:w="2860" w:type="dxa"/>
            <w:vAlign w:val="bottom"/>
            <w:vMerge w:val="restart"/>
          </w:tcPr>
          <w:p>
            <w:pPr>
              <w:ind w:left="980"/>
              <w:spacing w:after="0"/>
              <w:rPr>
                <w:sz w:val="20"/>
                <w:szCs w:val="20"/>
                <w:color w:val="auto"/>
              </w:rPr>
            </w:pPr>
            <w:r>
              <w:rPr>
                <w:rFonts w:ascii="Arial" w:cs="Arial" w:eastAsia="Arial" w:hAnsi="Arial"/>
                <w:sz w:val="18"/>
                <w:szCs w:val="18"/>
                <w:b w:val="1"/>
                <w:bCs w:val="1"/>
                <w:color w:val="auto"/>
              </w:rPr>
              <w:t>Description</w:t>
            </w:r>
          </w:p>
        </w:tc>
        <w:tc>
          <w:tcPr>
            <w:tcW w:w="80" w:type="dxa"/>
            <w:vAlign w:val="bottom"/>
            <w:vMerge w:val="restart"/>
          </w:tcPr>
          <w:p>
            <w:pPr>
              <w:spacing w:after="0"/>
              <w:rPr>
                <w:sz w:val="14"/>
                <w:szCs w:val="14"/>
                <w:color w:val="auto"/>
              </w:rPr>
            </w:pPr>
          </w:p>
        </w:tc>
        <w:tc>
          <w:tcPr>
            <w:tcW w:w="7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File No.</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00" w:type="dxa"/>
            <w:vAlign w:val="bottom"/>
            <w:vMerge w:val="restart"/>
          </w:tcPr>
          <w:p>
            <w:pPr>
              <w:spacing w:after="0"/>
              <w:rPr>
                <w:sz w:val="14"/>
                <w:szCs w:val="14"/>
                <w:color w:val="auto"/>
              </w:rPr>
            </w:pPr>
          </w:p>
        </w:tc>
        <w:tc>
          <w:tcPr>
            <w:tcW w:w="19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Filing Date</w:t>
            </w:r>
          </w:p>
        </w:tc>
        <w:tc>
          <w:tcPr>
            <w:tcW w:w="166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0"/>
        </w:trPr>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2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Amended and Restated Certificate of</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S-1/A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1"/>
              </w:rPr>
              <w:t>333-249860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9"/>
              </w:rPr>
              <w:t>December 4, 2020</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Incorporation of the registrant.</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40" w:type="dxa"/>
            <w:vAlign w:val="bottom"/>
          </w:tcPr>
          <w:p>
            <w:pPr>
              <w:jc w:val="right"/>
              <w:ind w:right="690"/>
              <w:spacing w:after="0" w:line="176" w:lineRule="exact"/>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5"/>
                <w:szCs w:val="15"/>
                <w:color w:val="auto"/>
              </w:rPr>
            </w:pPr>
          </w:p>
        </w:tc>
        <w:tc>
          <w:tcPr>
            <w:tcW w:w="29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Amended and Restated Bylaws of the</w:t>
            </w:r>
          </w:p>
        </w:tc>
        <w:tc>
          <w:tcPr>
            <w:tcW w:w="740" w:type="dxa"/>
            <w:vAlign w:val="bottom"/>
          </w:tcPr>
          <w:p>
            <w:pPr>
              <w:ind w:left="20"/>
              <w:spacing w:after="0" w:line="176" w:lineRule="exact"/>
              <w:rPr>
                <w:sz w:val="20"/>
                <w:szCs w:val="20"/>
                <w:color w:val="auto"/>
              </w:rPr>
            </w:pPr>
            <w:r>
              <w:rPr>
                <w:rFonts w:ascii="Arial" w:cs="Arial" w:eastAsia="Arial" w:hAnsi="Arial"/>
                <w:sz w:val="18"/>
                <w:szCs w:val="18"/>
                <w:color w:val="auto"/>
              </w:rPr>
              <w:t>S-1/A</w:t>
            </w:r>
          </w:p>
        </w:tc>
        <w:tc>
          <w:tcPr>
            <w:tcW w:w="1360" w:type="dxa"/>
            <w:vAlign w:val="bottom"/>
            <w:gridSpan w:val="3"/>
          </w:tcPr>
          <w:p>
            <w:pPr>
              <w:jc w:val="right"/>
              <w:ind w:right="170"/>
              <w:spacing w:after="0" w:line="176" w:lineRule="exact"/>
              <w:rPr>
                <w:sz w:val="20"/>
                <w:szCs w:val="20"/>
                <w:color w:val="auto"/>
              </w:rPr>
            </w:pPr>
            <w:r>
              <w:rPr>
                <w:rFonts w:ascii="Arial" w:cs="Arial" w:eastAsia="Arial" w:hAnsi="Arial"/>
                <w:sz w:val="18"/>
                <w:szCs w:val="18"/>
                <w:color w:val="auto"/>
              </w:rPr>
              <w:t>333-249860</w:t>
            </w:r>
          </w:p>
        </w:tc>
        <w:tc>
          <w:tcPr>
            <w:tcW w:w="13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920" w:type="dxa"/>
            <w:vAlign w:val="bottom"/>
          </w:tcPr>
          <w:p>
            <w:pPr>
              <w:ind w:left="580"/>
              <w:spacing w:after="0" w:line="176" w:lineRule="exact"/>
              <w:rPr>
                <w:sz w:val="20"/>
                <w:szCs w:val="20"/>
                <w:color w:val="auto"/>
              </w:rPr>
            </w:pPr>
            <w:r>
              <w:rPr>
                <w:rFonts w:ascii="Arial" w:cs="Arial" w:eastAsia="Arial" w:hAnsi="Arial"/>
                <w:sz w:val="18"/>
                <w:szCs w:val="18"/>
                <w:color w:val="auto"/>
                <w:w w:val="89"/>
              </w:rPr>
              <w:t>December 4, 2020</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 of common stock certificate of</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S-1/A</w:t>
            </w:r>
          </w:p>
        </w:tc>
        <w:tc>
          <w:tcPr>
            <w:tcW w:w="13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333-249860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9"/>
              </w:rPr>
              <w:t>December 4, 2020</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registrant.</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240"/>
          </w:cols>
          <w:pgMar w:left="320" w:top="1440" w:right="339" w:bottom="1440" w:gutter="0" w:footer="0" w:header="0"/>
        </w:sectPr>
      </w:pP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59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808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4" w:lineRule="exact"/>
        <w:rPr>
          <w:sz w:val="20"/>
          <w:szCs w:val="20"/>
          <w:color w:val="auto"/>
        </w:rPr>
      </w:pPr>
    </w:p>
    <w:p>
      <w:pPr>
        <w:ind w:right="220"/>
        <w:spacing w:after="0" w:line="278" w:lineRule="auto"/>
        <w:rPr>
          <w:rFonts w:ascii="Arial" w:cs="Arial" w:eastAsia="Arial" w:hAnsi="Arial"/>
          <w:sz w:val="16"/>
          <w:szCs w:val="16"/>
          <w:u w:val="single" w:color="auto"/>
          <w:color w:val="0000FF"/>
        </w:rPr>
      </w:pPr>
      <w:hyperlink r:id="rId24">
        <w:r>
          <w:rPr>
            <w:rFonts w:ascii="Arial" w:cs="Arial" w:eastAsia="Arial" w:hAnsi="Arial"/>
            <w:sz w:val="16"/>
            <w:szCs w:val="16"/>
            <w:u w:val="single" w:color="auto"/>
            <w:color w:val="0000FF"/>
          </w:rPr>
          <w:t>Amended and Restated Investors’</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Rights Agreement among the</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registrant and certain holders of its</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capital stock, amended as of</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December 31, 2018.</w:t>
        </w:r>
      </w:hyperlink>
    </w:p>
    <w:p>
      <w:pPr>
        <w:spacing w:after="0" w:line="1"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Description of Capital Stock.</w:t>
        </w:r>
      </w:hyperlink>
    </w:p>
    <w:p>
      <w:pPr>
        <w:spacing w:after="0" w:line="50" w:lineRule="exact"/>
        <w:rPr>
          <w:rFonts w:ascii="Arial" w:cs="Arial" w:eastAsia="Arial" w:hAnsi="Arial"/>
          <w:sz w:val="16"/>
          <w:szCs w:val="16"/>
          <w:u w:val="single" w:color="auto"/>
          <w:color w:val="0000FF"/>
        </w:rPr>
      </w:pPr>
    </w:p>
    <w:p>
      <w:pPr>
        <w:spacing w:after="0" w:line="261"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Form of warrant to purchase common</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stock.</w:t>
        </w:r>
      </w:hyperlink>
    </w:p>
    <w:p>
      <w:pPr>
        <w:spacing w:after="0" w:line="9"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Form of Indemnification Agreement between the registrant and each of its directors and executive officers.</w:t>
      </w:r>
    </w:p>
    <w:p>
      <w:pPr>
        <w:ind w:right="200"/>
        <w:spacing w:after="0" w:line="224" w:lineRule="auto"/>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Upstart Holdings, Inc. 2020 Equity</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Incentive Plan and related form</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agreements.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0"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9"/>
        </w:trPr>
        <w:tc>
          <w:tcPr>
            <w:tcW w:w="9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Form</w:t>
            </w:r>
          </w:p>
        </w:tc>
        <w:tc>
          <w:tcPr>
            <w:tcW w:w="1600" w:type="dxa"/>
            <w:vAlign w:val="bottom"/>
            <w:tcBorders>
              <w:top w:val="single" w:sz="8" w:color="auto"/>
            </w:tcBorders>
            <w:gridSpan w:val="2"/>
            <w:vMerge w:val="restart"/>
          </w:tcPr>
          <w:p>
            <w:pPr>
              <w:ind w:left="460"/>
              <w:spacing w:after="0"/>
              <w:rPr>
                <w:sz w:val="20"/>
                <w:szCs w:val="20"/>
                <w:color w:val="auto"/>
              </w:rPr>
            </w:pPr>
            <w:r>
              <w:rPr>
                <w:rFonts w:ascii="Arial" w:cs="Arial" w:eastAsia="Arial" w:hAnsi="Arial"/>
                <w:sz w:val="18"/>
                <w:szCs w:val="18"/>
                <w:b w:val="1"/>
                <w:bCs w:val="1"/>
                <w:color w:val="auto"/>
              </w:rPr>
              <w:t>File No.</w:t>
            </w:r>
          </w:p>
        </w:tc>
        <w:tc>
          <w:tcPr>
            <w:tcW w:w="10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192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Filing Date</w:t>
            </w:r>
          </w:p>
        </w:tc>
        <w:tc>
          <w:tcPr>
            <w:tcW w:w="16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0"/>
        </w:trPr>
        <w:tc>
          <w:tcPr>
            <w:tcW w:w="940" w:type="dxa"/>
            <w:vAlign w:val="bottom"/>
            <w:gridSpan w:val="2"/>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224"/>
        </w:trPr>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S-1</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1"/>
              </w:rPr>
              <w:t>333-249860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November 5, 2020</w:t>
            </w: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66"/>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w w:val="91"/>
              </w:rPr>
              <w:t>333-249860</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November 5, 2020</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w w:val="91"/>
              </w:rPr>
              <w:t>333-249860</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December 4, 2020</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w w:val="91"/>
              </w:rPr>
              <w:t>333-249860</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December 4, 2020</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-2585085</wp:posOffset>
            </wp:positionH>
            <wp:positionV relativeFrom="paragraph">
              <wp:posOffset>-1019175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-565150</wp:posOffset>
            </wp:positionV>
            <wp:extent cx="7132320"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350" w:lineRule="exact"/>
        <w:rPr>
          <w:rFonts w:ascii="Arial" w:cs="Arial" w:eastAsia="Arial" w:hAnsi="Arial"/>
          <w:sz w:val="18"/>
          <w:szCs w:val="18"/>
          <w:u w:val="single" w:color="auto"/>
          <w:color w:val="0000FF"/>
        </w:rPr>
      </w:pPr>
    </w:p>
    <w:p>
      <w:pPr>
        <w:sectPr>
          <w:pgSz w:w="11900" w:h="16838" w:orient="portrait"/>
          <w:cols w:equalWidth="0" w:num="3">
            <w:col w:w="840" w:space="320"/>
            <w:col w:w="2720" w:space="200"/>
            <w:col w:w="71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1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10.3+</w:t>
            </w:r>
          </w:p>
        </w:tc>
        <w:tc>
          <w:tcPr>
            <w:tcW w:w="2860" w:type="dxa"/>
            <w:vAlign w:val="bottom"/>
            <w:gridSpan w:val="17"/>
            <w:shd w:val="clear" w:color="auto" w:fill="CCEEFF"/>
          </w:tcPr>
          <w:p>
            <w:pPr>
              <w:spacing w:after="0" w:line="191" w:lineRule="exact"/>
              <w:rPr>
                <w:rFonts w:ascii="Arial" w:cs="Arial" w:eastAsia="Arial" w:hAnsi="Arial"/>
                <w:sz w:val="18"/>
                <w:szCs w:val="18"/>
                <w:color w:val="0000FF"/>
              </w:rPr>
            </w:pPr>
            <w:hyperlink r:id="rId29">
              <w:r>
                <w:rPr>
                  <w:rFonts w:ascii="Arial" w:cs="Arial" w:eastAsia="Arial" w:hAnsi="Arial"/>
                  <w:sz w:val="18"/>
                  <w:szCs w:val="18"/>
                  <w:color w:val="0000FF"/>
                </w:rPr>
                <w:t>Upstart Holdings, Inc. 2012 Stock</w:t>
              </w:r>
            </w:hyperlink>
          </w:p>
        </w:tc>
        <w:tc>
          <w:tcPr>
            <w:tcW w:w="780" w:type="dxa"/>
            <w:vAlign w:val="bottom"/>
            <w:shd w:val="clear" w:color="auto" w:fill="CCEEFF"/>
          </w:tcPr>
          <w:p>
            <w:pPr>
              <w:ind w:left="80"/>
              <w:spacing w:after="0" w:line="191" w:lineRule="exact"/>
              <w:rPr>
                <w:sz w:val="20"/>
                <w:szCs w:val="20"/>
                <w:color w:val="auto"/>
              </w:rPr>
            </w:pPr>
            <w:r>
              <w:rPr>
                <w:rFonts w:ascii="Arial" w:cs="Arial" w:eastAsia="Arial" w:hAnsi="Arial"/>
                <w:sz w:val="18"/>
                <w:szCs w:val="18"/>
                <w:color w:val="auto"/>
              </w:rPr>
              <w:t>S-1</w:t>
            </w:r>
          </w:p>
        </w:tc>
        <w:tc>
          <w:tcPr>
            <w:tcW w:w="1780" w:type="dxa"/>
            <w:vAlign w:val="bottom"/>
            <w:shd w:val="clear" w:color="auto" w:fill="CCEEFF"/>
          </w:tcPr>
          <w:p>
            <w:pPr>
              <w:jc w:val="right"/>
              <w:ind w:right="570"/>
              <w:spacing w:after="0" w:line="191" w:lineRule="exact"/>
              <w:rPr>
                <w:sz w:val="20"/>
                <w:szCs w:val="20"/>
                <w:color w:val="auto"/>
              </w:rPr>
            </w:pPr>
            <w:r>
              <w:rPr>
                <w:rFonts w:ascii="Arial" w:cs="Arial" w:eastAsia="Arial" w:hAnsi="Arial"/>
                <w:sz w:val="18"/>
                <w:szCs w:val="18"/>
                <w:color w:val="auto"/>
              </w:rPr>
              <w:t>333-249860</w:t>
            </w:r>
          </w:p>
        </w:tc>
        <w:tc>
          <w:tcPr>
            <w:tcW w:w="1300" w:type="dxa"/>
            <w:vAlign w:val="bottom"/>
            <w:shd w:val="clear" w:color="auto" w:fill="CCEEFF"/>
          </w:tcPr>
          <w:p>
            <w:pPr>
              <w:jc w:val="right"/>
              <w:ind w:right="230"/>
              <w:spacing w:after="0" w:line="191" w:lineRule="exact"/>
              <w:rPr>
                <w:sz w:val="20"/>
                <w:szCs w:val="20"/>
                <w:color w:val="auto"/>
              </w:rPr>
            </w:pPr>
            <w:r>
              <w:rPr>
                <w:rFonts w:ascii="Arial" w:cs="Arial" w:eastAsia="Arial" w:hAnsi="Arial"/>
                <w:sz w:val="18"/>
                <w:szCs w:val="18"/>
                <w:color w:val="auto"/>
              </w:rPr>
              <w:t>10.3</w:t>
            </w:r>
          </w:p>
        </w:tc>
        <w:tc>
          <w:tcPr>
            <w:tcW w:w="3360" w:type="dxa"/>
            <w:vAlign w:val="bottom"/>
            <w:shd w:val="clear" w:color="auto" w:fill="CCEEFF"/>
          </w:tcPr>
          <w:p>
            <w:pPr>
              <w:jc w:val="right"/>
              <w:ind w:right="1590"/>
              <w:spacing w:after="0" w:line="191" w:lineRule="exact"/>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181"/>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246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88"/>
              </w:rPr>
            </w:pPr>
            <w:hyperlink r:id="rId29">
              <w:r>
                <w:rPr>
                  <w:rFonts w:ascii="Arial" w:cs="Arial" w:eastAsia="Arial" w:hAnsi="Arial"/>
                  <w:sz w:val="18"/>
                  <w:szCs w:val="18"/>
                  <w:color w:val="0000FF"/>
                  <w:w w:val="88"/>
                </w:rPr>
                <w:t>Plan and related form agreements.</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33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10.4+</w:t>
            </w:r>
          </w:p>
        </w:tc>
        <w:tc>
          <w:tcPr>
            <w:tcW w:w="2860" w:type="dxa"/>
            <w:vAlign w:val="bottom"/>
            <w:tcBorders>
              <w:top w:val="single" w:sz="8" w:color="CCEEFF"/>
            </w:tcBorders>
            <w:gridSpan w:val="17"/>
          </w:tcPr>
          <w:p>
            <w:pPr>
              <w:spacing w:after="0" w:line="202" w:lineRule="exact"/>
              <w:rPr>
                <w:rFonts w:ascii="Arial" w:cs="Arial" w:eastAsia="Arial" w:hAnsi="Arial"/>
                <w:sz w:val="18"/>
                <w:szCs w:val="18"/>
                <w:color w:val="0000FF"/>
              </w:rPr>
            </w:pPr>
            <w:hyperlink r:id="rId30">
              <w:r>
                <w:rPr>
                  <w:rFonts w:ascii="Arial" w:cs="Arial" w:eastAsia="Arial" w:hAnsi="Arial"/>
                  <w:sz w:val="18"/>
                  <w:szCs w:val="18"/>
                  <w:color w:val="0000FF"/>
                </w:rPr>
                <w:t>Upstart Holdings, Inc. Employee</w:t>
              </w:r>
            </w:hyperlink>
          </w:p>
        </w:tc>
        <w:tc>
          <w:tcPr>
            <w:tcW w:w="78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S-1/A</w:t>
            </w:r>
          </w:p>
        </w:tc>
        <w:tc>
          <w:tcPr>
            <w:tcW w:w="1780" w:type="dxa"/>
            <w:vAlign w:val="bottom"/>
            <w:tcBorders>
              <w:top w:val="single" w:sz="8" w:color="CCEEFF"/>
            </w:tcBorders>
          </w:tcPr>
          <w:p>
            <w:pPr>
              <w:jc w:val="right"/>
              <w:ind w:right="570"/>
              <w:spacing w:after="0" w:line="202" w:lineRule="exact"/>
              <w:rPr>
                <w:sz w:val="20"/>
                <w:szCs w:val="20"/>
                <w:color w:val="auto"/>
              </w:rPr>
            </w:pPr>
            <w:r>
              <w:rPr>
                <w:rFonts w:ascii="Arial" w:cs="Arial" w:eastAsia="Arial" w:hAnsi="Arial"/>
                <w:sz w:val="18"/>
                <w:szCs w:val="18"/>
                <w:color w:val="auto"/>
              </w:rPr>
              <w:t>333-249860</w:t>
            </w:r>
          </w:p>
        </w:tc>
        <w:tc>
          <w:tcPr>
            <w:tcW w:w="1300" w:type="dxa"/>
            <w:vAlign w:val="bottom"/>
            <w:tcBorders>
              <w:top w:val="single" w:sz="8" w:color="CCEEFF"/>
            </w:tcBorders>
          </w:tcPr>
          <w:p>
            <w:pPr>
              <w:jc w:val="right"/>
              <w:ind w:right="230"/>
              <w:spacing w:after="0" w:line="202" w:lineRule="exact"/>
              <w:rPr>
                <w:sz w:val="20"/>
                <w:szCs w:val="20"/>
                <w:color w:val="auto"/>
              </w:rPr>
            </w:pPr>
            <w:r>
              <w:rPr>
                <w:rFonts w:ascii="Arial" w:cs="Arial" w:eastAsia="Arial" w:hAnsi="Arial"/>
                <w:sz w:val="18"/>
                <w:szCs w:val="18"/>
                <w:color w:val="auto"/>
              </w:rPr>
              <w:t>10.4</w:t>
            </w:r>
          </w:p>
        </w:tc>
        <w:tc>
          <w:tcPr>
            <w:tcW w:w="3360" w:type="dxa"/>
            <w:vAlign w:val="bottom"/>
            <w:tcBorders>
              <w:top w:val="single" w:sz="8" w:color="CCEEFF"/>
            </w:tcBorders>
          </w:tcPr>
          <w:p>
            <w:pPr>
              <w:jc w:val="right"/>
              <w:ind w:right="1590"/>
              <w:spacing w:after="0" w:line="202" w:lineRule="exact"/>
              <w:rPr>
                <w:sz w:val="20"/>
                <w:szCs w:val="20"/>
                <w:color w:val="auto"/>
              </w:rPr>
            </w:pPr>
            <w:r>
              <w:rPr>
                <w:rFonts w:ascii="Arial" w:cs="Arial" w:eastAsia="Arial" w:hAnsi="Arial"/>
                <w:sz w:val="18"/>
                <w:szCs w:val="18"/>
                <w:color w:val="auto"/>
              </w:rPr>
              <w:t>December 4, 2020</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380" w:type="dxa"/>
            <w:vAlign w:val="bottom"/>
            <w:tcBorders>
              <w:top w:val="single" w:sz="8" w:color="0000FF"/>
            </w:tcBorders>
            <w:gridSpan w:val="8"/>
          </w:tcPr>
          <w:p>
            <w:pPr>
              <w:spacing w:after="0" w:line="182" w:lineRule="exact"/>
              <w:rPr>
                <w:rFonts w:ascii="Arial" w:cs="Arial" w:eastAsia="Arial" w:hAnsi="Arial"/>
                <w:sz w:val="18"/>
                <w:szCs w:val="18"/>
                <w:color w:val="0000FF"/>
                <w:w w:val="98"/>
              </w:rPr>
            </w:pPr>
            <w:hyperlink r:id="rId30">
              <w:r>
                <w:rPr>
                  <w:rFonts w:ascii="Arial" w:cs="Arial" w:eastAsia="Arial" w:hAnsi="Arial"/>
                  <w:sz w:val="18"/>
                  <w:szCs w:val="18"/>
                  <w:color w:val="0000FF"/>
                  <w:w w:val="98"/>
                </w:rPr>
                <w:t>Incentive Compensation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10.5+</w:t>
            </w:r>
          </w:p>
        </w:tc>
        <w:tc>
          <w:tcPr>
            <w:tcW w:w="2860" w:type="dxa"/>
            <w:vAlign w:val="bottom"/>
            <w:gridSpan w:val="17"/>
            <w:shd w:val="clear" w:color="auto" w:fill="CCEEFF"/>
          </w:tcPr>
          <w:p>
            <w:pPr>
              <w:spacing w:after="0" w:line="189"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Upstart Holdings, Inc. 2020 Employee</w:t>
              </w:r>
            </w:hyperlink>
          </w:p>
        </w:tc>
        <w:tc>
          <w:tcPr>
            <w:tcW w:w="78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S-1/A</w:t>
            </w:r>
          </w:p>
        </w:tc>
        <w:tc>
          <w:tcPr>
            <w:tcW w:w="1780" w:type="dxa"/>
            <w:vAlign w:val="bottom"/>
            <w:shd w:val="clear" w:color="auto" w:fill="CCEEFF"/>
          </w:tcPr>
          <w:p>
            <w:pPr>
              <w:jc w:val="right"/>
              <w:ind w:right="570"/>
              <w:spacing w:after="0" w:line="189" w:lineRule="exact"/>
              <w:rPr>
                <w:sz w:val="20"/>
                <w:szCs w:val="20"/>
                <w:color w:val="auto"/>
              </w:rPr>
            </w:pPr>
            <w:r>
              <w:rPr>
                <w:rFonts w:ascii="Arial" w:cs="Arial" w:eastAsia="Arial" w:hAnsi="Arial"/>
                <w:sz w:val="18"/>
                <w:szCs w:val="18"/>
                <w:color w:val="auto"/>
              </w:rPr>
              <w:t>333-249860</w:t>
            </w:r>
          </w:p>
        </w:tc>
        <w:tc>
          <w:tcPr>
            <w:tcW w:w="130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10.5</w:t>
            </w:r>
          </w:p>
        </w:tc>
        <w:tc>
          <w:tcPr>
            <w:tcW w:w="3360" w:type="dxa"/>
            <w:vAlign w:val="bottom"/>
            <w:shd w:val="clear" w:color="auto" w:fill="CCEEFF"/>
          </w:tcPr>
          <w:p>
            <w:pPr>
              <w:jc w:val="right"/>
              <w:ind w:right="1590"/>
              <w:spacing w:after="0" w:line="189" w:lineRule="exact"/>
              <w:rPr>
                <w:sz w:val="20"/>
                <w:szCs w:val="20"/>
                <w:color w:val="auto"/>
              </w:rPr>
            </w:pPr>
            <w:r>
              <w:rPr>
                <w:rFonts w:ascii="Arial" w:cs="Arial" w:eastAsia="Arial" w:hAnsi="Arial"/>
                <w:sz w:val="18"/>
                <w:szCs w:val="18"/>
                <w:color w:val="auto"/>
              </w:rPr>
              <w:t>December 4, 2020</w:t>
            </w: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87"/>
              </w:rPr>
            </w:pPr>
            <w:hyperlink r:id="rId31">
              <w:r>
                <w:rPr>
                  <w:rFonts w:ascii="Arial" w:cs="Arial" w:eastAsia="Arial" w:hAnsi="Arial"/>
                  <w:sz w:val="18"/>
                  <w:szCs w:val="18"/>
                  <w:color w:val="0000FF"/>
                  <w:w w:val="87"/>
                </w:rPr>
                <w:t>Stock Purchase Plan.</w:t>
              </w:r>
            </w:hyperlink>
          </w:p>
        </w:tc>
        <w:tc>
          <w:tcPr>
            <w:tcW w:w="1260" w:type="dxa"/>
            <w:vAlign w:val="bottom"/>
            <w:tcBorders>
              <w:top w:val="single" w:sz="8" w:color="0000FF"/>
              <w:bottom w:val="single" w:sz="8" w:color="CCEEFF"/>
            </w:tcBorders>
            <w:gridSpan w:val="14"/>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33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10.6+</w:t>
            </w:r>
          </w:p>
        </w:tc>
        <w:tc>
          <w:tcPr>
            <w:tcW w:w="2860" w:type="dxa"/>
            <w:vAlign w:val="bottom"/>
            <w:gridSpan w:val="17"/>
          </w:tcPr>
          <w:p>
            <w:pPr>
              <w:spacing w:after="0" w:line="202" w:lineRule="exact"/>
              <w:rPr>
                <w:rFonts w:ascii="Arial" w:cs="Arial" w:eastAsia="Arial" w:hAnsi="Arial"/>
                <w:sz w:val="18"/>
                <w:szCs w:val="18"/>
                <w:color w:val="0000FF"/>
              </w:rPr>
            </w:pPr>
            <w:hyperlink r:id="rId32">
              <w:r>
                <w:rPr>
                  <w:rFonts w:ascii="Arial" w:cs="Arial" w:eastAsia="Arial" w:hAnsi="Arial"/>
                  <w:sz w:val="18"/>
                  <w:szCs w:val="18"/>
                  <w:color w:val="0000FF"/>
                </w:rPr>
                <w:t>Upstart Holdings, Inc. Executive</w:t>
              </w:r>
            </w:hyperlink>
          </w:p>
        </w:tc>
        <w:tc>
          <w:tcPr>
            <w:tcW w:w="780" w:type="dxa"/>
            <w:vAlign w:val="bottom"/>
          </w:tcPr>
          <w:p>
            <w:pPr>
              <w:ind w:left="80"/>
              <w:spacing w:after="0" w:line="202" w:lineRule="exact"/>
              <w:rPr>
                <w:sz w:val="20"/>
                <w:szCs w:val="20"/>
                <w:color w:val="auto"/>
              </w:rPr>
            </w:pPr>
            <w:r>
              <w:rPr>
                <w:rFonts w:ascii="Arial" w:cs="Arial" w:eastAsia="Arial" w:hAnsi="Arial"/>
                <w:sz w:val="18"/>
                <w:szCs w:val="18"/>
                <w:color w:val="auto"/>
              </w:rPr>
              <w:t>S-1/A</w:t>
            </w:r>
          </w:p>
        </w:tc>
        <w:tc>
          <w:tcPr>
            <w:tcW w:w="178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333-249860</w:t>
            </w:r>
          </w:p>
        </w:tc>
        <w:tc>
          <w:tcPr>
            <w:tcW w:w="13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10.6</w:t>
            </w:r>
          </w:p>
        </w:tc>
        <w:tc>
          <w:tcPr>
            <w:tcW w:w="3360" w:type="dxa"/>
            <w:vAlign w:val="bottom"/>
          </w:tcPr>
          <w:p>
            <w:pPr>
              <w:jc w:val="right"/>
              <w:ind w:right="1590"/>
              <w:spacing w:after="0" w:line="202" w:lineRule="exact"/>
              <w:rPr>
                <w:sz w:val="20"/>
                <w:szCs w:val="20"/>
                <w:color w:val="auto"/>
              </w:rPr>
            </w:pPr>
            <w:r>
              <w:rPr>
                <w:rFonts w:ascii="Arial" w:cs="Arial" w:eastAsia="Arial" w:hAnsi="Arial"/>
                <w:sz w:val="18"/>
                <w:szCs w:val="18"/>
                <w:color w:val="auto"/>
              </w:rPr>
              <w:t>December 4, 2020</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86"/>
              </w:rPr>
            </w:pPr>
            <w:hyperlink r:id="rId32">
              <w:r>
                <w:rPr>
                  <w:rFonts w:ascii="Arial" w:cs="Arial" w:eastAsia="Arial" w:hAnsi="Arial"/>
                  <w:sz w:val="18"/>
                  <w:szCs w:val="18"/>
                  <w:color w:val="0000FF"/>
                  <w:w w:val="86"/>
                </w:rPr>
                <w:t>Change in Control and Severance</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420" w:type="dxa"/>
            <w:vAlign w:val="bottom"/>
            <w:gridSpan w:val="10"/>
          </w:tcPr>
          <w:p>
            <w:pPr>
              <w:spacing w:after="0" w:line="182"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Policy and related participation.</w:t>
              </w:r>
            </w:hyperlink>
          </w:p>
        </w:tc>
        <w:tc>
          <w:tcPr>
            <w:tcW w:w="10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10.7+</w:t>
            </w:r>
          </w:p>
        </w:tc>
        <w:tc>
          <w:tcPr>
            <w:tcW w:w="2860" w:type="dxa"/>
            <w:vAlign w:val="bottom"/>
            <w:gridSpan w:val="17"/>
            <w:shd w:val="clear" w:color="auto" w:fill="CCEEFF"/>
          </w:tcPr>
          <w:p>
            <w:pPr>
              <w:spacing w:after="0" w:line="189" w:lineRule="exact"/>
              <w:rPr>
                <w:rFonts w:ascii="Arial" w:cs="Arial" w:eastAsia="Arial" w:hAnsi="Arial"/>
                <w:sz w:val="18"/>
                <w:szCs w:val="18"/>
                <w:color w:val="0000FF"/>
              </w:rPr>
            </w:pPr>
            <w:hyperlink r:id="rId33">
              <w:r>
                <w:rPr>
                  <w:rFonts w:ascii="Arial" w:cs="Arial" w:eastAsia="Arial" w:hAnsi="Arial"/>
                  <w:sz w:val="18"/>
                  <w:szCs w:val="18"/>
                  <w:color w:val="0000FF"/>
                </w:rPr>
                <w:t>Upstart Holdings, Inc. Outside</w:t>
              </w:r>
            </w:hyperlink>
          </w:p>
        </w:tc>
        <w:tc>
          <w:tcPr>
            <w:tcW w:w="78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S-1/A</w:t>
            </w:r>
          </w:p>
        </w:tc>
        <w:tc>
          <w:tcPr>
            <w:tcW w:w="1780" w:type="dxa"/>
            <w:vAlign w:val="bottom"/>
            <w:shd w:val="clear" w:color="auto" w:fill="CCEEFF"/>
          </w:tcPr>
          <w:p>
            <w:pPr>
              <w:jc w:val="right"/>
              <w:ind w:right="570"/>
              <w:spacing w:after="0" w:line="189" w:lineRule="exact"/>
              <w:rPr>
                <w:sz w:val="20"/>
                <w:szCs w:val="20"/>
                <w:color w:val="auto"/>
              </w:rPr>
            </w:pPr>
            <w:r>
              <w:rPr>
                <w:rFonts w:ascii="Arial" w:cs="Arial" w:eastAsia="Arial" w:hAnsi="Arial"/>
                <w:sz w:val="18"/>
                <w:szCs w:val="18"/>
                <w:color w:val="auto"/>
              </w:rPr>
              <w:t>333-249860</w:t>
            </w:r>
          </w:p>
        </w:tc>
        <w:tc>
          <w:tcPr>
            <w:tcW w:w="130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10.7</w:t>
            </w:r>
          </w:p>
        </w:tc>
        <w:tc>
          <w:tcPr>
            <w:tcW w:w="3360" w:type="dxa"/>
            <w:vAlign w:val="bottom"/>
            <w:shd w:val="clear" w:color="auto" w:fill="CCEEFF"/>
          </w:tcPr>
          <w:p>
            <w:pPr>
              <w:jc w:val="right"/>
              <w:ind w:right="1590"/>
              <w:spacing w:after="0" w:line="189" w:lineRule="exact"/>
              <w:rPr>
                <w:sz w:val="20"/>
                <w:szCs w:val="20"/>
                <w:color w:val="auto"/>
              </w:rPr>
            </w:pPr>
            <w:r>
              <w:rPr>
                <w:rFonts w:ascii="Arial" w:cs="Arial" w:eastAsia="Arial" w:hAnsi="Arial"/>
                <w:sz w:val="18"/>
                <w:szCs w:val="18"/>
                <w:color w:val="auto"/>
              </w:rPr>
              <w:t>December 4, 2020</w:t>
            </w:r>
          </w:p>
        </w:tc>
        <w:tc>
          <w:tcPr>
            <w:tcW w:w="0" w:type="dxa"/>
            <w:vAlign w:val="bottom"/>
          </w:tcPr>
          <w:p>
            <w:pPr>
              <w:spacing w:after="0"/>
              <w:rPr>
                <w:sz w:val="1"/>
                <w:szCs w:val="1"/>
                <w:color w:val="auto"/>
              </w:rPr>
            </w:pPr>
          </w:p>
        </w:tc>
      </w:tr>
      <w:tr>
        <w:trPr>
          <w:trHeight w:val="181"/>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220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Director Compensation Policy.</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33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10.8</w:t>
            </w:r>
          </w:p>
        </w:tc>
        <w:tc>
          <w:tcPr>
            <w:tcW w:w="2860" w:type="dxa"/>
            <w:vAlign w:val="bottom"/>
            <w:tcBorders>
              <w:top w:val="single" w:sz="8" w:color="CCEEFF"/>
            </w:tcBorders>
            <w:gridSpan w:val="17"/>
          </w:tcPr>
          <w:p>
            <w:pPr>
              <w:spacing w:after="0" w:line="189"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Sub-Sublease Agreement, dated April</w:t>
              </w:r>
            </w:hyperlink>
          </w:p>
        </w:tc>
        <w:tc>
          <w:tcPr>
            <w:tcW w:w="780" w:type="dxa"/>
            <w:vAlign w:val="bottom"/>
            <w:tcBorders>
              <w:top w:val="single" w:sz="8" w:color="CCEEFF"/>
            </w:tcBorders>
          </w:tcPr>
          <w:p>
            <w:pPr>
              <w:ind w:left="80"/>
              <w:spacing w:after="0" w:line="189" w:lineRule="exact"/>
              <w:rPr>
                <w:sz w:val="20"/>
                <w:szCs w:val="20"/>
                <w:color w:val="auto"/>
              </w:rPr>
            </w:pPr>
            <w:r>
              <w:rPr>
                <w:rFonts w:ascii="Arial" w:cs="Arial" w:eastAsia="Arial" w:hAnsi="Arial"/>
                <w:sz w:val="18"/>
                <w:szCs w:val="18"/>
                <w:color w:val="auto"/>
              </w:rPr>
              <w:t>S-1</w:t>
            </w:r>
          </w:p>
        </w:tc>
        <w:tc>
          <w:tcPr>
            <w:tcW w:w="1780" w:type="dxa"/>
            <w:vAlign w:val="bottom"/>
            <w:tcBorders>
              <w:top w:val="single" w:sz="8" w:color="CCEEFF"/>
            </w:tcBorders>
          </w:tcPr>
          <w:p>
            <w:pPr>
              <w:jc w:val="right"/>
              <w:ind w:right="570"/>
              <w:spacing w:after="0" w:line="189" w:lineRule="exact"/>
              <w:rPr>
                <w:sz w:val="20"/>
                <w:szCs w:val="20"/>
                <w:color w:val="auto"/>
              </w:rPr>
            </w:pPr>
            <w:r>
              <w:rPr>
                <w:rFonts w:ascii="Arial" w:cs="Arial" w:eastAsia="Arial" w:hAnsi="Arial"/>
                <w:sz w:val="18"/>
                <w:szCs w:val="18"/>
                <w:color w:val="auto"/>
              </w:rPr>
              <w:t>333-249860</w:t>
            </w:r>
          </w:p>
        </w:tc>
        <w:tc>
          <w:tcPr>
            <w:tcW w:w="1300" w:type="dxa"/>
            <w:vAlign w:val="bottom"/>
            <w:tcBorders>
              <w:top w:val="single" w:sz="8" w:color="CCEEFF"/>
            </w:tcBorders>
          </w:tcPr>
          <w:p>
            <w:pPr>
              <w:jc w:val="right"/>
              <w:ind w:right="230"/>
              <w:spacing w:after="0" w:line="189" w:lineRule="exact"/>
              <w:rPr>
                <w:sz w:val="20"/>
                <w:szCs w:val="20"/>
                <w:color w:val="auto"/>
              </w:rPr>
            </w:pPr>
            <w:r>
              <w:rPr>
                <w:rFonts w:ascii="Arial" w:cs="Arial" w:eastAsia="Arial" w:hAnsi="Arial"/>
                <w:sz w:val="18"/>
                <w:szCs w:val="18"/>
                <w:color w:val="auto"/>
              </w:rPr>
              <w:t>10.8</w:t>
            </w:r>
          </w:p>
        </w:tc>
        <w:tc>
          <w:tcPr>
            <w:tcW w:w="3360" w:type="dxa"/>
            <w:vAlign w:val="bottom"/>
            <w:tcBorders>
              <w:top w:val="single" w:sz="8" w:color="CCEEFF"/>
            </w:tcBorders>
          </w:tcPr>
          <w:p>
            <w:pPr>
              <w:jc w:val="right"/>
              <w:ind w:right="1590"/>
              <w:spacing w:after="0" w:line="189" w:lineRule="exact"/>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34">
              <w:r>
                <w:rPr>
                  <w:rFonts w:ascii="Arial" w:cs="Arial" w:eastAsia="Arial" w:hAnsi="Arial"/>
                  <w:sz w:val="18"/>
                  <w:szCs w:val="18"/>
                  <w:color w:val="0000FF"/>
                </w:rPr>
                <w:t>1, 2019, between Bay Meadows</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2520" w:type="dxa"/>
            <w:vAlign w:val="bottom"/>
            <w:tcBorders>
              <w:bottom w:val="single" w:sz="8" w:color="0000FF"/>
            </w:tcBorders>
            <w:gridSpan w:val="13"/>
          </w:tcPr>
          <w:p>
            <w:pPr>
              <w:spacing w:after="0" w:line="15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Station 3 Investors, LLC and Open</w:t>
              </w:r>
            </w:hyperlink>
          </w:p>
        </w:tc>
        <w:tc>
          <w:tcPr>
            <w:tcW w:w="34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860" w:type="dxa"/>
            <w:vAlign w:val="bottom"/>
            <w:gridSpan w:val="17"/>
          </w:tcPr>
          <w:p>
            <w:pPr>
              <w:spacing w:after="0" w:line="15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Text Inc., Snowflake, Inc. and Upstart</w:t>
              </w:r>
            </w:hyperlink>
          </w:p>
        </w:tc>
        <w:tc>
          <w:tcPr>
            <w:tcW w:w="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10.9</w:t>
            </w:r>
          </w:p>
        </w:tc>
        <w:tc>
          <w:tcPr>
            <w:tcW w:w="27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4">
              <w:r>
                <w:rPr>
                  <w:rFonts w:ascii="Arial" w:cs="Arial" w:eastAsia="Arial" w:hAnsi="Arial"/>
                  <w:sz w:val="18"/>
                  <w:szCs w:val="18"/>
                  <w:color w:val="0000FF"/>
                </w:rPr>
                <w:t>Holdings, Inc.</w:t>
              </w:r>
            </w:hyperlink>
          </w:p>
        </w:tc>
        <w:tc>
          <w:tcPr>
            <w:tcW w:w="120" w:type="dxa"/>
            <w:vAlign w:val="bottom"/>
            <w:gridSpan w:val="2"/>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S-1</w:t>
            </w:r>
          </w:p>
        </w:tc>
        <w:tc>
          <w:tcPr>
            <w:tcW w:w="1780" w:type="dxa"/>
            <w:vAlign w:val="bottom"/>
            <w:vMerge w:val="restart"/>
          </w:tcPr>
          <w:p>
            <w:pPr>
              <w:jc w:val="right"/>
              <w:ind w:right="570"/>
              <w:spacing w:after="0"/>
              <w:rPr>
                <w:sz w:val="20"/>
                <w:szCs w:val="20"/>
                <w:color w:val="auto"/>
              </w:rPr>
            </w:pPr>
            <w:r>
              <w:rPr>
                <w:rFonts w:ascii="Arial" w:cs="Arial" w:eastAsia="Arial" w:hAnsi="Arial"/>
                <w:sz w:val="18"/>
                <w:szCs w:val="18"/>
                <w:color w:val="auto"/>
              </w:rPr>
              <w:t>333-249860</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10.9</w:t>
            </w:r>
          </w:p>
        </w:tc>
        <w:tc>
          <w:tcPr>
            <w:tcW w:w="3360" w:type="dxa"/>
            <w:vAlign w:val="bottom"/>
            <w:vMerge w:val="restart"/>
          </w:tcPr>
          <w:p>
            <w:pPr>
              <w:jc w:val="right"/>
              <w:ind w:right="1590"/>
              <w:spacing w:after="0"/>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3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2400" w:type="dxa"/>
            <w:vAlign w:val="bottom"/>
            <w:tcBorders>
              <w:bottom w:val="single" w:sz="8" w:color="0000FF"/>
            </w:tcBorders>
            <w:gridSpan w:val="9"/>
          </w:tcPr>
          <w:p>
            <w:pPr>
              <w:spacing w:after="0"/>
              <w:rPr>
                <w:rFonts w:ascii="Arial" w:cs="Arial" w:eastAsia="Arial" w:hAnsi="Arial"/>
                <w:sz w:val="18"/>
                <w:szCs w:val="18"/>
                <w:color w:val="0000FF"/>
                <w:w w:val="88"/>
              </w:rPr>
            </w:pPr>
            <w:hyperlink r:id="rId35">
              <w:r>
                <w:rPr>
                  <w:rFonts w:ascii="Arial" w:cs="Arial" w:eastAsia="Arial" w:hAnsi="Arial"/>
                  <w:sz w:val="18"/>
                  <w:szCs w:val="18"/>
                  <w:color w:val="0000FF"/>
                  <w:w w:val="88"/>
                </w:rPr>
                <w:t>Amended and Restated Loan and</w:t>
              </w:r>
            </w:hyperlink>
          </w:p>
        </w:tc>
        <w:tc>
          <w:tcPr>
            <w:tcW w:w="460" w:type="dxa"/>
            <w:vAlign w:val="bottom"/>
            <w:gridSpan w:val="8"/>
          </w:tcPr>
          <w:p>
            <w:pPr>
              <w:spacing w:after="0"/>
              <w:rPr>
                <w:sz w:val="19"/>
                <w:szCs w:val="19"/>
                <w:color w:val="auto"/>
              </w:rPr>
            </w:pPr>
          </w:p>
        </w:tc>
        <w:tc>
          <w:tcPr>
            <w:tcW w:w="78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740" w:type="dxa"/>
            <w:vAlign w:val="bottom"/>
            <w:tcBorders>
              <w:bottom w:val="single" w:sz="8" w:color="0000FF"/>
            </w:tcBorders>
            <w:gridSpan w:val="15"/>
          </w:tcPr>
          <w:p>
            <w:pPr>
              <w:spacing w:after="0" w:line="182"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Security Agreement, dated September</w:t>
              </w:r>
            </w:hyperlink>
          </w:p>
        </w:tc>
        <w:tc>
          <w:tcPr>
            <w:tcW w:w="1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062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ind w:left="1160"/>
        <w:spacing w:after="0"/>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5, 2018, between Silicon Valley Bank,</w:t>
        </w:r>
      </w:hyperlink>
    </w:p>
    <w:p>
      <w:pPr>
        <w:spacing w:after="0" w:line="6" w:lineRule="exact"/>
        <w:rPr>
          <w:sz w:val="20"/>
          <w:szCs w:val="20"/>
          <w:color w:val="auto"/>
        </w:rPr>
      </w:pPr>
    </w:p>
    <w:p>
      <w:pPr>
        <w:ind w:left="1160"/>
        <w:spacing w:after="0"/>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Upstart Holdings, Inc. and Upstart</w:t>
        </w:r>
      </w:hyperlink>
    </w:p>
    <w:p>
      <w:pPr>
        <w:ind w:left="1160"/>
        <w:spacing w:after="0" w:line="234"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Network, Inc. amended as of October</w:t>
        </w:r>
      </w:hyperlink>
    </w:p>
    <w:p>
      <w:pPr>
        <w:ind w:left="1160"/>
        <w:spacing w:after="0" w:line="235"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22, 2018, August 14, 2019, June 30,</w:t>
        </w:r>
      </w:hyperlink>
    </w:p>
    <w:p>
      <w:pPr>
        <w:ind w:left="1160"/>
        <w:spacing w:after="0" w:line="235"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2020, October 1, 2020, November 3,</w:t>
        </w:r>
      </w:hyperlink>
    </w:p>
    <w:p>
      <w:pPr>
        <w:ind w:left="1160"/>
        <w:spacing w:after="0"/>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2020 and November 25,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type w:val="continuous"/>
        </w:sectPr>
      </w:pPr>
    </w:p>
    <w:bookmarkStart w:id="167" w:name="page168"/>
    <w:bookmarkEnd w:id="16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5"/>
          </w:tcPr>
          <w:p>
            <w:pPr>
              <w:jc w:val="right"/>
              <w:ind w:right="1150"/>
              <w:spacing w:after="0"/>
              <w:rPr>
                <w:sz w:val="20"/>
                <w:szCs w:val="20"/>
                <w:color w:val="auto"/>
              </w:rPr>
            </w:pPr>
            <w:r>
              <w:rPr>
                <w:rFonts w:ascii="Arial" w:cs="Arial" w:eastAsia="Arial" w:hAnsi="Arial"/>
                <w:sz w:val="18"/>
                <w:szCs w:val="18"/>
                <w:b w:val="1"/>
                <w:bCs w:val="1"/>
                <w:color w:val="auto"/>
                <w:w w:val="93"/>
              </w:rPr>
              <w:t>Incorporated by Reference</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60" w:type="dxa"/>
            <w:vAlign w:val="bottom"/>
            <w:gridSpan w:val="2"/>
          </w:tcPr>
          <w:p>
            <w:pPr>
              <w:ind w:left="240"/>
              <w:spacing w:after="0" w:line="162" w:lineRule="exact"/>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4"/>
            <w:vMerge w:val="restart"/>
          </w:tcPr>
          <w:p>
            <w:pPr>
              <w:ind w:left="140"/>
              <w:spacing w:after="0"/>
              <w:rPr>
                <w:sz w:val="20"/>
                <w:szCs w:val="20"/>
                <w:color w:val="auto"/>
              </w:rPr>
            </w:pPr>
            <w:r>
              <w:rPr>
                <w:rFonts w:ascii="Arial" w:cs="Arial" w:eastAsia="Arial" w:hAnsi="Arial"/>
                <w:sz w:val="18"/>
                <w:szCs w:val="18"/>
                <w:b w:val="1"/>
                <w:bCs w:val="1"/>
                <w:color w:val="auto"/>
              </w:rPr>
              <w:t>Description</w:t>
            </w:r>
          </w:p>
        </w:tc>
        <w:tc>
          <w:tcPr>
            <w:tcW w:w="9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Form</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File No.</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19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Filing Date</w:t>
            </w:r>
          </w:p>
        </w:tc>
        <w:tc>
          <w:tcPr>
            <w:tcW w:w="166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4"/>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5"/>
                <w:szCs w:val="15"/>
                <w:color w:val="auto"/>
              </w:rPr>
            </w:pPr>
          </w:p>
        </w:tc>
        <w:tc>
          <w:tcPr>
            <w:tcW w:w="2840" w:type="dxa"/>
            <w:vAlign w:val="bottom"/>
            <w:tcBorders>
              <w:top w:val="single" w:sz="8" w:color="auto"/>
            </w:tcBorders>
            <w:gridSpan w:val="26"/>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Mezzanine Loan and Security</w:t>
              </w:r>
            </w:hyperlink>
          </w:p>
        </w:tc>
        <w:tc>
          <w:tcPr>
            <w:tcW w:w="80" w:type="dxa"/>
            <w:vAlign w:val="bottom"/>
          </w:tcPr>
          <w:p>
            <w:pPr>
              <w:spacing w:after="0"/>
              <w:rPr>
                <w:sz w:val="15"/>
                <w:szCs w:val="15"/>
                <w:color w:val="auto"/>
              </w:rPr>
            </w:pPr>
          </w:p>
        </w:tc>
        <w:tc>
          <w:tcPr>
            <w:tcW w:w="8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S-1</w:t>
            </w:r>
          </w:p>
        </w:tc>
        <w:tc>
          <w:tcPr>
            <w:tcW w:w="80" w:type="dxa"/>
            <w:vAlign w:val="bottom"/>
          </w:tcPr>
          <w:p>
            <w:pPr>
              <w:spacing w:after="0"/>
              <w:rPr>
                <w:sz w:val="15"/>
                <w:szCs w:val="15"/>
                <w:color w:val="auto"/>
              </w:rPr>
            </w:pPr>
          </w:p>
        </w:tc>
        <w:tc>
          <w:tcPr>
            <w:tcW w:w="116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91"/>
              </w:rPr>
              <w:t>333-249860</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5"/>
                <w:szCs w:val="15"/>
                <w:color w:val="auto"/>
              </w:rPr>
            </w:pPr>
          </w:p>
        </w:tc>
        <w:tc>
          <w:tcPr>
            <w:tcW w:w="1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November 5, 2020</w:t>
            </w:r>
          </w:p>
        </w:tc>
        <w:tc>
          <w:tcPr>
            <w:tcW w:w="1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top w:val="single" w:sz="8" w:color="0000FF"/>
            </w:tcBorders>
            <w:gridSpan w:val="8"/>
          </w:tcPr>
          <w:p>
            <w:pPr>
              <w:spacing w:after="0" w:line="15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Agreement, dated October 22,</w:t>
              </w:r>
            </w:hyperlink>
          </w:p>
        </w:tc>
        <w:tc>
          <w:tcPr>
            <w:tcW w:w="480" w:type="dxa"/>
            <w:vAlign w:val="bottom"/>
            <w:gridSpan w:val="7"/>
          </w:tcPr>
          <w:p>
            <w:pPr>
              <w:jc w:val="right"/>
              <w:ind w:right="20"/>
              <w:spacing w:after="0" w:line="156" w:lineRule="exact"/>
              <w:rPr>
                <w:rFonts w:ascii="Arial" w:cs="Arial" w:eastAsia="Arial" w:hAnsi="Arial"/>
                <w:sz w:val="18"/>
                <w:szCs w:val="18"/>
                <w:color w:val="0000FF"/>
                <w:w w:val="97"/>
              </w:rPr>
            </w:pPr>
            <w:hyperlink r:id="rId37">
              <w:r>
                <w:rPr>
                  <w:rFonts w:ascii="Arial" w:cs="Arial" w:eastAsia="Arial" w:hAnsi="Arial"/>
                  <w:sz w:val="18"/>
                  <w:szCs w:val="18"/>
                  <w:color w:val="0000FF"/>
                  <w:w w:val="97"/>
                </w:rPr>
                <w:t>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between Silicon Valley Bank, Upstart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Borders>
              <w:bottom w:val="single" w:sz="8" w:color="0000FF"/>
            </w:tcBorders>
            <w:gridSpan w:val="15"/>
          </w:tcPr>
          <w:p>
            <w:pPr>
              <w:spacing w:after="0" w:line="15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Holdings, Inc. and Upstart Network,</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27"/>
          </w:tcPr>
          <w:p>
            <w:pPr>
              <w:spacing w:after="0" w:line="15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Inc. amended as of June 30, 2020 and</w:t>
              </w:r>
            </w:hyperlink>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7">
              <w:r>
                <w:rPr>
                  <w:rFonts w:ascii="Arial" w:cs="Arial" w:eastAsia="Arial" w:hAnsi="Arial"/>
                  <w:sz w:val="18"/>
                  <w:szCs w:val="18"/>
                  <w:color w:val="0000FF"/>
                </w:rPr>
                <w:t>October 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10.11</w:t>
            </w:r>
          </w:p>
        </w:tc>
        <w:tc>
          <w:tcPr>
            <w:tcW w:w="120" w:type="dxa"/>
            <w:vAlign w:val="bottom"/>
            <w:tcBorders>
              <w:right w:val="single" w:sz="8" w:color="CCEEFF"/>
            </w:tcBorders>
            <w:shd w:val="clear" w:color="auto" w:fill="CCEEFF"/>
          </w:tcPr>
          <w:p>
            <w:pPr>
              <w:spacing w:after="0"/>
              <w:rPr>
                <w:sz w:val="16"/>
                <w:szCs w:val="16"/>
                <w:color w:val="auto"/>
              </w:rPr>
            </w:pPr>
          </w:p>
        </w:tc>
        <w:tc>
          <w:tcPr>
            <w:tcW w:w="2920" w:type="dxa"/>
            <w:vAlign w:val="bottom"/>
            <w:gridSpan w:val="27"/>
            <w:shd w:val="clear" w:color="auto" w:fill="CCEEFF"/>
          </w:tcPr>
          <w:p>
            <w:pPr>
              <w:spacing w:after="0" w:line="189" w:lineRule="exact"/>
              <w:rPr>
                <w:rFonts w:ascii="Arial" w:cs="Arial" w:eastAsia="Arial" w:hAnsi="Arial"/>
                <w:sz w:val="18"/>
                <w:szCs w:val="18"/>
                <w:color w:val="0000FF"/>
              </w:rPr>
            </w:pPr>
            <w:hyperlink r:id="rId38">
              <w:r>
                <w:rPr>
                  <w:rFonts w:ascii="Arial" w:cs="Arial" w:eastAsia="Arial" w:hAnsi="Arial"/>
                  <w:sz w:val="18"/>
                  <w:szCs w:val="18"/>
                  <w:color w:val="0000FF"/>
                </w:rPr>
                <w:t>Amended and Restated Revolving</w:t>
              </w:r>
            </w:hyperlink>
          </w:p>
        </w:tc>
        <w:tc>
          <w:tcPr>
            <w:tcW w:w="9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S-1</w:t>
            </w:r>
          </w:p>
        </w:tc>
        <w:tc>
          <w:tcPr>
            <w:tcW w:w="11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91"/>
              </w:rPr>
              <w:t>333-249860</w:t>
            </w:r>
          </w:p>
        </w:tc>
        <w:tc>
          <w:tcPr>
            <w:tcW w:w="13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November 5, 2020</w:t>
            </w: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94967277"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920" w:type="dxa"/>
            <w:vAlign w:val="bottom"/>
            <w:gridSpan w:val="27"/>
            <w:shd w:val="clear" w:color="auto" w:fill="CCEEFF"/>
          </w:tcPr>
          <w:p>
            <w:pPr>
              <w:spacing w:after="0" w:line="156" w:lineRule="exact"/>
              <w:rPr>
                <w:rFonts w:ascii="Arial" w:cs="Arial" w:eastAsia="Arial" w:hAnsi="Arial"/>
                <w:sz w:val="18"/>
                <w:szCs w:val="18"/>
                <w:color w:val="0000FF"/>
                <w:w w:val="96"/>
              </w:rPr>
            </w:pPr>
            <w:hyperlink r:id="rId38">
              <w:r>
                <w:rPr>
                  <w:rFonts w:ascii="Arial" w:cs="Arial" w:eastAsia="Arial" w:hAnsi="Arial"/>
                  <w:sz w:val="18"/>
                  <w:szCs w:val="18"/>
                  <w:color w:val="0000FF"/>
                  <w:w w:val="96"/>
                </w:rPr>
                <w:t>Credit and Security Agreement, dated</w:t>
              </w:r>
            </w:hyperlink>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278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May 22, 2020, between Upstart Loan</w:t>
              </w:r>
            </w:hyperlink>
          </w:p>
        </w:tc>
        <w:tc>
          <w:tcPr>
            <w:tcW w:w="20" w:type="dxa"/>
            <w:vAlign w:val="bottom"/>
            <w:tcBorders>
              <w:top w:val="single" w:sz="8" w:color="CCEEFF"/>
            </w:tcBorders>
            <w:shd w:val="clear" w:color="auto" w:fill="CCEEFF"/>
          </w:tcPr>
          <w:p>
            <w:pPr>
              <w:spacing w:after="0"/>
              <w:rPr>
                <w:sz w:val="13"/>
                <w:szCs w:val="13"/>
                <w:color w:val="auto"/>
              </w:rPr>
            </w:pPr>
          </w:p>
        </w:tc>
        <w:tc>
          <w:tcPr>
            <w:tcW w:w="4294967277"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68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88"/>
              </w:rPr>
            </w:pPr>
            <w:hyperlink r:id="rId38">
              <w:r>
                <w:rPr>
                  <w:rFonts w:ascii="Arial" w:cs="Arial" w:eastAsia="Arial" w:hAnsi="Arial"/>
                  <w:sz w:val="18"/>
                  <w:szCs w:val="18"/>
                  <w:color w:val="0000FF"/>
                  <w:w w:val="88"/>
                </w:rPr>
                <w:t>Trust and Goldman Sachs Bank USA.</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4294967277"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10.13^</w:t>
            </w:r>
          </w:p>
        </w:tc>
        <w:tc>
          <w:tcPr>
            <w:tcW w:w="120" w:type="dxa"/>
            <w:vAlign w:val="bottom"/>
            <w:tcBorders>
              <w:top w:val="single" w:sz="8" w:color="CCEEFF"/>
            </w:tcBorders>
          </w:tcPr>
          <w:p>
            <w:pPr>
              <w:spacing w:after="0"/>
              <w:rPr>
                <w:sz w:val="17"/>
                <w:szCs w:val="17"/>
                <w:color w:val="auto"/>
              </w:rPr>
            </w:pPr>
          </w:p>
        </w:tc>
        <w:tc>
          <w:tcPr>
            <w:tcW w:w="2920" w:type="dxa"/>
            <w:vAlign w:val="bottom"/>
            <w:tcBorders>
              <w:top w:val="single" w:sz="8" w:color="CCEEFF"/>
            </w:tcBorders>
            <w:gridSpan w:val="27"/>
          </w:tcPr>
          <w:p>
            <w:pPr>
              <w:spacing w:after="0" w:line="202" w:lineRule="exact"/>
              <w:rPr>
                <w:rFonts w:ascii="Arial" w:cs="Arial" w:eastAsia="Arial" w:hAnsi="Arial"/>
                <w:sz w:val="18"/>
                <w:szCs w:val="18"/>
                <w:color w:val="0000FF"/>
              </w:rPr>
            </w:pPr>
            <w:hyperlink r:id="rId39">
              <w:r>
                <w:rPr>
                  <w:rFonts w:ascii="Arial" w:cs="Arial" w:eastAsia="Arial" w:hAnsi="Arial"/>
                  <w:sz w:val="18"/>
                  <w:szCs w:val="18"/>
                  <w:color w:val="0000FF"/>
                </w:rPr>
                <w:t>Third Amended and Restated Loan</w:t>
              </w:r>
            </w:hyperlink>
          </w:p>
        </w:tc>
        <w:tc>
          <w:tcPr>
            <w:tcW w:w="940" w:type="dxa"/>
            <w:vAlign w:val="bottom"/>
            <w:tcBorders>
              <w:top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S-1</w:t>
            </w:r>
          </w:p>
        </w:tc>
        <w:tc>
          <w:tcPr>
            <w:tcW w:w="1160" w:type="dxa"/>
            <w:vAlign w:val="bottom"/>
            <w:tcBorders>
              <w:top w:val="single" w:sz="8" w:color="CCEEFF"/>
            </w:tcBorders>
          </w:tcPr>
          <w:p>
            <w:pPr>
              <w:jc w:val="right"/>
              <w:ind w:right="170"/>
              <w:spacing w:after="0" w:line="202" w:lineRule="exact"/>
              <w:rPr>
                <w:sz w:val="20"/>
                <w:szCs w:val="20"/>
                <w:color w:val="auto"/>
              </w:rPr>
            </w:pPr>
            <w:r>
              <w:rPr>
                <w:rFonts w:ascii="Arial" w:cs="Arial" w:eastAsia="Arial" w:hAnsi="Arial"/>
                <w:sz w:val="18"/>
                <w:szCs w:val="18"/>
                <w:color w:val="auto"/>
                <w:w w:val="91"/>
              </w:rPr>
              <w:t>333-249860</w:t>
            </w:r>
          </w:p>
        </w:tc>
        <w:tc>
          <w:tcPr>
            <w:tcW w:w="1380" w:type="dxa"/>
            <w:vAlign w:val="bottom"/>
            <w:tcBorders>
              <w:top w:val="single" w:sz="8" w:color="CCEEFF"/>
            </w:tcBorders>
            <w:gridSpan w:val="3"/>
          </w:tcPr>
          <w:p>
            <w:pPr>
              <w:jc w:val="right"/>
              <w:spacing w:after="0" w:line="202" w:lineRule="exact"/>
              <w:rPr>
                <w:sz w:val="20"/>
                <w:szCs w:val="20"/>
                <w:color w:val="auto"/>
              </w:rPr>
            </w:pPr>
            <w:r>
              <w:rPr>
                <w:rFonts w:ascii="Arial" w:cs="Arial" w:eastAsia="Arial" w:hAnsi="Arial"/>
                <w:sz w:val="18"/>
                <w:szCs w:val="18"/>
                <w:color w:val="auto"/>
              </w:rPr>
              <w:t>10.13</w:t>
            </w:r>
          </w:p>
        </w:tc>
        <w:tc>
          <w:tcPr>
            <w:tcW w:w="10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November 5, 2020</w:t>
            </w:r>
          </w:p>
        </w:tc>
        <w:tc>
          <w:tcPr>
            <w:tcW w:w="16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top w:val="single" w:sz="8" w:color="0000FF"/>
            </w:tcBorders>
            <w:gridSpan w:val="13"/>
          </w:tcPr>
          <w:p>
            <w:pPr>
              <w:spacing w:after="0" w:line="182"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Program Agreement, dated January</w:t>
              </w:r>
            </w:hyperlink>
          </w:p>
        </w:tc>
        <w:tc>
          <w:tcPr>
            <w:tcW w:w="180" w:type="dxa"/>
            <w:vAlign w:val="bottom"/>
            <w:gridSpan w:val="11"/>
          </w:tcPr>
          <w:p>
            <w:pPr>
              <w:jc w:val="right"/>
              <w:ind w:right="60"/>
              <w:spacing w:after="0" w:line="183" w:lineRule="exact"/>
              <w:rPr>
                <w:rFonts w:ascii="Arial" w:cs="Arial" w:eastAsia="Arial" w:hAnsi="Arial"/>
                <w:sz w:val="17"/>
                <w:szCs w:val="17"/>
                <w:color w:val="0000FF"/>
                <w:w w:val="70"/>
              </w:rPr>
            </w:pPr>
            <w:hyperlink r:id="rId39">
              <w:r>
                <w:rPr>
                  <w:rFonts w:ascii="Arial" w:cs="Arial" w:eastAsia="Arial" w:hAnsi="Arial"/>
                  <w:sz w:val="17"/>
                  <w:szCs w:val="17"/>
                  <w:color w:val="0000FF"/>
                  <w:w w:val="70"/>
                </w:rPr>
                <w:t>1,</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2019, between Upstart Network, Inc.</w:t>
              </w:r>
            </w:hyperlink>
          </w:p>
        </w:tc>
        <w:tc>
          <w:tcPr>
            <w:tcW w:w="120" w:type="dxa"/>
            <w:vAlign w:val="bottom"/>
            <w:tcBorders>
              <w:top w:val="single" w:sz="8" w:color="0000FF"/>
            </w:tcBorders>
            <w:gridSpan w:val="6"/>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27"/>
          </w:tcPr>
          <w:p>
            <w:pPr>
              <w:spacing w:after="0" w:line="182" w:lineRule="exact"/>
              <w:rPr>
                <w:rFonts w:ascii="Arial" w:cs="Arial" w:eastAsia="Arial" w:hAnsi="Arial"/>
                <w:sz w:val="18"/>
                <w:szCs w:val="18"/>
                <w:color w:val="0000FF"/>
                <w:w w:val="95"/>
              </w:rPr>
            </w:pPr>
            <w:hyperlink r:id="rId39">
              <w:r>
                <w:rPr>
                  <w:rFonts w:ascii="Arial" w:cs="Arial" w:eastAsia="Arial" w:hAnsi="Arial"/>
                  <w:sz w:val="18"/>
                  <w:szCs w:val="18"/>
                  <w:color w:val="0000FF"/>
                  <w:w w:val="95"/>
                </w:rPr>
                <w:t>and Cross River Bank, amended as of</w:t>
              </w:r>
            </w:hyperlink>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Borders>
              <w:top w:val="single" w:sz="8" w:color="0000FF"/>
            </w:tcBorders>
            <w:gridSpan w:val="21"/>
          </w:tcPr>
          <w:p>
            <w:pPr>
              <w:spacing w:after="0" w:line="182" w:lineRule="exact"/>
              <w:rPr>
                <w:rFonts w:ascii="Arial" w:cs="Arial" w:eastAsia="Arial" w:hAnsi="Arial"/>
                <w:sz w:val="18"/>
                <w:szCs w:val="18"/>
                <w:color w:val="0000FF"/>
                <w:w w:val="97"/>
              </w:rPr>
            </w:pPr>
            <w:hyperlink r:id="rId39">
              <w:r>
                <w:rPr>
                  <w:rFonts w:ascii="Arial" w:cs="Arial" w:eastAsia="Arial" w:hAnsi="Arial"/>
                  <w:sz w:val="18"/>
                  <w:szCs w:val="18"/>
                  <w:color w:val="0000FF"/>
                  <w:w w:val="97"/>
                </w:rPr>
                <w:t>November 20, 2019 and November</w:t>
              </w:r>
            </w:hyperlink>
          </w:p>
        </w:tc>
        <w:tc>
          <w:tcPr>
            <w:tcW w:w="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25, 2020.</w:t>
              </w:r>
            </w:hyperlink>
          </w:p>
        </w:tc>
        <w:tc>
          <w:tcPr>
            <w:tcW w:w="3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10.14^</w:t>
            </w:r>
          </w:p>
        </w:tc>
        <w:tc>
          <w:tcPr>
            <w:tcW w:w="120" w:type="dxa"/>
            <w:vAlign w:val="bottom"/>
            <w:tcBorders>
              <w:right w:val="single" w:sz="8" w:color="CCEEFF"/>
            </w:tcBorders>
            <w:shd w:val="clear" w:color="auto" w:fill="CCEEFF"/>
          </w:tcPr>
          <w:p>
            <w:pPr>
              <w:spacing w:after="0"/>
              <w:rPr>
                <w:sz w:val="17"/>
                <w:szCs w:val="17"/>
                <w:color w:val="auto"/>
              </w:rPr>
            </w:pPr>
          </w:p>
        </w:tc>
        <w:tc>
          <w:tcPr>
            <w:tcW w:w="2920" w:type="dxa"/>
            <w:vAlign w:val="bottom"/>
            <w:gridSpan w:val="27"/>
            <w:shd w:val="clear" w:color="auto" w:fill="CCEEFF"/>
          </w:tcPr>
          <w:p>
            <w:pPr>
              <w:spacing w:after="0" w:line="202" w:lineRule="exact"/>
              <w:rPr>
                <w:rFonts w:ascii="Arial" w:cs="Arial" w:eastAsia="Arial" w:hAnsi="Arial"/>
                <w:sz w:val="18"/>
                <w:szCs w:val="18"/>
                <w:color w:val="0000FF"/>
              </w:rPr>
            </w:pPr>
            <w:hyperlink r:id="rId40">
              <w:r>
                <w:rPr>
                  <w:rFonts w:ascii="Arial" w:cs="Arial" w:eastAsia="Arial" w:hAnsi="Arial"/>
                  <w:sz w:val="18"/>
                  <w:szCs w:val="18"/>
                  <w:color w:val="0000FF"/>
                </w:rPr>
                <w:t>Third Amended and Restated Loan</w:t>
              </w:r>
            </w:hyperlink>
          </w:p>
        </w:tc>
        <w:tc>
          <w:tcPr>
            <w:tcW w:w="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S-1</w:t>
            </w:r>
          </w:p>
        </w:tc>
        <w:tc>
          <w:tcPr>
            <w:tcW w:w="11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1"/>
              </w:rPr>
              <w:t>333-249860</w:t>
            </w:r>
          </w:p>
        </w:tc>
        <w:tc>
          <w:tcPr>
            <w:tcW w:w="1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November 5, 2020</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2600" w:type="dxa"/>
            <w:vAlign w:val="bottom"/>
            <w:tcBorders>
              <w:top w:val="single" w:sz="8" w:color="0000FF"/>
              <w:right w:val="single" w:sz="8" w:color="CCEEFF"/>
            </w:tcBorders>
            <w:gridSpan w:val="13"/>
            <w:shd w:val="clear" w:color="auto" w:fill="CCEEFF"/>
          </w:tcPr>
          <w:p>
            <w:pPr>
              <w:spacing w:after="0" w:line="182"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Sale Agreement, dated January 1,</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2420" w:type="dxa"/>
            <w:vAlign w:val="bottom"/>
            <w:tcBorders>
              <w:top w:val="single" w:sz="8" w:color="0000FF"/>
            </w:tcBorders>
            <w:gridSpan w:val="12"/>
            <w:shd w:val="clear" w:color="auto" w:fill="CCEEFF"/>
          </w:tcPr>
          <w:p>
            <w:pPr>
              <w:spacing w:after="0" w:line="182"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2019, between Upstart Network,</w:t>
              </w:r>
            </w:hyperlink>
          </w:p>
        </w:tc>
        <w:tc>
          <w:tcPr>
            <w:tcW w:w="500" w:type="dxa"/>
            <w:vAlign w:val="bottom"/>
            <w:tcBorders>
              <w:top w:val="single" w:sz="8" w:color="CCEEFF"/>
            </w:tcBorders>
            <w:gridSpan w:val="15"/>
            <w:shd w:val="clear" w:color="auto" w:fill="CCEEFF"/>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Inc.</w:t>
              </w:r>
            </w:hyperlink>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6"/>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920" w:type="dxa"/>
            <w:vAlign w:val="bottom"/>
            <w:gridSpan w:val="27"/>
            <w:shd w:val="clear" w:color="auto" w:fill="CCEEFF"/>
          </w:tcPr>
          <w:p>
            <w:pPr>
              <w:spacing w:after="0" w:line="182"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and Cross River Bank, amended as of</w:t>
              </w:r>
            </w:hyperlink>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80" w:type="dxa"/>
            <w:vAlign w:val="bottom"/>
            <w:tcBorders>
              <w:top w:val="single" w:sz="8" w:color="0000FF"/>
              <w:bottom w:val="single" w:sz="8" w:color="0000FF"/>
            </w:tcBorders>
            <w:gridSpan w:val="6"/>
            <w:shd w:val="clear" w:color="auto" w:fill="CCEEFF"/>
          </w:tcPr>
          <w:p>
            <w:pPr>
              <w:spacing w:after="0" w:line="182"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November 25, 2020.</w:t>
              </w:r>
            </w:hyperlink>
          </w:p>
        </w:tc>
        <w:tc>
          <w:tcPr>
            <w:tcW w:w="1280" w:type="dxa"/>
            <w:vAlign w:val="bottom"/>
            <w:tcBorders>
              <w:top w:val="single" w:sz="8" w:color="0000FF"/>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6"/>
                <w:szCs w:val="16"/>
                <w:color w:val="auto"/>
              </w:rPr>
            </w:pPr>
          </w:p>
        </w:tc>
        <w:tc>
          <w:tcPr>
            <w:tcW w:w="2920" w:type="dxa"/>
            <w:vAlign w:val="bottom"/>
            <w:gridSpan w:val="27"/>
          </w:tcPr>
          <w:p>
            <w:pPr>
              <w:spacing w:after="0" w:line="189" w:lineRule="exact"/>
              <w:rPr>
                <w:rFonts w:ascii="Arial" w:cs="Arial" w:eastAsia="Arial" w:hAnsi="Arial"/>
                <w:sz w:val="18"/>
                <w:szCs w:val="18"/>
                <w:color w:val="0000FF"/>
              </w:rPr>
            </w:pPr>
            <w:hyperlink r:id="rId41">
              <w:r>
                <w:rPr>
                  <w:rFonts w:ascii="Arial" w:cs="Arial" w:eastAsia="Arial" w:hAnsi="Arial"/>
                  <w:sz w:val="18"/>
                  <w:szCs w:val="18"/>
                  <w:color w:val="0000FF"/>
                </w:rPr>
                <w:t>Second Amended and Restated</w:t>
              </w:r>
            </w:hyperlink>
          </w:p>
        </w:tc>
        <w:tc>
          <w:tcPr>
            <w:tcW w:w="9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S-1</w:t>
            </w:r>
          </w:p>
        </w:tc>
        <w:tc>
          <w:tcPr>
            <w:tcW w:w="11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91"/>
              </w:rPr>
              <w:t>333-249860</w:t>
            </w:r>
          </w:p>
        </w:tc>
        <w:tc>
          <w:tcPr>
            <w:tcW w:w="13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10.15</w:t>
            </w:r>
          </w:p>
        </w:tc>
        <w:tc>
          <w:tcPr>
            <w:tcW w:w="100" w:type="dxa"/>
            <w:vAlign w:val="bottom"/>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8"/>
                <w:szCs w:val="18"/>
                <w:color w:val="auto"/>
              </w:rPr>
              <w:t>November 5, 2020</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Borders>
              <w:top w:val="single" w:sz="8" w:color="0000FF"/>
            </w:tcBorders>
            <w:gridSpan w:val="9"/>
          </w:tcPr>
          <w:p>
            <w:pPr>
              <w:spacing w:after="0" w:line="156" w:lineRule="exact"/>
              <w:rPr>
                <w:rFonts w:ascii="Arial" w:cs="Arial" w:eastAsia="Arial" w:hAnsi="Arial"/>
                <w:sz w:val="18"/>
                <w:szCs w:val="18"/>
                <w:color w:val="0000FF"/>
                <w:w w:val="96"/>
              </w:rPr>
            </w:pPr>
            <w:hyperlink r:id="rId41">
              <w:r>
                <w:rPr>
                  <w:rFonts w:ascii="Arial" w:cs="Arial" w:eastAsia="Arial" w:hAnsi="Arial"/>
                  <w:sz w:val="18"/>
                  <w:szCs w:val="18"/>
                  <w:color w:val="0000FF"/>
                  <w:w w:val="96"/>
                </w:rPr>
                <w:t>Promotion Agreement, dated</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November 6, 2020, between</w:t>
              </w:r>
            </w:hyperlink>
          </w:p>
        </w:tc>
        <w:tc>
          <w:tcPr>
            <w:tcW w:w="840" w:type="dxa"/>
            <w:vAlign w:val="bottom"/>
            <w:gridSpan w:val="20"/>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Upstart</w:t>
              </w:r>
            </w:hyperlink>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Network, Inc. and Credit Karma</w:t>
              </w:r>
            </w:hyperlink>
          </w:p>
        </w:tc>
        <w:tc>
          <w:tcPr>
            <w:tcW w:w="100" w:type="dxa"/>
            <w:vAlign w:val="bottom"/>
            <w:gridSpan w:val="5"/>
          </w:tcPr>
          <w:p>
            <w:pPr>
              <w:spacing w:after="0"/>
              <w:rPr>
                <w:sz w:val="13"/>
                <w:szCs w:val="13"/>
                <w:color w:val="auto"/>
              </w:rPr>
            </w:pPr>
          </w:p>
        </w:tc>
        <w:tc>
          <w:tcPr>
            <w:tcW w:w="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Offers, Inc.</w:t>
              </w:r>
            </w:hyperlink>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10.16^</w:t>
            </w:r>
          </w:p>
        </w:tc>
        <w:tc>
          <w:tcPr>
            <w:tcW w:w="120" w:type="dxa"/>
            <w:vAlign w:val="bottom"/>
            <w:tcBorders>
              <w:right w:val="single" w:sz="8" w:color="CCEEFF"/>
            </w:tcBorders>
            <w:shd w:val="clear" w:color="auto" w:fill="CCEEFF"/>
          </w:tcPr>
          <w:p>
            <w:pPr>
              <w:spacing w:after="0"/>
              <w:rPr>
                <w:sz w:val="17"/>
                <w:szCs w:val="17"/>
                <w:color w:val="auto"/>
              </w:rPr>
            </w:pPr>
          </w:p>
        </w:tc>
        <w:tc>
          <w:tcPr>
            <w:tcW w:w="2920" w:type="dxa"/>
            <w:vAlign w:val="bottom"/>
            <w:gridSpan w:val="27"/>
            <w:shd w:val="clear" w:color="auto" w:fill="CCEEFF"/>
          </w:tcPr>
          <w:p>
            <w:pPr>
              <w:spacing w:after="0" w:line="202" w:lineRule="exact"/>
              <w:rPr>
                <w:rFonts w:ascii="Arial" w:cs="Arial" w:eastAsia="Arial" w:hAnsi="Arial"/>
                <w:sz w:val="18"/>
                <w:szCs w:val="18"/>
                <w:color w:val="0000FF"/>
              </w:rPr>
            </w:pPr>
            <w:hyperlink r:id="rId42">
              <w:r>
                <w:rPr>
                  <w:rFonts w:ascii="Arial" w:cs="Arial" w:eastAsia="Arial" w:hAnsi="Arial"/>
                  <w:sz w:val="18"/>
                  <w:szCs w:val="18"/>
                  <w:color w:val="0000FF"/>
                </w:rPr>
                <w:t>Amended and Restated TransUnion</w:t>
              </w:r>
            </w:hyperlink>
          </w:p>
        </w:tc>
        <w:tc>
          <w:tcPr>
            <w:tcW w:w="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S-1/A</w:t>
            </w:r>
          </w:p>
        </w:tc>
        <w:tc>
          <w:tcPr>
            <w:tcW w:w="11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1"/>
              </w:rPr>
              <w:t>333-249860</w:t>
            </w:r>
          </w:p>
        </w:tc>
        <w:tc>
          <w:tcPr>
            <w:tcW w:w="1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December 7, 2020</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2600" w:type="dxa"/>
            <w:vAlign w:val="bottom"/>
            <w:tcBorders>
              <w:top w:val="single" w:sz="8" w:color="0000FF"/>
              <w:right w:val="single" w:sz="8" w:color="CCEEFF"/>
            </w:tcBorders>
            <w:gridSpan w:val="13"/>
            <w:shd w:val="clear" w:color="auto" w:fill="CCEEFF"/>
          </w:tcPr>
          <w:p>
            <w:pPr>
              <w:spacing w:after="0" w:line="182"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Master Agreement for Consumer</w:t>
              </w:r>
            </w:hyperlink>
          </w:p>
        </w:tc>
        <w:tc>
          <w:tcPr>
            <w:tcW w:w="100" w:type="dxa"/>
            <w:vAlign w:val="bottom"/>
            <w:tcBorders>
              <w:top w:val="single" w:sz="8" w:color="CCEEFF"/>
            </w:tcBorders>
            <w:gridSpan w:val="5"/>
            <w:shd w:val="clear" w:color="auto" w:fill="CCEEFF"/>
          </w:tcPr>
          <w:p>
            <w:pPr>
              <w:spacing w:after="0"/>
              <w:rPr>
                <w:sz w:val="15"/>
                <w:szCs w:val="15"/>
                <w:color w:val="auto"/>
              </w:rPr>
            </w:pPr>
          </w:p>
        </w:tc>
        <w:tc>
          <w:tcPr>
            <w:tcW w:w="80" w:type="dxa"/>
            <w:vAlign w:val="bottom"/>
            <w:tcBorders>
              <w:top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380" w:type="dxa"/>
            <w:vAlign w:val="bottom"/>
            <w:tcBorders>
              <w:top w:val="single" w:sz="8" w:color="0000FF"/>
              <w:bottom w:val="single" w:sz="8" w:color="0000FF"/>
            </w:tcBorders>
            <w:gridSpan w:val="11"/>
            <w:shd w:val="clear" w:color="auto" w:fill="CCEEFF"/>
          </w:tcPr>
          <w:p>
            <w:pPr>
              <w:spacing w:after="0" w:line="182"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Reporting and Ancillary Services,</w:t>
              </w:r>
            </w:hyperlink>
          </w:p>
        </w:tc>
        <w:tc>
          <w:tcPr>
            <w:tcW w:w="220" w:type="dxa"/>
            <w:vAlign w:val="bottom"/>
            <w:tcBorders>
              <w:top w:val="single" w:sz="8" w:color="CCEEFF"/>
              <w:bottom w:val="single" w:sz="8" w:color="0000FF"/>
              <w:right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600" w:type="dxa"/>
            <w:vAlign w:val="bottom"/>
            <w:tcBorders>
              <w:bottom w:val="single" w:sz="8" w:color="0000FF"/>
              <w:right w:val="single" w:sz="8" w:color="CCEEFF"/>
            </w:tcBorders>
            <w:gridSpan w:val="13"/>
            <w:shd w:val="clear" w:color="auto" w:fill="CCEEFF"/>
          </w:tcPr>
          <w:p>
            <w:pPr>
              <w:spacing w:after="0" w:line="182"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dated November 25, 2020, between</w:t>
              </w:r>
            </w:hyperlink>
          </w:p>
        </w:tc>
        <w:tc>
          <w:tcPr>
            <w:tcW w:w="100" w:type="dxa"/>
            <w:vAlign w:val="bottom"/>
            <w:tcBorders>
              <w:bottom w:val="single" w:sz="8" w:color="CCEEFF"/>
            </w:tcBorders>
            <w:gridSpan w:val="5"/>
            <w:shd w:val="clear" w:color="auto" w:fill="CCEEFF"/>
          </w:tcPr>
          <w:p>
            <w:pPr>
              <w:spacing w:after="0"/>
              <w:rPr>
                <w:sz w:val="15"/>
                <w:szCs w:val="15"/>
                <w:color w:val="auto"/>
              </w:rPr>
            </w:pPr>
          </w:p>
        </w:tc>
        <w:tc>
          <w:tcPr>
            <w:tcW w:w="80" w:type="dxa"/>
            <w:vAlign w:val="bottom"/>
            <w:tcBorders>
              <w:bottom w:val="single" w:sz="8" w:color="CCEEFF"/>
            </w:tcBorders>
            <w:gridSpan w:val="6"/>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920" w:type="dxa"/>
            <w:vAlign w:val="bottom"/>
            <w:gridSpan w:val="27"/>
            <w:shd w:val="clear" w:color="auto" w:fill="CCEEFF"/>
          </w:tcPr>
          <w:p>
            <w:pPr>
              <w:spacing w:after="0" w:line="182" w:lineRule="exact"/>
              <w:rPr>
                <w:rFonts w:ascii="Arial" w:cs="Arial" w:eastAsia="Arial" w:hAnsi="Arial"/>
                <w:sz w:val="18"/>
                <w:szCs w:val="18"/>
                <w:color w:val="0000FF"/>
                <w:w w:val="96"/>
              </w:rPr>
            </w:pPr>
            <w:hyperlink r:id="rId42">
              <w:r>
                <w:rPr>
                  <w:rFonts w:ascii="Arial" w:cs="Arial" w:eastAsia="Arial" w:hAnsi="Arial"/>
                  <w:sz w:val="18"/>
                  <w:szCs w:val="18"/>
                  <w:color w:val="0000FF"/>
                  <w:w w:val="96"/>
                </w:rPr>
                <w:t>Upstart Network, Inc. and TransUnion</w:t>
              </w:r>
            </w:hyperlink>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2780" w:type="dxa"/>
            <w:vAlign w:val="bottom"/>
            <w:tcBorders>
              <w:top w:val="single" w:sz="8" w:color="0000FF"/>
            </w:tcBorders>
            <w:gridSpan w:val="24"/>
            <w:shd w:val="clear" w:color="auto" w:fill="CCEEFF"/>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LLC.</w:t>
              </w:r>
            </w:hyperlink>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7"/>
                <w:szCs w:val="17"/>
                <w:color w:val="auto"/>
              </w:rPr>
            </w:pPr>
          </w:p>
        </w:tc>
        <w:tc>
          <w:tcPr>
            <w:tcW w:w="2700" w:type="dxa"/>
            <w:vAlign w:val="bottom"/>
            <w:tcBorders>
              <w:bottom w:val="single" w:sz="8" w:color="0000FF"/>
            </w:tcBorders>
            <w:gridSpan w:val="18"/>
          </w:tcPr>
          <w:p>
            <w:pPr>
              <w:spacing w:after="0" w:line="202"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Amended and Restated Billing Agent</w:t>
              </w:r>
            </w:hyperlink>
          </w:p>
        </w:tc>
        <w:tc>
          <w:tcPr>
            <w:tcW w:w="220" w:type="dxa"/>
            <w:vAlign w:val="bottom"/>
            <w:gridSpan w:val="9"/>
          </w:tcPr>
          <w:p>
            <w:pPr>
              <w:spacing w:after="0"/>
              <w:rPr>
                <w:sz w:val="17"/>
                <w:szCs w:val="17"/>
                <w:color w:val="auto"/>
              </w:rPr>
            </w:pPr>
          </w:p>
        </w:tc>
        <w:tc>
          <w:tcPr>
            <w:tcW w:w="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S-1/A</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1"/>
              </w:rPr>
              <w:t>333-249860</w:t>
            </w:r>
          </w:p>
        </w:tc>
        <w:tc>
          <w:tcPr>
            <w:tcW w:w="1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10.17</w:t>
            </w:r>
          </w:p>
        </w:tc>
        <w:tc>
          <w:tcPr>
            <w:tcW w:w="10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December 7, 2020</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27"/>
          </w:tcPr>
          <w:p>
            <w:pPr>
              <w:spacing w:after="0" w:line="182"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Agreement, dated November 25, 2020,</w:t>
              </w:r>
            </w:hyperlink>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between Upstart Network, Inc. and</w:t>
              </w:r>
            </w:hyperlink>
          </w:p>
        </w:tc>
        <w:tc>
          <w:tcPr>
            <w:tcW w:w="12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Trans Union LLC.</w:t>
              </w:r>
            </w:hyperlink>
          </w:p>
        </w:tc>
        <w:tc>
          <w:tcPr>
            <w:tcW w:w="320" w:type="dxa"/>
            <w:vAlign w:val="bottom"/>
            <w:gridSpan w:val="14"/>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2600" w:type="dxa"/>
            <w:vAlign w:val="bottom"/>
            <w:tcBorders>
              <w:bottom w:val="single" w:sz="8" w:color="0000FF"/>
              <w:right w:val="single" w:sz="8" w:color="CCEEFF"/>
            </w:tcBorders>
            <w:gridSpan w:val="13"/>
            <w:shd w:val="clear" w:color="auto" w:fill="CCEEFF"/>
          </w:tcPr>
          <w:p>
            <w:pPr>
              <w:spacing w:after="0" w:line="202"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List of subsidiaries of the registrant.</w:t>
              </w:r>
            </w:hyperlink>
          </w:p>
        </w:tc>
        <w:tc>
          <w:tcPr>
            <w:tcW w:w="320" w:type="dxa"/>
            <w:vAlign w:val="bottom"/>
            <w:tcBorders>
              <w:bottom w:val="single" w:sz="8" w:color="CCEEFF"/>
            </w:tcBorders>
            <w:gridSpan w:val="14"/>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S-1/A</w:t>
            </w:r>
          </w:p>
        </w:tc>
        <w:tc>
          <w:tcPr>
            <w:tcW w:w="1160" w:type="dxa"/>
            <w:vAlign w:val="bottom"/>
            <w:tcBorders>
              <w:bottom w:val="single" w:sz="8" w:color="CCEEFF"/>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1"/>
              </w:rPr>
              <w:t>333-249860</w:t>
            </w:r>
          </w:p>
        </w:tc>
        <w:tc>
          <w:tcPr>
            <w:tcW w:w="1380" w:type="dxa"/>
            <w:vAlign w:val="bottom"/>
            <w:tcBorders>
              <w:bottom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December 4, 2020</w:t>
            </w: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5"/>
                <w:szCs w:val="15"/>
                <w:color w:val="auto"/>
              </w:rPr>
            </w:pPr>
          </w:p>
        </w:tc>
        <w:tc>
          <w:tcPr>
            <w:tcW w:w="2920" w:type="dxa"/>
            <w:vAlign w:val="bottom"/>
            <w:gridSpan w:val="27"/>
          </w:tcPr>
          <w:p>
            <w:pPr>
              <w:spacing w:after="0" w:line="176" w:lineRule="exact"/>
              <w:rPr>
                <w:sz w:val="20"/>
                <w:szCs w:val="20"/>
                <w:color w:val="auto"/>
              </w:rPr>
            </w:pPr>
            <w:r>
              <w:rPr>
                <w:rFonts w:ascii="Arial" w:cs="Arial" w:eastAsia="Arial" w:hAnsi="Arial"/>
                <w:sz w:val="18"/>
                <w:szCs w:val="18"/>
                <w:color w:val="auto"/>
              </w:rPr>
              <w:t>Power of Attorney (included in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7"/>
          </w:tcPr>
          <w:p>
            <w:pPr>
              <w:spacing w:after="0"/>
              <w:rPr>
                <w:sz w:val="20"/>
                <w:szCs w:val="20"/>
                <w:color w:val="auto"/>
              </w:rPr>
            </w:pPr>
            <w:r>
              <w:rPr>
                <w:rFonts w:ascii="Arial" w:cs="Arial" w:eastAsia="Arial" w:hAnsi="Arial"/>
                <w:sz w:val="18"/>
                <w:szCs w:val="18"/>
                <w:color w:val="auto"/>
              </w:rPr>
              <w:t>signature pages hereto)</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Incorporated by Reference</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280" w:type="dxa"/>
            <w:vAlign w:val="bottom"/>
          </w:tcPr>
          <w:p>
            <w:pPr>
              <w:jc w:val="center"/>
              <w:ind w:right="530"/>
              <w:spacing w:after="0" w:line="162" w:lineRule="exact"/>
              <w:rPr>
                <w:sz w:val="20"/>
                <w:szCs w:val="20"/>
                <w:color w:val="auto"/>
              </w:rPr>
            </w:pPr>
            <w:r>
              <w:rPr>
                <w:rFonts w:ascii="Arial" w:cs="Arial" w:eastAsia="Arial" w:hAnsi="Arial"/>
                <w:sz w:val="18"/>
                <w:szCs w:val="18"/>
                <w:b w:val="1"/>
                <w:bCs w:val="1"/>
                <w:color w:val="auto"/>
                <w:w w:val="96"/>
              </w:rPr>
              <w:t>Exhibit</w:t>
            </w:r>
          </w:p>
        </w:tc>
        <w:tc>
          <w:tcPr>
            <w:tcW w:w="218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Description</w:t>
            </w:r>
          </w:p>
        </w:tc>
        <w:tc>
          <w:tcPr>
            <w:tcW w:w="138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Form</w:t>
            </w:r>
          </w:p>
        </w:tc>
        <w:tc>
          <w:tcPr>
            <w:tcW w:w="114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File No.</w:t>
            </w:r>
          </w:p>
        </w:tc>
        <w:tc>
          <w:tcPr>
            <w:tcW w:w="162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Exhibit</w:t>
            </w:r>
          </w:p>
        </w:tc>
        <w:tc>
          <w:tcPr>
            <w:tcW w:w="17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Filing Date</w:t>
            </w:r>
          </w:p>
        </w:tc>
        <w:tc>
          <w:tcPr>
            <w:tcW w:w="1180" w:type="dxa"/>
            <w:vAlign w:val="bottom"/>
          </w:tcPr>
          <w:p>
            <w:pPr>
              <w:jc w:val="center"/>
              <w:ind w:left="350"/>
              <w:spacing w:after="0" w:line="162"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Number</w:t>
            </w:r>
          </w:p>
        </w:tc>
        <w:tc>
          <w:tcPr>
            <w:tcW w:w="21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118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212529"/>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w:anchor="page179">
        <w:r>
          <w:rPr>
            <w:rFonts w:ascii="Arial" w:cs="Arial" w:eastAsia="Arial" w:hAnsi="Arial"/>
            <w:sz w:val="18"/>
            <w:szCs w:val="18"/>
            <w:u w:val="single" w:color="auto"/>
            <w:color w:val="0000FF"/>
          </w:rPr>
          <w:t>Certification of Principal Executive</w:t>
        </w:r>
      </w:hyperlink>
    </w:p>
    <w:p>
      <w:pPr>
        <w:spacing w:after="0" w:line="7" w:lineRule="exact"/>
        <w:rPr>
          <w:sz w:val="20"/>
          <w:szCs w:val="20"/>
          <w:color w:val="auto"/>
        </w:rPr>
      </w:pPr>
    </w:p>
    <w:p>
      <w:pPr>
        <w:spacing w:after="0"/>
        <w:rPr>
          <w:rFonts w:ascii="Arial" w:cs="Arial" w:eastAsia="Arial" w:hAnsi="Arial"/>
          <w:sz w:val="18"/>
          <w:szCs w:val="18"/>
          <w:u w:val="single" w:color="auto"/>
          <w:color w:val="0000FF"/>
        </w:rPr>
      </w:pPr>
      <w:hyperlink w:anchor="page179">
        <w:r>
          <w:rPr>
            <w:rFonts w:ascii="Arial" w:cs="Arial" w:eastAsia="Arial" w:hAnsi="Arial"/>
            <w:sz w:val="18"/>
            <w:szCs w:val="18"/>
            <w:u w:val="single" w:color="auto"/>
            <w:color w:val="0000FF"/>
          </w:rPr>
          <w:t>Officer pursuant to Exchange Act</w:t>
        </w:r>
      </w:hyperlink>
    </w:p>
    <w:p>
      <w:pPr>
        <w:spacing w:after="0" w:line="234" w:lineRule="auto"/>
        <w:rPr>
          <w:rFonts w:ascii="Arial" w:cs="Arial" w:eastAsia="Arial" w:hAnsi="Arial"/>
          <w:sz w:val="18"/>
          <w:szCs w:val="18"/>
          <w:u w:val="single" w:color="auto"/>
          <w:color w:val="0000FF"/>
        </w:rPr>
      </w:pPr>
      <w:hyperlink w:anchor="page179">
        <w:r>
          <w:rPr>
            <w:rFonts w:ascii="Arial" w:cs="Arial" w:eastAsia="Arial" w:hAnsi="Arial"/>
            <w:sz w:val="18"/>
            <w:szCs w:val="18"/>
            <w:u w:val="single" w:color="auto"/>
            <w:color w:val="0000FF"/>
          </w:rPr>
          <w:t>Rules 13a-14(a) and 15d-14(a), as</w:t>
        </w:r>
      </w:hyperlink>
    </w:p>
    <w:p>
      <w:pPr>
        <w:spacing w:after="0" w:line="1" w:lineRule="exact"/>
        <w:rPr>
          <w:sz w:val="20"/>
          <w:szCs w:val="20"/>
          <w:color w:val="auto"/>
        </w:rPr>
      </w:pPr>
    </w:p>
    <w:p>
      <w:pPr>
        <w:spacing w:after="0"/>
        <w:rPr>
          <w:rFonts w:ascii="Arial" w:cs="Arial" w:eastAsia="Arial" w:hAnsi="Arial"/>
          <w:sz w:val="16"/>
          <w:szCs w:val="16"/>
          <w:u w:val="single" w:color="auto"/>
          <w:color w:val="0000FF"/>
        </w:rPr>
      </w:pPr>
      <w:hyperlink w:anchor="page179">
        <w:r>
          <w:rPr>
            <w:rFonts w:ascii="Arial" w:cs="Arial" w:eastAsia="Arial" w:hAnsi="Arial"/>
            <w:sz w:val="16"/>
            <w:szCs w:val="16"/>
            <w:u w:val="single" w:color="auto"/>
            <w:color w:val="0000FF"/>
          </w:rPr>
          <w:t>adopted pursuant to Section 302 of the</w:t>
        </w:r>
      </w:hyperlink>
    </w:p>
    <w:p>
      <w:pPr>
        <w:spacing w:after="0" w:line="19" w:lineRule="exact"/>
        <w:rPr>
          <w:sz w:val="20"/>
          <w:szCs w:val="20"/>
          <w:color w:val="auto"/>
        </w:rPr>
      </w:pPr>
    </w:p>
    <w:p>
      <w:pPr>
        <w:spacing w:after="0"/>
        <w:rPr>
          <w:rFonts w:ascii="Arial" w:cs="Arial" w:eastAsia="Arial" w:hAnsi="Arial"/>
          <w:sz w:val="18"/>
          <w:szCs w:val="18"/>
          <w:u w:val="single" w:color="auto"/>
          <w:color w:val="0000FF"/>
        </w:rPr>
      </w:pPr>
      <w:hyperlink w:anchor="page179">
        <w:r>
          <w:rPr>
            <w:rFonts w:ascii="Arial" w:cs="Arial" w:eastAsia="Arial" w:hAnsi="Arial"/>
            <w:sz w:val="18"/>
            <w:szCs w:val="18"/>
            <w:u w:val="single" w:color="auto"/>
            <w:color w:val="0000FF"/>
          </w:rPr>
          <w:t>Sarbanes-Oxley Act of 2002.</w:t>
        </w:r>
      </w:hyperlink>
    </w:p>
    <w:p>
      <w:pPr>
        <w:spacing w:after="0" w:line="34" w:lineRule="exact"/>
        <w:rPr>
          <w:sz w:val="20"/>
          <w:szCs w:val="20"/>
          <w:color w:val="auto"/>
        </w:rPr>
      </w:pPr>
    </w:p>
    <w:p>
      <w:pPr>
        <w:spacing w:after="0"/>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Certification of Principal Financial</w:t>
        </w:r>
      </w:hyperlink>
    </w:p>
    <w:p>
      <w:pPr>
        <w:spacing w:after="0" w:line="7" w:lineRule="exact"/>
        <w:rPr>
          <w:sz w:val="20"/>
          <w:szCs w:val="20"/>
          <w:color w:val="auto"/>
        </w:rPr>
      </w:pPr>
    </w:p>
    <w:p>
      <w:pPr>
        <w:spacing w:after="0"/>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Officer pursuant to Exchange Act</w:t>
        </w:r>
      </w:hyperlink>
    </w:p>
    <w:p>
      <w:pPr>
        <w:spacing w:after="0" w:line="234" w:lineRule="auto"/>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Rules 13a-14(a) and 15d-14(a), as</w:t>
        </w:r>
      </w:hyperlink>
    </w:p>
    <w:p>
      <w:pPr>
        <w:spacing w:after="0" w:line="1" w:lineRule="exact"/>
        <w:rPr>
          <w:sz w:val="20"/>
          <w:szCs w:val="20"/>
          <w:color w:val="auto"/>
        </w:rPr>
      </w:pPr>
    </w:p>
    <w:p>
      <w:pPr>
        <w:spacing w:after="0"/>
        <w:rPr>
          <w:rFonts w:ascii="Arial" w:cs="Arial" w:eastAsia="Arial" w:hAnsi="Arial"/>
          <w:sz w:val="16"/>
          <w:szCs w:val="16"/>
          <w:u w:val="single" w:color="auto"/>
          <w:color w:val="0000FF"/>
        </w:rPr>
      </w:pPr>
      <w:hyperlink w:anchor="page180">
        <w:r>
          <w:rPr>
            <w:rFonts w:ascii="Arial" w:cs="Arial" w:eastAsia="Arial" w:hAnsi="Arial"/>
            <w:sz w:val="16"/>
            <w:szCs w:val="16"/>
            <w:u w:val="single" w:color="auto"/>
            <w:color w:val="0000FF"/>
          </w:rPr>
          <w:t>adopted pursuant to Section 302 of the</w:t>
        </w:r>
      </w:hyperlink>
    </w:p>
    <w:p>
      <w:pPr>
        <w:spacing w:after="0" w:line="19" w:lineRule="exact"/>
        <w:rPr>
          <w:sz w:val="20"/>
          <w:szCs w:val="20"/>
          <w:color w:val="auto"/>
        </w:rPr>
      </w:pPr>
    </w:p>
    <w:p>
      <w:pPr>
        <w:spacing w:after="0"/>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Sarbanes-Oxley Act of 2002.</w:t>
        </w:r>
      </w:hyperlink>
    </w:p>
    <w:p>
      <w:pPr>
        <w:spacing w:after="0" w:line="16" w:lineRule="exact"/>
        <w:rPr>
          <w:sz w:val="20"/>
          <w:szCs w:val="20"/>
          <w:color w:val="auto"/>
        </w:rPr>
      </w:pPr>
    </w:p>
    <w:p>
      <w:pPr>
        <w:spacing w:after="0"/>
        <w:rPr>
          <w:rFonts w:ascii="Arial" w:cs="Arial" w:eastAsia="Arial" w:hAnsi="Arial"/>
          <w:sz w:val="17"/>
          <w:szCs w:val="17"/>
          <w:u w:val="single" w:color="auto"/>
          <w:color w:val="0000FF"/>
        </w:rPr>
      </w:pPr>
      <w:hyperlink w:anchor="page181">
        <w:r>
          <w:rPr>
            <w:rFonts w:ascii="Arial" w:cs="Arial" w:eastAsia="Arial" w:hAnsi="Arial"/>
            <w:sz w:val="17"/>
            <w:szCs w:val="17"/>
            <w:u w:val="single" w:color="auto"/>
            <w:color w:val="0000FF"/>
          </w:rPr>
          <w:t>Certifications of Principal Executive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-120650</wp:posOffset>
            </wp:positionV>
            <wp:extent cx="7132320"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228" w:lineRule="auto"/>
        <w:rPr>
          <w:rFonts w:ascii="Arial" w:cs="Arial" w:eastAsia="Arial" w:hAnsi="Arial"/>
          <w:sz w:val="16"/>
          <w:szCs w:val="16"/>
          <w:u w:val="single" w:color="auto"/>
          <w:color w:val="0000FF"/>
        </w:rPr>
      </w:pPr>
      <w:hyperlink w:anchor="page181">
        <w:r>
          <w:rPr>
            <w:rFonts w:ascii="Arial" w:cs="Arial" w:eastAsia="Arial" w:hAnsi="Arial"/>
            <w:sz w:val="16"/>
            <w:szCs w:val="16"/>
            <w:u w:val="single" w:color="auto"/>
            <w:color w:val="0000FF"/>
          </w:rPr>
          <w:t>Officer and Principal Financial Officer</w:t>
        </w:r>
      </w:hyperlink>
    </w:p>
    <w:p>
      <w:pPr>
        <w:spacing w:after="0" w:line="229" w:lineRule="auto"/>
        <w:rPr>
          <w:rFonts w:ascii="Arial" w:cs="Arial" w:eastAsia="Arial" w:hAnsi="Arial"/>
          <w:sz w:val="16"/>
          <w:szCs w:val="16"/>
          <w:u w:val="single" w:color="auto"/>
          <w:color w:val="0000FF"/>
        </w:rPr>
      </w:pPr>
      <w:hyperlink w:anchor="page181">
        <w:r>
          <w:rPr>
            <w:rFonts w:ascii="Arial" w:cs="Arial" w:eastAsia="Arial" w:hAnsi="Arial"/>
            <w:sz w:val="16"/>
            <w:szCs w:val="16"/>
            <w:u w:val="single" w:color="auto"/>
            <w:color w:val="0000FF"/>
          </w:rPr>
          <w:t>pursuant to 18 U.S.C. Section 1350 as</w:t>
        </w:r>
      </w:hyperlink>
    </w:p>
    <w:p>
      <w:pPr>
        <w:spacing w:after="0" w:line="229" w:lineRule="auto"/>
        <w:rPr>
          <w:rFonts w:ascii="Arial" w:cs="Arial" w:eastAsia="Arial" w:hAnsi="Arial"/>
          <w:sz w:val="16"/>
          <w:szCs w:val="16"/>
          <w:u w:val="single" w:color="auto"/>
          <w:color w:val="0000FF"/>
        </w:rPr>
      </w:pPr>
      <w:hyperlink w:anchor="page181">
        <w:r>
          <w:rPr>
            <w:rFonts w:ascii="Arial" w:cs="Arial" w:eastAsia="Arial" w:hAnsi="Arial"/>
            <w:sz w:val="16"/>
            <w:szCs w:val="16"/>
            <w:u w:val="single" w:color="auto"/>
            <w:color w:val="0000FF"/>
          </w:rPr>
          <w:t>adopted pursuant to Section 906 of the</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w:anchor="page181">
        <w:r>
          <w:rPr>
            <w:rFonts w:ascii="Arial" w:cs="Arial" w:eastAsia="Arial" w:hAnsi="Arial"/>
            <w:sz w:val="18"/>
            <w:szCs w:val="18"/>
            <w:u w:val="single" w:color="auto"/>
            <w:color w:val="0000FF"/>
          </w:rPr>
          <w:t>Sarbanes-Oxley Act of 2002.</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049" w:lineRule="exact"/>
        <w:rPr>
          <w:sz w:val="20"/>
          <w:szCs w:val="20"/>
          <w:color w:val="auto"/>
        </w:rPr>
      </w:pPr>
    </w:p>
    <w:p>
      <w:pPr>
        <w:sectPr>
          <w:pgSz w:w="11900" w:h="16838" w:orient="portrait"/>
          <w:cols w:equalWidth="0" w:num="3">
            <w:col w:w="900" w:space="260"/>
            <w:col w:w="8460" w:space="720"/>
            <w:col w:w="540"/>
          </w:cols>
          <w:pgMar w:left="320" w:top="1440" w:right="699" w:bottom="1440" w:gutter="0" w:footer="0" w:header="0"/>
          <w:type w:val="continuous"/>
        </w:sectPr>
      </w:pPr>
    </w:p>
    <w:p>
      <w:pPr>
        <w:ind w:left="280" w:hanging="272"/>
        <w:spacing w:after="0"/>
        <w:tabs>
          <w:tab w:leader="none" w:pos="280" w:val="left"/>
        </w:tabs>
        <w:numPr>
          <w:ilvl w:val="0"/>
          <w:numId w:val="60"/>
        </w:numPr>
        <w:rPr>
          <w:rFonts w:ascii="Arial" w:cs="Arial" w:eastAsia="Arial" w:hAnsi="Arial"/>
          <w:sz w:val="18"/>
          <w:szCs w:val="18"/>
          <w:color w:val="212529"/>
        </w:rPr>
      </w:pPr>
      <w:r>
        <w:rPr>
          <w:rFonts w:ascii="Arial" w:cs="Arial" w:eastAsia="Arial" w:hAnsi="Arial"/>
          <w:sz w:val="18"/>
          <w:szCs w:val="18"/>
          <w:color w:val="212529"/>
        </w:rPr>
        <w:t>Indicates management contract or compensatory plan.</w:t>
      </w:r>
    </w:p>
    <w:p>
      <w:pPr>
        <w:spacing w:after="0" w:line="9" w:lineRule="exact"/>
        <w:rPr>
          <w:sz w:val="20"/>
          <w:szCs w:val="20"/>
          <w:color w:val="auto"/>
        </w:rPr>
      </w:pPr>
    </w:p>
    <w:p>
      <w:pPr>
        <w:ind w:left="660" w:hanging="652"/>
        <w:spacing w:after="0" w:line="260" w:lineRule="auto"/>
        <w:tabs>
          <w:tab w:leader="none" w:pos="276" w:val="left"/>
        </w:tabs>
        <w:numPr>
          <w:ilvl w:val="0"/>
          <w:numId w:val="61"/>
        </w:numPr>
        <w:rPr>
          <w:rFonts w:ascii="Arial" w:cs="Arial" w:eastAsia="Arial" w:hAnsi="Arial"/>
          <w:sz w:val="18"/>
          <w:szCs w:val="18"/>
          <w:color w:val="212529"/>
        </w:rPr>
      </w:pPr>
      <w:r>
        <w:rPr>
          <w:rFonts w:ascii="Arial" w:cs="Arial" w:eastAsia="Arial" w:hAnsi="Arial"/>
          <w:sz w:val="18"/>
          <w:szCs w:val="18"/>
          <w:color w:val="auto"/>
        </w:rPr>
        <w:t>Portions of this exhibit (indicated by asterisk) have been excluded because such information is both (i) not material and (ii) would be competitively harmful if publicly disclosed.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880"/>
          </w:cols>
          <w:pgMar w:left="320" w:top="1440" w:right="699" w:bottom="1440" w:gutter="0" w:footer="0" w:header="0"/>
          <w:type w:val="continuous"/>
        </w:sectPr>
      </w:pPr>
    </w:p>
    <w:bookmarkStart w:id="169" w:name="page170"/>
    <w:bookmarkEnd w:id="169"/>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March 18, 2021</w:t>
      </w:r>
    </w:p>
    <w:p>
      <w:pPr>
        <w:spacing w:after="0" w:line="266"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Upstart Holdings, Inc</w:t>
      </w:r>
    </w:p>
    <w:p>
      <w:pPr>
        <w:spacing w:after="0" w:line="283" w:lineRule="exact"/>
        <w:rPr>
          <w:sz w:val="20"/>
          <w:szCs w:val="20"/>
          <w:color w:val="auto"/>
        </w:rPr>
      </w:pPr>
    </w:p>
    <w:p>
      <w:pPr>
        <w:ind w:left="5920"/>
        <w:spacing w:after="0"/>
        <w:tabs>
          <w:tab w:leader="none" w:pos="6420" w:val="left"/>
        </w:tabs>
        <w:rPr>
          <w:sz w:val="20"/>
          <w:szCs w:val="20"/>
          <w:color w:val="auto"/>
        </w:rPr>
      </w:pPr>
      <w:r>
        <w:rPr>
          <w:rFonts w:ascii="Arial" w:cs="Arial" w:eastAsia="Arial" w:hAnsi="Arial"/>
          <w:sz w:val="18"/>
          <w:szCs w:val="18"/>
          <w:color w:val="auto"/>
        </w:rPr>
        <w:t>By:</w:t>
        <w:tab/>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Dave Girouard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Dave Girouard, Sanjay Datta and Alison Nicoll,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by the following persons on behalf of the registrant and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040" w:type="dxa"/>
            <w:vAlign w:val="bottom"/>
            <w:gridSpan w:val="3"/>
          </w:tcPr>
          <w:p>
            <w:pPr>
              <w:ind w:left="1980"/>
              <w:spacing w:after="0"/>
              <w:rPr>
                <w:sz w:val="20"/>
                <w:szCs w:val="20"/>
                <w:color w:val="auto"/>
              </w:rPr>
            </w:pPr>
            <w:r>
              <w:rPr>
                <w:rFonts w:ascii="Arial" w:cs="Arial" w:eastAsia="Arial" w:hAnsi="Arial"/>
                <w:sz w:val="18"/>
                <w:szCs w:val="18"/>
                <w:b w:val="1"/>
                <w:bCs w:val="1"/>
                <w:color w:val="auto"/>
              </w:rPr>
              <w:t>Title</w:t>
            </w:r>
          </w:p>
        </w:tc>
        <w:tc>
          <w:tcPr>
            <w:tcW w:w="3480" w:type="dxa"/>
            <w:vAlign w:val="bottom"/>
            <w:gridSpan w:val="3"/>
          </w:tcPr>
          <w:p>
            <w:pPr>
              <w:ind w:left="1700"/>
              <w:spacing w:after="0"/>
              <w:rPr>
                <w:sz w:val="20"/>
                <w:szCs w:val="20"/>
                <w:color w:val="auto"/>
              </w:rPr>
            </w:pPr>
            <w:r>
              <w:rPr>
                <w:rFonts w:ascii="Arial" w:cs="Arial" w:eastAsia="Arial" w:hAnsi="Arial"/>
                <w:sz w:val="18"/>
                <w:szCs w:val="18"/>
                <w:b w:val="1"/>
                <w:bCs w:val="1"/>
                <w:color w:val="auto"/>
              </w:rPr>
              <w:t>Date</w:t>
            </w:r>
          </w:p>
        </w:tc>
      </w:tr>
      <w:tr>
        <w:trPr>
          <w:trHeight w:val="466"/>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Dave Girouard</w:t>
            </w:r>
          </w:p>
        </w:tc>
        <w:tc>
          <w:tcPr>
            <w:tcW w:w="740" w:type="dxa"/>
            <w:vAlign w:val="bottom"/>
            <w:tcBorders>
              <w:top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36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20" w:type="dxa"/>
            <w:vAlign w:val="bottom"/>
          </w:tcPr>
          <w:p>
            <w:pPr>
              <w:ind w:left="2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Dave Girouard</w:t>
            </w:r>
          </w:p>
        </w:tc>
        <w:tc>
          <w:tcPr>
            <w:tcW w:w="4040" w:type="dxa"/>
            <w:vAlign w:val="bottom"/>
            <w:gridSpan w:val="3"/>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701"/>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Sanjay Datta</w:t>
            </w:r>
          </w:p>
        </w:tc>
        <w:tc>
          <w:tcPr>
            <w:tcW w:w="404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2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Sanjay Datta</w:t>
            </w:r>
          </w:p>
        </w:tc>
        <w:tc>
          <w:tcPr>
            <w:tcW w:w="4040" w:type="dxa"/>
            <w:vAlign w:val="bottom"/>
            <w:gridSpan w:val="3"/>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71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Natalia Mirgorodskaya</w:t>
            </w:r>
          </w:p>
        </w:tc>
        <w:tc>
          <w:tcPr>
            <w:tcW w:w="4040" w:type="dxa"/>
            <w:vAlign w:val="bottom"/>
            <w:gridSpan w:val="3"/>
          </w:tcPr>
          <w:p>
            <w:pPr>
              <w:ind w:left="20"/>
              <w:spacing w:after="0"/>
              <w:rPr>
                <w:sz w:val="20"/>
                <w:szCs w:val="20"/>
                <w:color w:val="auto"/>
              </w:rPr>
            </w:pPr>
            <w:r>
              <w:rPr>
                <w:rFonts w:ascii="Arial" w:cs="Arial" w:eastAsia="Arial" w:hAnsi="Arial"/>
                <w:sz w:val="18"/>
                <w:szCs w:val="18"/>
                <w:color w:val="auto"/>
              </w:rPr>
              <w:t>Corporate Controller</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2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Natalia Mirgorodskaya</w:t>
            </w:r>
          </w:p>
        </w:tc>
        <w:tc>
          <w:tcPr>
            <w:tcW w:w="4040" w:type="dxa"/>
            <w:vAlign w:val="bottom"/>
            <w:gridSpan w:val="3"/>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71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Paul Gu</w:t>
            </w:r>
          </w:p>
        </w:tc>
        <w:tc>
          <w:tcPr>
            <w:tcW w:w="40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2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Paul Gu</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71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Mary Hentges</w:t>
            </w:r>
          </w:p>
        </w:tc>
        <w:tc>
          <w:tcPr>
            <w:tcW w:w="40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2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Mary Hentges</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71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Oskar Mielczarek de la Miel</w:t>
            </w:r>
          </w:p>
        </w:tc>
        <w:tc>
          <w:tcPr>
            <w:tcW w:w="40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2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Oskar Mielczarek de la Miel</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40"/>
          </w:cols>
          <w:pgMar w:left="320" w:top="1440" w:right="339" w:bottom="1440" w:gutter="0" w:footer="0" w:header="0"/>
          <w:type w:val="continuous"/>
        </w:sectPr>
      </w:pPr>
    </w:p>
    <w:bookmarkStart w:id="170" w:name="page171"/>
    <w:bookmarkEnd w:id="170"/>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Ciaran O’Kelly</w:t>
            </w:r>
          </w:p>
        </w:tc>
        <w:tc>
          <w:tcPr>
            <w:tcW w:w="3500" w:type="dxa"/>
            <w:vAlign w:val="bottom"/>
          </w:tcPr>
          <w:p>
            <w:pPr>
              <w:spacing w:after="0"/>
              <w:rPr>
                <w:sz w:val="20"/>
                <w:szCs w:val="20"/>
                <w:color w:val="auto"/>
              </w:rPr>
            </w:pPr>
          </w:p>
        </w:tc>
        <w:tc>
          <w:tcPr>
            <w:tcW w:w="4020" w:type="dxa"/>
            <w:vAlign w:val="bottom"/>
          </w:tcPr>
          <w:p>
            <w:pPr>
              <w:ind w:left="28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Ciaran O’Kelly</w:t>
            </w:r>
          </w:p>
        </w:tc>
        <w:tc>
          <w:tcPr>
            <w:tcW w:w="3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20" w:type="dxa"/>
            <w:vAlign w:val="bottom"/>
          </w:tcPr>
          <w:p>
            <w:pPr>
              <w:spacing w:after="0"/>
              <w:rPr>
                <w:sz w:val="19"/>
                <w:szCs w:val="19"/>
                <w:color w:val="auto"/>
              </w:rPr>
            </w:pPr>
          </w:p>
        </w:tc>
      </w:tr>
      <w:tr>
        <w:trPr>
          <w:trHeight w:val="71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Sukhinder Singh Cassidy</w:t>
            </w:r>
          </w:p>
        </w:tc>
        <w:tc>
          <w:tcPr>
            <w:tcW w:w="3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20" w:type="dxa"/>
            <w:vAlign w:val="bottom"/>
          </w:tcPr>
          <w:p>
            <w:pPr>
              <w:ind w:left="28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Sukhinder Singh Cassidy</w:t>
            </w:r>
          </w:p>
        </w:tc>
        <w:tc>
          <w:tcPr>
            <w:tcW w:w="35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71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Schwartz</w:t>
            </w:r>
          </w:p>
        </w:tc>
        <w:tc>
          <w:tcPr>
            <w:tcW w:w="3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20" w:type="dxa"/>
            <w:vAlign w:val="bottom"/>
          </w:tcPr>
          <w:p>
            <w:pPr>
              <w:ind w:left="28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Robert Schwartz</w:t>
            </w:r>
          </w:p>
        </w:tc>
        <w:tc>
          <w:tcPr>
            <w:tcW w:w="35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71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Hilliard C. Terry III</w:t>
            </w:r>
          </w:p>
        </w:tc>
        <w:tc>
          <w:tcPr>
            <w:tcW w:w="3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20" w:type="dxa"/>
            <w:vAlign w:val="bottom"/>
          </w:tcPr>
          <w:p>
            <w:pPr>
              <w:ind w:left="28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Hilliard C. Terry III</w:t>
            </w:r>
          </w:p>
        </w:tc>
        <w:tc>
          <w:tcPr>
            <w:tcW w:w="35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71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Kerry Cooper</w:t>
            </w:r>
          </w:p>
        </w:tc>
        <w:tc>
          <w:tcPr>
            <w:tcW w:w="3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20" w:type="dxa"/>
            <w:vAlign w:val="bottom"/>
          </w:tcPr>
          <w:p>
            <w:pPr>
              <w:ind w:left="2880"/>
              <w:spacing w:after="0"/>
              <w:rPr>
                <w:sz w:val="20"/>
                <w:szCs w:val="20"/>
                <w:color w:val="auto"/>
              </w:rPr>
            </w:pPr>
            <w:r>
              <w:rPr>
                <w:rFonts w:ascii="Arial" w:cs="Arial" w:eastAsia="Arial" w:hAnsi="Arial"/>
                <w:sz w:val="18"/>
                <w:szCs w:val="18"/>
                <w:color w:val="auto"/>
                <w:w w:val="89"/>
              </w:rPr>
              <w:t>March 18, 2021</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Kerry Cooper</w:t>
            </w:r>
          </w:p>
        </w:tc>
        <w:tc>
          <w:tcPr>
            <w:tcW w:w="3500" w:type="dxa"/>
            <w:vAlign w:val="bottom"/>
          </w:tcPr>
          <w:p>
            <w:pPr>
              <w:spacing w:after="0"/>
              <w:rPr>
                <w:sz w:val="19"/>
                <w:szCs w:val="19"/>
                <w:color w:val="auto"/>
              </w:rPr>
            </w:pPr>
          </w:p>
        </w:tc>
        <w:tc>
          <w:tcPr>
            <w:tcW w:w="4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4.3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551"/>
        <w:spacing w:after="0" w:line="272" w:lineRule="auto"/>
        <w:rPr>
          <w:sz w:val="20"/>
          <w:szCs w:val="20"/>
          <w:color w:val="auto"/>
        </w:rPr>
      </w:pPr>
      <w:r>
        <w:rPr>
          <w:rFonts w:ascii="Arial" w:cs="Arial" w:eastAsia="Arial" w:hAnsi="Arial"/>
          <w:sz w:val="17"/>
          <w:szCs w:val="17"/>
          <w:color w:val="auto"/>
        </w:rPr>
        <w:t>The following description of capital stock of Upstart Holdings, Inc. (“us”, “our”, “we,” or the “Company) is a summary of the rights of our common stock and certain provisions of our amended and restated certificate of incorporation and amended and restated bylaws as currently in effect. This summary does not purport to be complete and is qualified in its entirety by the provisions of our amended and restated certificate of incorporation, amended and restated bylaws, and Amended and Restated Investors’ Rights Agreement (“IRA”), each previously filed with the Securities and Exchange Commission and incorporated by reference as an exhibit to the Annual Report on Form 10-K of which this Exhibit 4.3 is a part, as well as to the applicable provisions of the Delaware General Corporation Law (the “DGCL”). We encourage you to read our amended and restated certificate of incorporation, amended and restated bylaws, IRA, and the applicable provisions of the DGCL carefully.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770,000,000 shares, $0.0001 par value per share of which:</w:t>
      </w:r>
    </w:p>
    <w:p>
      <w:pPr>
        <w:spacing w:after="0" w:line="117" w:lineRule="exact"/>
        <w:rPr>
          <w:sz w:val="20"/>
          <w:szCs w:val="20"/>
          <w:color w:val="auto"/>
        </w:rPr>
      </w:pPr>
    </w:p>
    <w:p>
      <w:pPr>
        <w:ind w:left="800" w:hanging="242"/>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700,000,000 shares are designated as common stock; and</w:t>
      </w:r>
    </w:p>
    <w:p>
      <w:pPr>
        <w:spacing w:after="0" w:line="117" w:lineRule="exact"/>
        <w:rPr>
          <w:rFonts w:ascii="Arial" w:cs="Arial" w:eastAsia="Arial" w:hAnsi="Arial"/>
          <w:sz w:val="18"/>
          <w:szCs w:val="18"/>
          <w:color w:val="auto"/>
        </w:rPr>
      </w:pPr>
    </w:p>
    <w:p>
      <w:pPr>
        <w:ind w:left="800" w:hanging="242"/>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70,000,000 shares are designated as preferred stock.</w:t>
      </w:r>
    </w:p>
    <w:p>
      <w:pPr>
        <w:spacing w:after="0" w:line="333" w:lineRule="exact"/>
        <w:rPr>
          <w:sz w:val="20"/>
          <w:szCs w:val="20"/>
          <w:color w:val="auto"/>
        </w:rPr>
      </w:pPr>
    </w:p>
    <w:p>
      <w:pPr>
        <w:jc w:val="both"/>
        <w:ind w:firstLine="250"/>
        <w:spacing w:after="0" w:line="286" w:lineRule="auto"/>
        <w:rPr>
          <w:sz w:val="20"/>
          <w:szCs w:val="20"/>
          <w:color w:val="auto"/>
        </w:rPr>
      </w:pPr>
      <w:r>
        <w:rPr>
          <w:rFonts w:ascii="Arial" w:cs="Arial" w:eastAsia="Arial" w:hAnsi="Arial"/>
          <w:sz w:val="17"/>
          <w:szCs w:val="17"/>
          <w:color w:val="auto"/>
        </w:rPr>
        <w:t>As of December 31, 2020, there were 73,314,026 shares of our common stock outstanding and no shares of our preferred stock outstanding. As of December 31, 2020, there were approximately 214 stockholders of record of our common stock. The number of record holders does not include beneficial holders who hold their shares in “street name,” meaning that the shares are held for their accounts by a broker or other nominee.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551"/>
        <w:spacing w:after="0" w:line="289" w:lineRule="auto"/>
        <w:rPr>
          <w:sz w:val="20"/>
          <w:szCs w:val="20"/>
          <w:color w:val="auto"/>
        </w:rPr>
      </w:pPr>
      <w:r>
        <w:rPr>
          <w:rFonts w:ascii="Arial" w:cs="Arial" w:eastAsia="Arial" w:hAnsi="Arial"/>
          <w:sz w:val="16"/>
          <w:szCs w:val="16"/>
          <w:color w:val="auto"/>
        </w:rPr>
        <w:t>Pursuant to our amended and restated certificate of incorporation, our board of directors will have the authority,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the Company and might adversely affect the market price of our common stock and the voting and other rights of the holders of our common stock. We have no current plan to issue any shares of preferred stock.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8"/>
          <w:szCs w:val="18"/>
          <w:color w:val="auto"/>
        </w:rPr>
        <w:t>Certain holders of our common stock are entitled under the IRA to rights with respect to the registration of their shares under the Securities Act The registration rights set forth in the IRA will expire four years following our initial public offering, which occurred in December 2020, or, with respect to any particular stockholder, when such stockholder is able to sell all of its shares pursuant to Rule 144 of the Securities Act during any 90-day period. We will pay the registration expenses (other than underwriting discounts and commissions) of the holders of the shares registered pursuant to the demand registrations and piggyback registrations described below. Holders of our preferred stock participating in any S-3 registrations below will pay their own registration expenses. In an underwritten offering, the managing underwriter, if any, has the right, subject to specified conditions, to limit the number of shares such holders may include.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Certain holders of our common stock are entitled to demand registration rights pursuant to the IRA. At any time beginning six months after the effective date of our initial public offering, the holders of at least 50% of these shares then outstanding can request that we register the offer and sale of their shares. Such request for registration must cover securities, the aggregate public offering price of which, after payment of underwriting discounts and commissions, is at least $5,000,000.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8"/>
          <w:szCs w:val="18"/>
          <w:color w:val="auto"/>
        </w:rPr>
        <w:t>If we propose to register the offer and sale of our common stock under the Securities Act, in connection with the public offering of such common stock, certain holders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common stock being registered is common stock issuable upon conversion of debt securities that are also being registered; (ii) a registration related to any employee benefit plan or a corporate reorganization or other transaction covered by Rule 145 promulgated under the Securities Act; or (iii) a registration on any registration form which does not include substantially the same information as would be required to be included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registration statement covering the public offering of our common stock, the holders of these shares are entitled to notice of the registration and have the right, subject to certain limitations, to include their shares in the registration.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S-3 Registration Rights</w:t>
      </w:r>
    </w:p>
    <w:p>
      <w:pPr>
        <w:spacing w:after="0" w:line="121" w:lineRule="exact"/>
        <w:rPr>
          <w:sz w:val="20"/>
          <w:szCs w:val="20"/>
          <w:color w:val="auto"/>
        </w:rPr>
      </w:pPr>
    </w:p>
    <w:p>
      <w:pPr>
        <w:jc w:val="both"/>
        <w:ind w:firstLine="551"/>
        <w:spacing w:after="0" w:line="271" w:lineRule="auto"/>
        <w:rPr>
          <w:sz w:val="20"/>
          <w:szCs w:val="20"/>
          <w:color w:val="auto"/>
        </w:rPr>
      </w:pPr>
      <w:r>
        <w:rPr>
          <w:rFonts w:ascii="Arial" w:cs="Arial" w:eastAsia="Arial" w:hAnsi="Arial"/>
          <w:sz w:val="17"/>
          <w:szCs w:val="17"/>
          <w:color w:val="auto"/>
        </w:rPr>
        <w:t>After 180 days following the completion of our initial public offering, certain holders of our common stock are entitled to certain Form S-3 registration rights pursuant to the IRA. The holders of at least 50%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after payment of underwriting discounts and commissions, is at least $1,000,000. These stockholders may make an unlimited number of requests for registration on Form S-3; however, we will not be required to effect a registration on Form S-3 if we have effected two such registrations within the 12-month period preceding the date of the request or if we have already previously effected three such registrations. Additionally, if we determine that it would be seriously detrimental to us and our stockholders to effect such a registration, we have the right to defer such registration, not more than once in any 12-month period, for a period of up to 120 days.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the Company. They are also designed, in part, to enhance the likelihood of continued stability in the composition of our board of directors and its policies and to encourage persons seeking to acquire control of us to negotiate first with our board of directors. We believe that the benefits of these provisions, including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jc w:val="both"/>
        <w:ind w:right="20" w:firstLine="551"/>
        <w:spacing w:after="0" w:line="263"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76" w:lineRule="exact"/>
        <w:rPr>
          <w:sz w:val="20"/>
          <w:szCs w:val="20"/>
          <w:color w:val="auto"/>
        </w:rPr>
      </w:pPr>
    </w:p>
    <w:p>
      <w:pPr>
        <w:ind w:left="780" w:hanging="222"/>
        <w:spacing w:after="0" w:line="277" w:lineRule="auto"/>
        <w:tabs>
          <w:tab w:leader="none" w:pos="8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62" w:lineRule="exact"/>
        <w:rPr>
          <w:rFonts w:ascii="Arial" w:cs="Arial" w:eastAsia="Arial" w:hAnsi="Arial"/>
          <w:sz w:val="18"/>
          <w:szCs w:val="18"/>
          <w:color w:val="auto"/>
        </w:rPr>
      </w:pPr>
    </w:p>
    <w:p>
      <w:pPr>
        <w:jc w:val="both"/>
        <w:ind w:left="780" w:hanging="222"/>
        <w:spacing w:after="0" w:line="279" w:lineRule="auto"/>
        <w:tabs>
          <w:tab w:leader="none" w:pos="805"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(i) directors who are also officers of the corporation and (ii)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7"/>
          <w:szCs w:val="17"/>
          <w:color w:val="auto"/>
        </w:rPr>
      </w:pPr>
    </w:p>
    <w:p>
      <w:pPr>
        <w:jc w:val="both"/>
        <w:ind w:left="780" w:hanging="222"/>
        <w:spacing w:after="0" w:line="263"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jc w:val="both"/>
        <w:ind w:firstLine="551"/>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 Provisions</w:t>
      </w:r>
    </w:p>
    <w:p>
      <w:pPr>
        <w:spacing w:after="0" w:line="121"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includes a number of provisions that could deter hostile takeovers or delay or prevent changes in control of our board of directors or management team, including the following: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of Directors Vacancies</w:t>
      </w:r>
    </w:p>
    <w:p>
      <w:pPr>
        <w:spacing w:after="0" w:line="117"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117"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8"/>
          <w:szCs w:val="18"/>
          <w:color w:val="auto"/>
        </w:rPr>
        <w:t>Our amended and restated certificate of incorporation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provides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jc w:val="both"/>
        <w:ind w:right="20" w:firstLine="551"/>
        <w:spacing w:after="0" w:line="342" w:lineRule="auto"/>
        <w:rPr>
          <w:sz w:val="20"/>
          <w:szCs w:val="20"/>
          <w:color w:val="auto"/>
        </w:rPr>
      </w:pPr>
      <w:r>
        <w:rPr>
          <w:rFonts w:ascii="Arial" w:cs="Arial" w:eastAsia="Arial" w:hAnsi="Arial"/>
          <w:sz w:val="16"/>
          <w:szCs w:val="16"/>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Directors Removed Only for Cause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provides that stockholders may remove directors only for cause.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color w:val="auto"/>
        </w:rPr>
        <w:t>Any amendment of the above provisions in our amended and restated certificate of incorporation would require approval by holders of at least 66 2/3% of our then outstanding capital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117"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70,000,000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333" w:lineRule="exact"/>
        <w:rPr>
          <w:sz w:val="20"/>
          <w:szCs w:val="20"/>
          <w:color w:val="auto"/>
        </w:rPr>
      </w:pPr>
    </w:p>
    <w:p>
      <w:pPr>
        <w:jc w:val="both"/>
        <w:ind w:firstLine="551"/>
        <w:spacing w:after="0" w:line="269"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our certificate of incorporation or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Our amended and restated bylaws further provide that the federal district courts of the United States will be the exclusive forum for resolving any complaints 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This exclusive forum provision will not apply to any causes of action arising under the Exchange Act or any other claim for which the federal courts have exclusive jurisdiction.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38" w:lineRule="exact"/>
        <w:rPr>
          <w:sz w:val="20"/>
          <w:szCs w:val="20"/>
          <w:color w:val="auto"/>
        </w:rPr>
      </w:pPr>
    </w:p>
    <w:p>
      <w:pPr>
        <w:ind w:left="900" w:hanging="244"/>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8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respect to payments that may be made by us to these directors and executive officers pursuant to our indemnification obligations or otherwise as a matter of law.</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located at 6201 15th Avenue, Brooklyn, 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11219.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“UPST”.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2021</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434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Dave Girouard</w:t>
      </w:r>
    </w:p>
    <w:p>
      <w:pPr>
        <w:spacing w:after="0" w:line="92" w:lineRule="exact"/>
        <w:rPr>
          <w:sz w:val="20"/>
          <w:szCs w:val="20"/>
          <w:color w:val="auto"/>
        </w:rPr>
      </w:pPr>
    </w:p>
    <w:p>
      <w:pPr>
        <w:sectPr>
          <w:pgSz w:w="11900" w:h="16838" w:orient="portrait"/>
          <w:cols w:equalWidth="0" w:num="2">
            <w:col w:w="660" w:space="280"/>
            <w:col w:w="10300"/>
          </w:cols>
          <w:pgMar w:left="320" w:top="1093" w:right="339" w:bottom="1440" w:gutter="0" w:footer="0" w:header="0"/>
          <w:type w:val="continuous"/>
        </w:sectPr>
      </w:pP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2">
            <w:col w:w="580" w:space="360"/>
            <w:col w:w="10300"/>
          </w:cols>
          <w:pgMar w:left="320" w:top="1093" w:right="339" w:bottom="144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2021</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434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Sanjay Datta</w:t>
      </w:r>
    </w:p>
    <w:p>
      <w:pPr>
        <w:spacing w:after="0" w:line="115" w:lineRule="exact"/>
        <w:rPr>
          <w:sz w:val="20"/>
          <w:szCs w:val="20"/>
          <w:color w:val="auto"/>
        </w:rPr>
      </w:pPr>
    </w:p>
    <w:p>
      <w:pPr>
        <w:sectPr>
          <w:pgSz w:w="11900" w:h="16838" w:orient="portrait"/>
          <w:cols w:equalWidth="0" w:num="2">
            <w:col w:w="660" w:space="280"/>
            <w:col w:w="10300"/>
          </w:cols>
          <w:pgMar w:left="320" w:top="1093" w:right="339" w:bottom="1440" w:gutter="0" w:footer="0" w:header="0"/>
          <w:type w:val="continuous"/>
        </w:sectPr>
      </w:pP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2">
            <w:col w:w="580" w:space="360"/>
            <w:col w:w="10300"/>
          </w:cols>
          <w:pgMar w:left="320" w:top="1093" w:right="339"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Dave Girouard, certify, pursuant to 18 U.S.C. Section 1350, as adopted pursuant to Section 906 of the Sarbanes-Oxley Act of 2002, that the Annual Report on Form 10-K of Upstart Holdings, Inc. for the fiscal year ended December 31, 2020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54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Date: March 18, 2020</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Dave Girouard</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Dave Girouard</w:t>
            </w:r>
          </w:p>
        </w:tc>
      </w:tr>
      <w:tr>
        <w:trPr>
          <w:trHeight w:val="311"/>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 and President</w:t>
            </w:r>
          </w:p>
        </w:tc>
      </w:tr>
      <w:tr>
        <w:trPr>
          <w:trHeight w:val="297"/>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5480" w:type="dxa"/>
            <w:vAlign w:val="bottom"/>
            <w:shd w:val="clear" w:color="auto" w:fill="FEFEFE"/>
          </w:tcPr>
          <w:p>
            <w:pPr>
              <w:spacing w:after="0"/>
              <w:rPr>
                <w:sz w:val="23"/>
                <w:szCs w:val="23"/>
                <w:color w:val="auto"/>
              </w:rPr>
            </w:pPr>
          </w:p>
        </w:tc>
        <w:tc>
          <w:tcPr>
            <w:tcW w:w="760" w:type="dxa"/>
            <w:vAlign w:val="bottom"/>
            <w:shd w:val="clear" w:color="auto" w:fill="FEFEFE"/>
          </w:tcPr>
          <w:p>
            <w:pPr>
              <w:spacing w:after="0"/>
              <w:rPr>
                <w:sz w:val="23"/>
                <w:szCs w:val="23"/>
                <w:color w:val="auto"/>
              </w:rPr>
            </w:pPr>
          </w:p>
        </w:tc>
        <w:tc>
          <w:tcPr>
            <w:tcW w:w="4000" w:type="dxa"/>
            <w:vAlign w:val="bottom"/>
            <w:shd w:val="clear" w:color="auto" w:fill="FEFEFE"/>
          </w:tcPr>
          <w:p>
            <w:pPr>
              <w:spacing w:after="0"/>
              <w:rPr>
                <w:sz w:val="23"/>
                <w:szCs w:val="23"/>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Sanjay Datta, certify, pursuant to 18 U.S.C. Section 1350, as adopted pursuant to Section 906 of the Sarbanes-Oxley Act of 2002, that the Annual Report on Form 10-K of Upstart Holdings, Inc. for the fiscal year ended December 31, 2020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54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Date: March 18, 2020</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Sanjay Datta</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Sanjay Datta</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37"/>
        </w:trPr>
        <w:tc>
          <w:tcPr>
            <w:tcW w:w="5480" w:type="dxa"/>
            <w:vAlign w:val="bottom"/>
            <w:shd w:val="clear" w:color="auto" w:fill="FEFEFE"/>
          </w:tcPr>
          <w:p>
            <w:pPr>
              <w:spacing w:after="0"/>
              <w:rPr>
                <w:sz w:val="3"/>
                <w:szCs w:val="3"/>
                <w:color w:val="auto"/>
              </w:rPr>
            </w:pPr>
          </w:p>
        </w:tc>
        <w:tc>
          <w:tcPr>
            <w:tcW w:w="760" w:type="dxa"/>
            <w:vAlign w:val="bottom"/>
            <w:shd w:val="clear" w:color="auto" w:fill="FEFEFE"/>
          </w:tcPr>
          <w:p>
            <w:pPr>
              <w:spacing w:after="0"/>
              <w:rPr>
                <w:sz w:val="3"/>
                <w:szCs w:val="3"/>
                <w:color w:val="auto"/>
              </w:rPr>
            </w:pPr>
          </w:p>
        </w:tc>
        <w:tc>
          <w:tcPr>
            <w:tcW w:w="4000" w:type="dxa"/>
            <w:vAlign w:val="bottom"/>
            <w:shd w:val="clear" w:color="auto" w:fill="FEFEFE"/>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7"/>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3"/>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2"/>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3"/>
    </w:lvl>
  </w:abstractNum>
  <w:abstractNum w:abstractNumId="41">
    <w:nsid w:val="1CF10FD8"/>
    <w:multiLevelType w:val="hybridMultilevel"/>
    <w:lvl w:ilvl="0">
      <w:lvlJc w:val="left"/>
      <w:lvlText w:val="%1."/>
      <w:numFmt w:val="decimal"/>
      <w:start w:val="4"/>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decimal"/>
      <w:start w:val="5"/>
    </w:lvl>
  </w:abstractNum>
  <w:abstractNum w:abstractNumId="50">
    <w:nsid w:val="3F6AB60F"/>
    <w:multiLevelType w:val="hybridMultilevel"/>
    <w:lvl w:ilvl="0">
      <w:lvlJc w:val="left"/>
      <w:lvlText w:val="%1."/>
      <w:numFmt w:val="decimal"/>
      <w:start w:val="7"/>
    </w:lvl>
  </w:abstractNum>
  <w:abstractNum w:abstractNumId="51">
    <w:nsid w:val="61574095"/>
    <w:multiLevelType w:val="hybridMultilevel"/>
    <w:lvl w:ilvl="0">
      <w:lvlJc w:val="left"/>
      <w:lvlText w:val="%1"/>
      <w:numFmt w:val="upperLetter"/>
      <w:start w:val="44"/>
    </w:lvl>
  </w:abstractNum>
  <w:abstractNum w:abstractNumId="52">
    <w:nsid w:val="7E0C57B1"/>
    <w:multiLevelType w:val="hybridMultilevel"/>
    <w:lvl w:ilvl="0">
      <w:lvlJc w:val="left"/>
      <w:lvlText w:val="%1."/>
      <w:numFmt w:val="decimal"/>
      <w:start w:val="9"/>
    </w:lvl>
  </w:abstractNum>
  <w:abstractNum w:abstractNumId="53">
    <w:nsid w:val="77AE35EB"/>
    <w:multiLevelType w:val="hybridMultilevel"/>
    <w:lvl w:ilvl="0">
      <w:lvlJc w:val="left"/>
      <w:lvlText w:val="%1."/>
      <w:numFmt w:val="decimal"/>
      <w:start w:val="10"/>
    </w:lvl>
  </w:abstractNum>
  <w:abstractNum w:abstractNumId="54">
    <w:nsid w:val="579BE4F1"/>
    <w:multiLevelType w:val="hybridMultilevel"/>
    <w:lvl w:ilvl="0">
      <w:lvlJc w:val="left"/>
      <w:lvlText w:val="%1."/>
      <w:numFmt w:val="decimal"/>
      <w:start w:val="11"/>
    </w:lvl>
  </w:abstractNum>
  <w:abstractNum w:abstractNumId="55">
    <w:nsid w:val="310C50B3"/>
    <w:multiLevelType w:val="hybridMultilevel"/>
    <w:lvl w:ilvl="0">
      <w:lvlJc w:val="left"/>
      <w:lvlText w:val="%1."/>
      <w:numFmt w:val="decimal"/>
      <w:start w:val="13"/>
    </w:lvl>
  </w:abstractNum>
  <w:abstractNum w:abstractNumId="56">
    <w:nsid w:val="5FF87E05"/>
    <w:multiLevelType w:val="hybridMultilevel"/>
    <w:lvl w:ilvl="0">
      <w:lvlJc w:val="left"/>
      <w:lvlText w:val="%1."/>
      <w:numFmt w:val="decimal"/>
      <w:start w:val="14"/>
    </w:lvl>
  </w:abstractNum>
  <w:abstractNum w:abstractNumId="57">
    <w:nsid w:val="2F305DEF"/>
    <w:multiLevelType w:val="hybridMultilevel"/>
    <w:lvl w:ilvl="0">
      <w:lvlJc w:val="left"/>
      <w:lvlText w:val="%1."/>
      <w:numFmt w:val="decimal"/>
      <w:start w:val="15"/>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5"/>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decimal"/>
      <w:start w:val="5"/>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36"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24" Type="http://schemas.openxmlformats.org/officeDocument/2006/relationships/hyperlink" Target="https://www.sec.gov/Archives/edgar/data/0001647639/000119312520288095/d867925dex42.htm" TargetMode="External"/><Relationship Id="rId25" Type="http://schemas.openxmlformats.org/officeDocument/2006/relationships/hyperlink" Target="https://www.sec.gov/Archives/edgar/data/0001647639/000119312520309971/d867925dex44.htm" TargetMode="External"/><Relationship Id="rId26" Type="http://schemas.openxmlformats.org/officeDocument/2006/relationships/hyperlink" Target="https://www.sec.gov/Archives/edgar/data/0001647639/000119312520309971/d867925dex102.htm" TargetMode="External"/><Relationship Id="rId29" Type="http://schemas.openxmlformats.org/officeDocument/2006/relationships/hyperlink" Target="https://www.sec.gov/Archives/edgar/data/0001647639/000119312520288095/d867925dex103.htm" TargetMode="External"/><Relationship Id="rId30" Type="http://schemas.openxmlformats.org/officeDocument/2006/relationships/hyperlink" Target="https://www.sec.gov/Archives/edgar/data/0001647639/000119312520309971/d867925dex104.htm" TargetMode="External"/><Relationship Id="rId31" Type="http://schemas.openxmlformats.org/officeDocument/2006/relationships/hyperlink" Target="https://www.sec.gov/Archives/edgar/data/0001647639/000119312520309971/d867925dex105.htm" TargetMode="External"/><Relationship Id="rId32" Type="http://schemas.openxmlformats.org/officeDocument/2006/relationships/hyperlink" Target="https://www.sec.gov/Archives/edgar/data/1647639/000119312520309971/d867925dex106.htm" TargetMode="External"/><Relationship Id="rId33" Type="http://schemas.openxmlformats.org/officeDocument/2006/relationships/hyperlink" Target="https://www.sec.gov/Archives/edgar/data/0001647639/000119312520309971/d867925dex107.htm" TargetMode="External"/><Relationship Id="rId34" Type="http://schemas.openxmlformats.org/officeDocument/2006/relationships/hyperlink" Target="https://www.sec.gov/Archives/edgar/data/0001647639/000119312520288095/d867925dex108.htm" TargetMode="External"/><Relationship Id="rId35" Type="http://schemas.openxmlformats.org/officeDocument/2006/relationships/hyperlink" Target="https://www.sec.gov/Archives/edgar/data/0001647639/000119312520309971/d867925dex109.htm" TargetMode="External"/><Relationship Id="rId37" Type="http://schemas.openxmlformats.org/officeDocument/2006/relationships/hyperlink" Target="https://www.sec.gov/Archives/edgar/data/0001647639/000119312520288095/d867925dex1010.htm" TargetMode="External"/><Relationship Id="rId38" Type="http://schemas.openxmlformats.org/officeDocument/2006/relationships/hyperlink" Target="https://www.sec.gov/Archives/edgar/data/0001647639/000119312520288095/d867925dex1011.htm" TargetMode="External"/><Relationship Id="rId39" Type="http://schemas.openxmlformats.org/officeDocument/2006/relationships/hyperlink" Target="https://www.sec.gov/Archives/edgar/data/0001647639/000119312520309971/d867925dex1013.htm" TargetMode="External"/><Relationship Id="rId40" Type="http://schemas.openxmlformats.org/officeDocument/2006/relationships/hyperlink" Target="https://www.sec.gov/Archives/edgar/data/0001647639/000119312520309971/d867925dex1014.htm" TargetMode="External"/><Relationship Id="rId41" Type="http://schemas.openxmlformats.org/officeDocument/2006/relationships/hyperlink" Target="https://www.sec.gov/Archives/edgar/data/0001647639/000119312520288095/d867925dex1015.htm" TargetMode="External"/><Relationship Id="rId42" Type="http://schemas.openxmlformats.org/officeDocument/2006/relationships/hyperlink" Target="https://www.sec.gov/Archives/edgar/data/1647639/000119312520311387/d867925dex1016.htm" TargetMode="External"/><Relationship Id="rId43" Type="http://schemas.openxmlformats.org/officeDocument/2006/relationships/hyperlink" Target="https://www.sec.gov/Archives/edgar/data/1647639/000119312520311387/d867925dex1017.htm" TargetMode="External"/><Relationship Id="rId44" Type="http://schemas.openxmlformats.org/officeDocument/2006/relationships/hyperlink" Target="https://www.sec.gov/Archives/edgar/data/0001647639/000119312520309971/d867925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2021-03-18T15:45:50Z</dcterms:created>
  <dcterms:modified xsi:type="dcterms:W3CDTF">2021-03-18T15:45:50Z</dcterms:modified>
</cp:coreProperties>
</file>