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45" w:lineRule="exact"/>
        <w:rPr>
          <w:sz w:val="24"/>
          <w:szCs w:val="24"/>
          <w:color w:val="auto"/>
        </w:rPr>
      </w:pPr>
    </w:p>
    <w:p>
      <w:pPr>
        <w:ind w:left="300"/>
        <w:spacing w:after="0"/>
        <w:rPr>
          <w:sz w:val="20"/>
          <w:szCs w:val="20"/>
          <w:color w:val="auto"/>
        </w:rPr>
      </w:pPr>
      <w:r>
        <w:rPr>
          <w:rFonts w:ascii="Arial" w:cs="Arial" w:eastAsia="Arial" w:hAnsi="Arial"/>
          <w:sz w:val="16"/>
          <w:szCs w:val="16"/>
          <w:color w:val="auto"/>
        </w:rPr>
        <w:t>(Mark One)</w:t>
      </w:r>
    </w:p>
    <w:p>
      <w:pPr>
        <w:spacing w:after="0" w:line="154" w:lineRule="exact"/>
        <w:rPr>
          <w:sz w:val="24"/>
          <w:szCs w:val="24"/>
          <w:color w:val="auto"/>
        </w:rPr>
      </w:pPr>
    </w:p>
    <w:p>
      <w:pPr>
        <w:ind w:left="3960" w:right="2040" w:hanging="3399"/>
        <w:spacing w:after="0" w:line="213" w:lineRule="auto"/>
        <w:tabs>
          <w:tab w:leader="none" w:pos="1381" w:val="left"/>
        </w:tabs>
        <w:numPr>
          <w:ilvl w:val="0"/>
          <w:numId w:val="1"/>
        </w:numPr>
        <w:rPr>
          <w:rFonts w:ascii="MS PGothic" w:cs="MS PGothic" w:eastAsia="MS PGothic" w:hAnsi="MS PGothic"/>
          <w:sz w:val="29"/>
          <w:szCs w:val="29"/>
          <w:color w:val="auto"/>
        </w:rPr>
      </w:pPr>
      <w:r>
        <w:rPr>
          <w:rFonts w:ascii="Arial" w:cs="Arial" w:eastAsia="Arial" w:hAnsi="Arial"/>
          <w:sz w:val="16"/>
          <w:szCs w:val="16"/>
          <w:color w:val="auto"/>
        </w:rPr>
        <w:t>QUARTERLY REPORT PURSUANT TO SECTION 13 OR 15(d) OF THE SECURITIES EXCHANGE ACT OF 1934 For the quarterly period ended September 30, 2023</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70"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Arial" w:cs="Arial" w:eastAsia="Arial" w:hAnsi="Arial"/>
          <w:sz w:val="16"/>
          <w:szCs w:val="16"/>
          <w:color w:val="auto"/>
        </w:rPr>
        <w:t>TRANSITION REPORT PURSUANT TO SECTION 13 OR 15(d) OF THE SECURITIES EXCHANGE ACT OF 1934</w:t>
      </w:r>
    </w:p>
    <w:p>
      <w:pPr>
        <w:spacing w:after="0" w:line="59" w:lineRule="exact"/>
        <w:rPr>
          <w:rFonts w:ascii="MS PGothic" w:cs="MS PGothic" w:eastAsia="MS PGothic" w:hAnsi="MS PGothic"/>
          <w:sz w:val="29"/>
          <w:szCs w:val="29"/>
          <w:color w:val="auto"/>
        </w:rPr>
      </w:pPr>
    </w:p>
    <w:p>
      <w:pPr>
        <w:ind w:left="3800"/>
        <w:spacing w:after="0"/>
        <w:rPr>
          <w:rFonts w:ascii="MS PGothic" w:cs="MS PGothic" w:eastAsia="MS PGothic" w:hAnsi="MS PGothic"/>
          <w:sz w:val="29"/>
          <w:szCs w:val="29"/>
          <w:color w:val="auto"/>
        </w:rPr>
      </w:pPr>
      <w:r>
        <w:rPr>
          <w:rFonts w:ascii="Arial" w:cs="Arial" w:eastAsia="Arial" w:hAnsi="Arial"/>
          <w:sz w:val="16"/>
          <w:szCs w:val="16"/>
          <w:b w:val="1"/>
          <w:bCs w:val="1"/>
          <w:color w:val="auto"/>
        </w:rPr>
        <w:t>For the transition period from</w:t>
      </w:r>
      <w:r>
        <w:rPr>
          <w:rFonts w:ascii="Arial" w:cs="Arial" w:eastAsia="Arial" w:hAnsi="Arial"/>
          <w:sz w:val="16"/>
          <w:szCs w:val="16"/>
          <w:b w:val="1"/>
          <w:bCs w:val="1"/>
          <w:u w:val="single" w:color="auto"/>
          <w:color w:val="auto"/>
        </w:rPr>
        <w:t>_________</w:t>
      </w:r>
      <w:r>
        <w:rPr>
          <w:rFonts w:ascii="Arial" w:cs="Arial" w:eastAsia="Arial" w:hAnsi="Arial"/>
          <w:sz w:val="16"/>
          <w:szCs w:val="16"/>
          <w:b w:val="1"/>
          <w:bCs w:val="1"/>
          <w:color w:val="auto"/>
        </w:rPr>
        <w:t xml:space="preserve">to </w:t>
      </w:r>
      <w:r>
        <w:rPr>
          <w:rFonts w:ascii="Arial" w:cs="Arial" w:eastAsia="Arial" w:hAnsi="Arial"/>
          <w:sz w:val="16"/>
          <w:szCs w:val="16"/>
          <w:b w:val="1"/>
          <w:bCs w:val="1"/>
          <w:u w:val="single" w:color="auto"/>
          <w:color w:val="auto"/>
        </w:rPr>
        <w:t>________</w:t>
      </w:r>
    </w:p>
    <w:p>
      <w:pPr>
        <w:spacing w:after="0" w:line="59" w:lineRule="exact"/>
        <w:rPr>
          <w:rFonts w:ascii="MS PGothic" w:cs="MS PGothic" w:eastAsia="MS PGothic" w:hAnsi="MS PGothic"/>
          <w:sz w:val="29"/>
          <w:szCs w:val="29"/>
          <w:color w:val="auto"/>
        </w:rPr>
      </w:pPr>
    </w:p>
    <w:p>
      <w:pPr>
        <w:ind w:left="4340"/>
        <w:spacing w:after="0"/>
        <w:rPr>
          <w:rFonts w:ascii="MS PGothic" w:cs="MS PGothic" w:eastAsia="MS PGothic" w:hAnsi="MS PGothic"/>
          <w:sz w:val="29"/>
          <w:szCs w:val="29"/>
          <w:color w:val="auto"/>
        </w:rPr>
      </w:pPr>
      <w:r>
        <w:rPr>
          <w:rFonts w:ascii="Arial" w:cs="Arial" w:eastAsia="Arial" w:hAnsi="Arial"/>
          <w:sz w:val="16"/>
          <w:szCs w:val="16"/>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114935</wp:posOffset>
            </wp:positionV>
            <wp:extent cx="18002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Upstart Holdings,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66"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Arial" w:cs="Arial" w:eastAsia="Arial" w:hAnsi="Arial"/>
                <w:sz w:val="16"/>
                <w:szCs w:val="16"/>
                <w:b w:val="1"/>
                <w:bCs w:val="1"/>
                <w:color w:val="auto"/>
                <w:w w:val="91"/>
              </w:rPr>
              <w:t>Delaware</w:t>
            </w:r>
          </w:p>
        </w:tc>
        <w:tc>
          <w:tcPr>
            <w:tcW w:w="326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Arial" w:cs="Arial" w:eastAsia="Arial" w:hAnsi="Arial"/>
                <w:sz w:val="16"/>
                <w:szCs w:val="16"/>
                <w:color w:val="auto"/>
                <w:w w:val="93"/>
              </w:rPr>
              <w:t>(State or other jurisdiction of</w:t>
            </w:r>
          </w:p>
        </w:tc>
        <w:tc>
          <w:tcPr>
            <w:tcW w:w="3260" w:type="dxa"/>
            <w:vAlign w:val="bottom"/>
          </w:tcPr>
          <w:p>
            <w:pPr>
              <w:jc w:val="center"/>
              <w:ind w:left="1979"/>
              <w:spacing w:after="0" w:line="162" w:lineRule="exact"/>
              <w:rPr>
                <w:sz w:val="20"/>
                <w:szCs w:val="20"/>
                <w:color w:val="auto"/>
              </w:rPr>
            </w:pPr>
            <w:r>
              <w:rPr>
                <w:rFonts w:ascii="Arial" w:cs="Arial" w:eastAsia="Arial" w:hAnsi="Arial"/>
                <w:sz w:val="16"/>
                <w:szCs w:val="16"/>
                <w:color w:val="auto"/>
                <w:w w:val="95"/>
              </w:rPr>
              <w:t>(I.R.S. Employer</w:t>
            </w:r>
          </w:p>
        </w:tc>
      </w:tr>
      <w:tr>
        <w:trPr>
          <w:trHeight w:val="206"/>
        </w:trPr>
        <w:tc>
          <w:tcPr>
            <w:tcW w:w="4020" w:type="dxa"/>
            <w:vAlign w:val="bottom"/>
          </w:tcPr>
          <w:p>
            <w:pPr>
              <w:jc w:val="center"/>
              <w:ind w:right="1979"/>
              <w:spacing w:after="0"/>
              <w:rPr>
                <w:sz w:val="20"/>
                <w:szCs w:val="20"/>
                <w:color w:val="auto"/>
              </w:rPr>
            </w:pPr>
            <w:r>
              <w:rPr>
                <w:rFonts w:ascii="Arial" w:cs="Arial" w:eastAsia="Arial" w:hAnsi="Arial"/>
                <w:sz w:val="16"/>
                <w:szCs w:val="16"/>
                <w:color w:val="auto"/>
                <w:w w:val="94"/>
              </w:rPr>
              <w:t>incorporation or organization)</w:t>
            </w:r>
          </w:p>
        </w:tc>
        <w:tc>
          <w:tcPr>
            <w:tcW w:w="3260" w:type="dxa"/>
            <w:vAlign w:val="bottom"/>
          </w:tcPr>
          <w:p>
            <w:pPr>
              <w:jc w:val="center"/>
              <w:ind w:left="1979"/>
              <w:spacing w:after="0"/>
              <w:rPr>
                <w:sz w:val="20"/>
                <w:szCs w:val="20"/>
                <w:color w:val="auto"/>
              </w:rPr>
            </w:pPr>
            <w:r>
              <w:rPr>
                <w:rFonts w:ascii="Arial" w:cs="Arial" w:eastAsia="Arial" w:hAnsi="Arial"/>
                <w:sz w:val="16"/>
                <w:szCs w:val="16"/>
                <w:color w:val="auto"/>
                <w:w w:val="96"/>
              </w:rPr>
              <w:t>Identification No.)</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Upstart Holdings,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2950 S. Delaware Street, Suite 410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Mateo, California 94403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(833) 212-2461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18"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52"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380" w:type="dxa"/>
            <w:vAlign w:val="bottom"/>
            <w:gridSpan w:val="2"/>
          </w:tcPr>
          <w:p>
            <w:pPr>
              <w:jc w:val="center"/>
              <w:ind w:right="1300"/>
              <w:spacing w:after="0"/>
              <w:rPr>
                <w:sz w:val="20"/>
                <w:szCs w:val="20"/>
                <w:color w:val="auto"/>
              </w:rPr>
            </w:pPr>
            <w:r>
              <w:rPr>
                <w:rFonts w:ascii="Arial" w:cs="Arial" w:eastAsia="Arial" w:hAnsi="Arial"/>
                <w:sz w:val="14"/>
                <w:szCs w:val="14"/>
                <w:color w:val="auto"/>
                <w:w w:val="93"/>
              </w:rPr>
              <w:t>Title of each class:</w:t>
            </w:r>
          </w:p>
        </w:tc>
        <w:tc>
          <w:tcPr>
            <w:tcW w:w="2620" w:type="dxa"/>
            <w:vAlign w:val="bottom"/>
            <w:gridSpan w:val="3"/>
          </w:tcPr>
          <w:p>
            <w:pPr>
              <w:jc w:val="center"/>
              <w:ind w:right="540"/>
              <w:spacing w:after="0"/>
              <w:rPr>
                <w:sz w:val="20"/>
                <w:szCs w:val="20"/>
                <w:color w:val="auto"/>
              </w:rPr>
            </w:pPr>
            <w:r>
              <w:rPr>
                <w:rFonts w:ascii="Arial" w:cs="Arial" w:eastAsia="Arial" w:hAnsi="Arial"/>
                <w:sz w:val="14"/>
                <w:szCs w:val="14"/>
                <w:color w:val="auto"/>
                <w:w w:val="93"/>
              </w:rPr>
              <w:t>Trading Symbol</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11"/>
        </w:trPr>
        <w:tc>
          <w:tcPr>
            <w:tcW w:w="312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Common Stock, par value $0.0001 per share</w:t>
            </w:r>
          </w:p>
        </w:tc>
        <w:tc>
          <w:tcPr>
            <w:tcW w:w="580" w:type="dxa"/>
            <w:vAlign w:val="bottom"/>
          </w:tcPr>
          <w:p>
            <w:pPr>
              <w:spacing w:after="0"/>
              <w:rPr>
                <w:sz w:val="18"/>
                <w:szCs w:val="18"/>
                <w:color w:val="auto"/>
              </w:rPr>
            </w:pPr>
          </w:p>
        </w:tc>
        <w:tc>
          <w:tcPr>
            <w:tcW w:w="2040" w:type="dxa"/>
            <w:vAlign w:val="bottom"/>
            <w:gridSpan w:val="2"/>
          </w:tcPr>
          <w:p>
            <w:pPr>
              <w:jc w:val="center"/>
              <w:ind w:right="1120"/>
              <w:spacing w:after="0"/>
              <w:rPr>
                <w:sz w:val="20"/>
                <w:szCs w:val="20"/>
                <w:color w:val="auto"/>
              </w:rPr>
            </w:pPr>
            <w:r>
              <w:rPr>
                <w:rFonts w:ascii="Arial" w:cs="Arial" w:eastAsia="Arial" w:hAnsi="Arial"/>
                <w:sz w:val="14"/>
                <w:szCs w:val="14"/>
                <w:color w:val="auto"/>
                <w:w w:val="96"/>
              </w:rPr>
              <w:t>UPST</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196" w:lineRule="exact"/>
        <w:rPr>
          <w:sz w:val="24"/>
          <w:szCs w:val="24"/>
          <w:color w:val="auto"/>
        </w:rPr>
      </w:pPr>
    </w:p>
    <w:p>
      <w:pPr>
        <w:ind w:right="20"/>
        <w:spacing w:after="0" w:line="22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spacing w:after="0" w:line="22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ind w:right="2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3"/>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60" w:type="dxa"/>
            <w:vAlign w:val="bottom"/>
          </w:tcPr>
          <w:p>
            <w:pPr>
              <w:ind w:left="298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7" w:lineRule="exact"/>
        <w:rPr>
          <w:sz w:val="20"/>
          <w:szCs w:val="20"/>
          <w:color w:val="auto"/>
        </w:rPr>
      </w:pPr>
    </w:p>
    <w:p>
      <w:pPr>
        <w:jc w:val="both"/>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0"/>
          <w:szCs w:val="20"/>
          <w:color w:val="auto"/>
        </w:rPr>
      </w:pPr>
    </w:p>
    <w:p>
      <w:pPr>
        <w:ind w:right="4500"/>
        <w:spacing w:after="0" w:line="25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1, 2023 there were 85,057,317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03"/>
        </w:trPr>
        <w:tc>
          <w:tcPr>
            <w:tcW w:w="8120" w:type="dxa"/>
            <w:vAlign w:val="bottom"/>
            <w:gridSpan w:val="21"/>
          </w:tcPr>
          <w:p>
            <w:pPr>
              <w:spacing w:after="0" w:line="182" w:lineRule="exact"/>
              <w:rPr>
                <w:sz w:val="20"/>
                <w:szCs w:val="20"/>
                <w:color w:val="auto"/>
              </w:rPr>
            </w:pPr>
            <w:r>
              <w:rPr>
                <w:rFonts w:ascii="Arial" w:cs="Arial" w:eastAsia="Arial" w:hAnsi="Arial"/>
                <w:sz w:val="18"/>
                <w:szCs w:val="18"/>
                <w:b w:val="1"/>
                <w:bCs w:val="1"/>
                <w:color w:val="0000FF"/>
              </w:rPr>
              <w:t>SPECIAL NOTE REGARDING FORWARD-LOOKING STATEMENTS</w:t>
            </w:r>
          </w:p>
        </w:tc>
        <w:tc>
          <w:tcPr>
            <w:tcW w:w="30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493"/>
        </w:trPr>
        <w:tc>
          <w:tcPr>
            <w:tcW w:w="30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b w:val="1"/>
                <w:bCs w:val="1"/>
                <w:color w:val="0000FF"/>
              </w:rPr>
              <w:t>PART I. FINANCIAL INFORMATION</w:t>
            </w:r>
          </w:p>
        </w:tc>
        <w:tc>
          <w:tcPr>
            <w:tcW w:w="2580" w:type="dxa"/>
            <w:vAlign w:val="bottom"/>
            <w:tcBorders>
              <w:top w:val="single" w:sz="8" w:color="0000FF"/>
            </w:tcBorders>
            <w:gridSpan w:val="7"/>
          </w:tcPr>
          <w:p>
            <w:pPr>
              <w:spacing w:after="0"/>
              <w:rPr>
                <w:sz w:val="24"/>
                <w:szCs w:val="24"/>
                <w:color w:val="auto"/>
              </w:rPr>
            </w:pPr>
          </w:p>
        </w:tc>
        <w:tc>
          <w:tcPr>
            <w:tcW w:w="2460" w:type="dxa"/>
            <w:vAlign w:val="bottom"/>
            <w:gridSpan w:val="6"/>
          </w:tcPr>
          <w:p>
            <w:pPr>
              <w:spacing w:after="0"/>
              <w:rPr>
                <w:sz w:val="24"/>
                <w:szCs w:val="24"/>
                <w:color w:val="auto"/>
              </w:rPr>
            </w:pPr>
          </w:p>
        </w:tc>
        <w:tc>
          <w:tcPr>
            <w:tcW w:w="30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Financial Statements</w:t>
            </w:r>
          </w:p>
        </w:tc>
        <w:tc>
          <w:tcPr>
            <w:tcW w:w="4940" w:type="dxa"/>
            <w:vAlign w:val="bottom"/>
            <w:gridSpan w:val="12"/>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7"/>
              </w:rPr>
              <w:t>Condensed Consolidated Balance Sheets</w:t>
            </w:r>
          </w:p>
        </w:tc>
        <w:tc>
          <w:tcPr>
            <w:tcW w:w="3520" w:type="dxa"/>
            <w:vAlign w:val="bottom"/>
            <w:gridSpan w:val="9"/>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0"/>
              </w:rPr>
              <w:t>Condensed Consolidated Statements of Stockholders’ Equity</w:t>
            </w:r>
          </w:p>
        </w:tc>
        <w:tc>
          <w:tcPr>
            <w:tcW w:w="112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2740" w:type="dxa"/>
            <w:vAlign w:val="bottom"/>
            <w:gridSpan w:val="7"/>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3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gridSpan w:val="3"/>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4680" w:type="dxa"/>
            <w:vAlign w:val="bottom"/>
            <w:gridSpan w:val="11"/>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79"/>
        </w:trPr>
        <w:tc>
          <w:tcPr>
            <w:tcW w:w="2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rPr>
              <w:t>PART II. OTHER INFORMATION</w:t>
            </w:r>
          </w:p>
        </w:tc>
        <w:tc>
          <w:tcPr>
            <w:tcW w:w="5340" w:type="dxa"/>
            <w:vAlign w:val="bottom"/>
            <w:gridSpan w:val="16"/>
          </w:tcPr>
          <w:p>
            <w:pPr>
              <w:spacing w:after="0"/>
              <w:rPr>
                <w:sz w:val="24"/>
                <w:szCs w:val="24"/>
                <w:color w:val="auto"/>
              </w:rPr>
            </w:pPr>
          </w:p>
        </w:tc>
        <w:tc>
          <w:tcPr>
            <w:tcW w:w="308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646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3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9"/>
              </w:rPr>
              <w:t>Risk Factors</w:t>
            </w:r>
          </w:p>
        </w:tc>
        <w:tc>
          <w:tcPr>
            <w:tcW w:w="420" w:type="dxa"/>
            <w:vAlign w:val="bottom"/>
            <w:tcBorders>
              <w:top w:val="single" w:sz="8" w:color="0000FF"/>
            </w:tcBorders>
            <w:gridSpan w:val="3"/>
          </w:tcPr>
          <w:p>
            <w:pPr>
              <w:spacing w:after="0"/>
              <w:rPr>
                <w:sz w:val="18"/>
                <w:szCs w:val="18"/>
                <w:color w:val="auto"/>
              </w:rPr>
            </w:pPr>
          </w:p>
        </w:tc>
        <w:tc>
          <w:tcPr>
            <w:tcW w:w="5120" w:type="dxa"/>
            <w:vAlign w:val="bottom"/>
            <w:gridSpan w:val="14"/>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2100" w:type="dxa"/>
            <w:vAlign w:val="bottom"/>
            <w:gridSpan w:val="4"/>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6460" w:type="dxa"/>
            <w:vAlign w:val="bottom"/>
            <w:gridSpan w:val="18"/>
          </w:tcPr>
          <w:p>
            <w:pPr>
              <w:spacing w:after="0"/>
              <w:rPr>
                <w:sz w:val="20"/>
                <w:szCs w:val="20"/>
                <w:color w:val="auto"/>
              </w:rPr>
            </w:pPr>
            <w:r>
              <w:rPr>
                <w:rFonts w:ascii="Arial" w:cs="Arial" w:eastAsia="Arial" w:hAnsi="Arial"/>
                <w:sz w:val="18"/>
                <w:szCs w:val="18"/>
                <w:color w:val="0000FF"/>
              </w:rPr>
              <w:t>Defaults Upon Senior Securities</w:t>
            </w:r>
          </w:p>
        </w:tc>
        <w:tc>
          <w:tcPr>
            <w:tcW w:w="30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tcPr>
          <w:p>
            <w:pPr>
              <w:spacing w:after="0"/>
              <w:rPr>
                <w:sz w:val="18"/>
                <w:szCs w:val="18"/>
                <w:color w:val="auto"/>
              </w:rPr>
            </w:pPr>
          </w:p>
        </w:tc>
        <w:tc>
          <w:tcPr>
            <w:tcW w:w="4140" w:type="dxa"/>
            <w:vAlign w:val="bottom"/>
            <w:gridSpan w:val="10"/>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646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30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3300" w:type="dxa"/>
            <w:vAlign w:val="bottom"/>
            <w:gridSpan w:val="8"/>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6460" w:type="dxa"/>
            <w:vAlign w:val="bottom"/>
            <w:gridSpan w:val="18"/>
          </w:tcPr>
          <w:p>
            <w:pPr>
              <w:spacing w:after="0"/>
              <w:rPr>
                <w:sz w:val="20"/>
                <w:szCs w:val="20"/>
                <w:color w:val="auto"/>
              </w:rPr>
            </w:pPr>
            <w:r>
              <w:rPr>
                <w:rFonts w:ascii="Arial" w:cs="Arial" w:eastAsia="Arial" w:hAnsi="Arial"/>
                <w:sz w:val="18"/>
                <w:szCs w:val="18"/>
                <w:color w:val="0000FF"/>
              </w:rPr>
              <w:t>Exhibits and Financial Statement Schedules</w:t>
            </w:r>
          </w:p>
        </w:tc>
        <w:tc>
          <w:tcPr>
            <w:tcW w:w="30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0000FF"/>
              </w:rPr>
              <w:t>Signatures</w:t>
            </w:r>
          </w:p>
        </w:tc>
        <w:tc>
          <w:tcPr>
            <w:tcW w:w="9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10" w:lineRule="exact"/>
        <w:rPr>
          <w:sz w:val="20"/>
          <w:szCs w:val="20"/>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our operating expenses, our ability to determine reserves and our ability to achieve and maintain profitability;</w:t>
      </w:r>
    </w:p>
    <w:p>
      <w:pPr>
        <w:spacing w:after="0" w:line="10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 and our expectations that improvements in our AI models can lead to higher approval rates and lower interest rates;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volume of loans facilitated through our AI lending marketplace;</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maintain a diversified and resilient loan funding strategy, including lending partnerships, whole loan sales, committed capital arrangements and securitization transactions;</w:t>
      </w:r>
    </w:p>
    <w:p>
      <w:pPr>
        <w:spacing w:after="0" w:line="10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capital allocation plans, including expectations regarding funding loans through our balance sheet and allocations of cash and timing for any share repurchases and other investments;</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competitive interest rates offered to borrowers on our platform, while enabling our lending partners and institutional investors to achieve an adequate return over their cost of funding;</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build our brand and protect our reputation from negative publicity;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effectiveness of our marketing strategies, including our direct consumer marketing initiatives;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macroeconomic events, including rising interest and inflation rates and monetary policy changes;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credit performance of Upstart-powered loans;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recent bank failures, including disruption in the banking industry, and any associated effects on our business and industry;</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management of future growth, including expanding the number of potential borrowers;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reductions in workforce announced in November 2022 and January 2023, including our ability to successfully implement such reductions in workforce or achieve the anticipated cost reductions;</w:t>
      </w:r>
    </w:p>
    <w:p>
      <w:pPr>
        <w:spacing w:after="0" w:line="10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applicable local, state and federal laws;</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and successfully adapt to complex and evolving regulatory environments, including regulation of artificial intelligence and machine learning technology;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regulatory support of our approach to AI-based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4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success of our strategic investments and acquisitions, including the integration of acquired operations, products, technology, internal controls and personnel;</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new and evolving markets and our ability to enter into new markets and introduce new products and services;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against increasingly sophisticated fraudulent borrowing and online theft;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loans and pursue collection of delinquent and defaulted loans;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compete with companies that are currently in, or may in the future enter, the markets in which we operate;</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secure and maintain the confidentiality of the information received, accessed, stored, provided and used across our systems;</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obtain and maintain corporate funding and liquidity to support continued growth and for general corporate purposes;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integrate and retain qualified employees;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disclosure controls and internal control over financial reporting and operations;</w:t>
      </w:r>
    </w:p>
    <w:p>
      <w:pPr>
        <w:spacing w:after="0" w:line="144"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and expand the capabilities of our operations teams, outsourcing relationships and other business operations;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outstanding litigation and regulatory investigations;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increased expenses associated with being a public company.</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looking statements. Our forward-looking statements do not reflect the potential impact of any future acquisitions, mergers, dispositions, joint ventures, or investments we may make.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(In thousands, except share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422,411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516,581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line="230" w:lineRule="exact"/>
              <w:rPr>
                <w:sz w:val="20"/>
                <w:szCs w:val="20"/>
                <w:color w:val="auto"/>
              </w:rPr>
            </w:pPr>
            <w:r>
              <w:rPr>
                <w:rFonts w:ascii="Arial" w:cs="Arial" w:eastAsia="Arial" w:hAnsi="Arial"/>
                <w:sz w:val="18"/>
                <w:szCs w:val="18"/>
                <w:color w:val="auto"/>
              </w:rPr>
              <w:t>Loans (at fair value)</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1,010,421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972,336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48,010</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77,339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Beneficial interests (at fair value)</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Non-marketable equity securities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41,250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67,062</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line="176" w:lineRule="exact"/>
              <w:rPr>
                <w:sz w:val="20"/>
                <w:szCs w:val="20"/>
                <w:color w:val="auto"/>
              </w:rPr>
            </w:pPr>
            <w:r>
              <w:rPr>
                <w:rFonts w:ascii="Arial" w:cs="Arial" w:eastAsia="Arial" w:hAnsi="Arial"/>
                <w:sz w:val="18"/>
                <w:szCs w:val="18"/>
                <w:color w:val="auto"/>
                <w:w w:val="90"/>
              </w:rPr>
              <w:t>Other assets (includes $42,648 and $42,673 at fair value as of December 31, 2022 and September 30, 2023,</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154,351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143,780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60"/>
              <w:spacing w:after="0" w:line="223"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2,001,779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18,715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 to investors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51,607</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986,394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1,003,392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153,782</w:t>
            </w:r>
          </w:p>
        </w:tc>
        <w:tc>
          <w:tcPr>
            <w:tcW w:w="0" w:type="dxa"/>
            <w:vAlign w:val="bottom"/>
          </w:tcPr>
          <w:p>
            <w:pPr>
              <w:spacing w:after="0"/>
              <w:rPr>
                <w:sz w:val="1"/>
                <w:szCs w:val="1"/>
                <w:color w:val="auto"/>
              </w:rPr>
            </w:pPr>
          </w:p>
        </w:tc>
      </w:tr>
      <w:tr>
        <w:trPr>
          <w:trHeight w:val="175"/>
        </w:trPr>
        <w:tc>
          <w:tcPr>
            <w:tcW w:w="7860" w:type="dxa"/>
            <w:vAlign w:val="bottom"/>
          </w:tcPr>
          <w:p>
            <w:pPr>
              <w:ind w:left="240"/>
              <w:spacing w:after="0" w:line="176" w:lineRule="exact"/>
              <w:rPr>
                <w:sz w:val="20"/>
                <w:szCs w:val="20"/>
                <w:color w:val="auto"/>
              </w:rPr>
            </w:pPr>
            <w:r>
              <w:rPr>
                <w:rFonts w:ascii="Arial" w:cs="Arial" w:eastAsia="Arial" w:hAnsi="Arial"/>
                <w:sz w:val="18"/>
                <w:szCs w:val="18"/>
                <w:color w:val="auto"/>
                <w:w w:val="90"/>
              </w:rPr>
              <w:t>Accrued expenses and other liabilities (includes $8,820 and $7,414 at fair value as of December 31, 2022</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40"/>
              <w:spacing w:after="0"/>
              <w:rPr>
                <w:sz w:val="20"/>
                <w:szCs w:val="20"/>
                <w:color w:val="auto"/>
              </w:rPr>
            </w:pPr>
            <w:r>
              <w:rPr>
                <w:rFonts w:ascii="Arial" w:cs="Arial" w:eastAsia="Arial" w:hAnsi="Arial"/>
                <w:sz w:val="18"/>
                <w:szCs w:val="18"/>
                <w:color w:val="auto"/>
              </w:rPr>
              <w:t>and September 30, 2023, respectively)</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51,853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60"/>
              <w:spacing w:after="0" w:line="223" w:lineRule="exact"/>
              <w:rPr>
                <w:sz w:val="20"/>
                <w:szCs w:val="20"/>
                <w:color w:val="auto"/>
              </w:rPr>
            </w:pPr>
            <w:r>
              <w:rPr>
                <w:rFonts w:ascii="Arial" w:cs="Arial" w:eastAsia="Arial" w:hAnsi="Arial"/>
                <w:sz w:val="18"/>
                <w:szCs w:val="18"/>
                <w:color w:val="auto"/>
              </w:rPr>
              <w:t>Total liabilities</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1,263,619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1,361,015</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w w:val="95"/>
              </w:rPr>
              <w:t>Common stock, $0.0001 par value; 700,000,000 shares authorized; 81,259,676 and 85,024,889 shares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issued and outstanding as of December 31, 2022 and September 30, 2023, respectively</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880,933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(240,178)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640,764</w:t>
            </w:r>
          </w:p>
        </w:tc>
        <w:tc>
          <w:tcPr>
            <w:tcW w:w="0" w:type="dxa"/>
            <w:vAlign w:val="bottom"/>
          </w:tcPr>
          <w:p>
            <w:pPr>
              <w:spacing w:after="0"/>
              <w:rPr>
                <w:sz w:val="1"/>
                <w:szCs w:val="1"/>
                <w:color w:val="auto"/>
              </w:rPr>
            </w:pP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1,936,054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2,001,779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48" w:lineRule="exact"/>
        <w:rPr>
          <w:sz w:val="20"/>
          <w:szCs w:val="20"/>
          <w:color w:val="auto"/>
        </w:rPr>
      </w:pPr>
    </w:p>
    <w:p>
      <w:pPr>
        <w:ind w:left="500" w:hanging="492"/>
        <w:spacing w:after="0" w:line="273"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$196.5 million as of September 30, 2023 of loans, at fair value, contributed as collateral for the consolidated securitization. Refer to “</w:t>
      </w:r>
      <w:r>
        <w:rPr>
          <w:rFonts w:ascii="Arial" w:cs="Arial" w:eastAsia="Arial" w:hAnsi="Arial"/>
          <w:sz w:val="14"/>
          <w:szCs w:val="14"/>
          <w:i w:val="1"/>
          <w:iCs w:val="1"/>
          <w:color w:val="auto"/>
        </w:rPr>
        <w:t>Note 6. Fair Value Measurement</w:t>
      </w:r>
      <w:r>
        <w:rPr>
          <w:rFonts w:ascii="Arial" w:cs="Arial" w:eastAsia="Arial" w:hAnsi="Arial"/>
          <w:sz w:val="12"/>
          <w:szCs w:val="12"/>
          <w:color w:val="auto"/>
        </w:rPr>
        <w:t>”</w:t>
      </w:r>
      <w:r>
        <w:rPr>
          <w:rFonts w:ascii="Arial" w:cs="Arial" w:eastAsia="Arial" w:hAnsi="Arial"/>
          <w:sz w:val="14"/>
          <w:szCs w:val="14"/>
          <w:color w:val="auto"/>
        </w:rPr>
        <w:t xml:space="preserve"> for details.</w:t>
      </w:r>
    </w:p>
    <w:p>
      <w:pPr>
        <w:spacing w:after="0" w:line="214" w:lineRule="exact"/>
        <w:rPr>
          <w:rFonts w:ascii="Arial" w:cs="Arial" w:eastAsia="Arial" w:hAnsi="Arial"/>
          <w:sz w:val="14"/>
          <w:szCs w:val="14"/>
          <w:color w:val="auto"/>
        </w:rPr>
      </w:pPr>
    </w:p>
    <w:p>
      <w:pPr>
        <w:jc w:val="both"/>
        <w:ind w:left="500" w:hanging="492"/>
        <w:spacing w:after="0" w:line="272"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following table presents information on assets and liabilities related to variable interest entities (“VIEs”) that are consolidated by Upstart Holdings, Inc. at December 31, 2022 and September 30, 2023.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(In thousands, except share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23,888</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958,822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964,917</w:t>
            </w:r>
          </w:p>
        </w:tc>
      </w:tr>
      <w:tr>
        <w:trPr>
          <w:trHeight w:val="175"/>
        </w:trPr>
        <w:tc>
          <w:tcPr>
            <w:tcW w:w="7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Other assets (includes $2,244 and $10,051 at fair value as of December 31, 2022 and September 30, 2023,</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11,218</w:t>
            </w: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984,481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1,000,785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4"/>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investors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336,452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351,169</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153,782</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r>
      <w:tr>
        <w:trPr>
          <w:trHeight w:val="22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508,054</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net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492,731</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5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thousands, except share and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6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680" w:type="dxa"/>
            <w:vAlign w:val="bottom"/>
          </w:tcPr>
          <w:p>
            <w:pPr>
              <w:ind w:left="360"/>
              <w:spacing w:after="0"/>
              <w:rPr>
                <w:sz w:val="20"/>
                <w:szCs w:val="20"/>
                <w:color w:val="auto"/>
              </w:rPr>
            </w:pPr>
            <w:r>
              <w:rPr>
                <w:rFonts w:ascii="Arial" w:cs="Arial" w:eastAsia="Arial" w:hAnsi="Arial"/>
                <w:sz w:val="18"/>
                <w:szCs w:val="18"/>
                <w:color w:val="auto"/>
              </w:rPr>
              <w:t>Revenue from fees,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179,348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146,755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751,675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407,585</w:t>
            </w:r>
          </w:p>
        </w:tc>
      </w:tr>
      <w:tr>
        <w:trPr>
          <w:trHeight w:val="23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and fair value adjustments,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680" w:type="dxa"/>
            <w:vAlign w:val="bottom"/>
          </w:tcPr>
          <w:p>
            <w:pPr>
              <w:ind w:left="560"/>
              <w:spacing w:after="0" w:line="230" w:lineRule="exact"/>
              <w:rPr>
                <w:sz w:val="20"/>
                <w:szCs w:val="20"/>
                <w:color w:val="auto"/>
              </w:rPr>
            </w:pPr>
            <w:r>
              <w:rPr>
                <w:rFonts w:ascii="Arial" w:cs="Arial" w:eastAsia="Arial" w:hAnsi="Arial"/>
                <w:sz w:val="18"/>
                <w:szCs w:val="18"/>
                <w:color w:val="auto"/>
              </w:rPr>
              <w:t>Interest income</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66,288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116,923</w:t>
            </w:r>
          </w:p>
        </w:tc>
      </w:tr>
      <w:tr>
        <w:trPr>
          <w:trHeight w:val="229"/>
        </w:trPr>
        <w:tc>
          <w:tcPr>
            <w:tcW w:w="468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(20,828)</w:t>
            </w:r>
          </w:p>
        </w:tc>
      </w:tr>
      <w:tr>
        <w:trPr>
          <w:trHeight w:val="230"/>
        </w:trPr>
        <w:tc>
          <w:tcPr>
            <w:tcW w:w="4680" w:type="dxa"/>
            <w:vAlign w:val="bottom"/>
            <w:tcBorders>
              <w:bottom w:val="single" w:sz="8" w:color="CCEEFF"/>
            </w:tcBorders>
          </w:tcPr>
          <w:p>
            <w:pPr>
              <w:ind w:left="560"/>
              <w:spacing w:after="0" w:line="230" w:lineRule="exact"/>
              <w:rPr>
                <w:sz w:val="20"/>
                <w:szCs w:val="20"/>
                <w:color w:val="auto"/>
              </w:rPr>
            </w:pPr>
            <w:r>
              <w:rPr>
                <w:rFonts w:ascii="Arial" w:cs="Arial" w:eastAsia="Arial" w:hAnsi="Arial"/>
                <w:sz w:val="18"/>
                <w:szCs w:val="18"/>
                <w:color w:val="auto"/>
              </w:rPr>
              <w:t>Fair value and other adjustments</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(130,430)</w:t>
            </w:r>
          </w:p>
        </w:tc>
      </w:tr>
      <w:tr>
        <w:trPr>
          <w:trHeight w:val="223"/>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interest income and fair value adjustments,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(34,335)</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373,250</w:t>
            </w: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88,371</w:t>
            </w:r>
          </w:p>
        </w:tc>
      </w:tr>
      <w:tr>
        <w:trPr>
          <w:trHeight w:val="229"/>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operations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114,301</w:t>
            </w:r>
          </w:p>
        </w:tc>
      </w:tr>
      <w:tr>
        <w:trPr>
          <w:trHeight w:val="229"/>
        </w:trPr>
        <w:tc>
          <w:tcPr>
            <w:tcW w:w="4680" w:type="dxa"/>
            <w:vAlign w:val="bottom"/>
          </w:tcPr>
          <w:p>
            <w:pPr>
              <w:ind w:left="360"/>
              <w:spacing w:after="0"/>
              <w:rPr>
                <w:sz w:val="20"/>
                <w:szCs w:val="20"/>
                <w:color w:val="auto"/>
              </w:rPr>
            </w:pPr>
            <w:r>
              <w:rPr>
                <w:rFonts w:ascii="Arial" w:cs="Arial" w:eastAsia="Arial" w:hAnsi="Arial"/>
                <w:sz w:val="18"/>
                <w:szCs w:val="18"/>
                <w:color w:val="auto"/>
              </w:rPr>
              <w:t>Engineering and product development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222,986</w:t>
            </w:r>
          </w:p>
        </w:tc>
      </w:tr>
      <w:tr>
        <w:trPr>
          <w:trHeight w:val="23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156,616</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582,274</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(209,024)</w:t>
            </w: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11,334</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(197,690)</w:t>
            </w: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1"/>
        </w:trPr>
        <w:tc>
          <w:tcPr>
            <w:tcW w:w="4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(40,315)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(53,402)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Net loss per share,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175"/>
        </w:trPr>
        <w:tc>
          <w:tcPr>
            <w:tcW w:w="4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Weighted-average number of shares outstanding used in</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computing net loss per share, basic</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81,672,099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84,404,966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83,236,131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83,158,146</w:t>
            </w:r>
          </w:p>
        </w:tc>
      </w:tr>
      <w:tr>
        <w:trPr>
          <w:trHeight w:val="175"/>
        </w:trPr>
        <w:tc>
          <w:tcPr>
            <w:tcW w:w="468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number of shares outstanding used in</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computing net loss per share, diluted</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81,672,099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84,404,966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83,236,131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83,158,146</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21"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Balances for three and nine months ended September 30, 2023 include amounts related to the consolidated securitization. Refer to “</w:t>
      </w:r>
      <w:r>
        <w:rPr>
          <w:rFonts w:ascii="Arial" w:cs="Arial" w:eastAsia="Arial" w:hAnsi="Arial"/>
          <w:sz w:val="14"/>
          <w:szCs w:val="14"/>
          <w:i w:val="1"/>
          <w:iCs w:val="1"/>
          <w:color w:val="auto"/>
        </w:rPr>
        <w:t>Note 2. Revenue</w:t>
      </w:r>
      <w:r>
        <w:rPr>
          <w:rFonts w:ascii="Arial" w:cs="Arial" w:eastAsia="Arial" w:hAnsi="Arial"/>
          <w:sz w:val="14"/>
          <w:szCs w:val="14"/>
          <w:color w:val="auto"/>
        </w:rPr>
        <w:t>” for details.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9"/>
          </w:tcPr>
          <w:p>
            <w:pPr>
              <w:jc w:val="center"/>
              <w:ind w:left="639"/>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Additional Paid-in</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Total Stockholders’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ind w:left="500"/>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20" w:type="dxa"/>
            <w:vAlign w:val="bottom"/>
          </w:tcPr>
          <w:p>
            <w:pPr>
              <w:spacing w:after="0"/>
              <w:rPr>
                <w:sz w:val="17"/>
                <w:szCs w:val="17"/>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Retained Earnings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39"/>
              <w:spacing w:after="0"/>
              <w:rPr>
                <w:sz w:val="20"/>
                <w:szCs w:val="20"/>
                <w:color w:val="auto"/>
              </w:rPr>
            </w:pPr>
            <w:r>
              <w:rPr>
                <w:rFonts w:ascii="Arial" w:cs="Arial" w:eastAsia="Arial" w:hAnsi="Arial"/>
                <w:sz w:val="16"/>
                <w:szCs w:val="16"/>
                <w:b w:val="1"/>
                <w:bCs w:val="1"/>
                <w:color w:val="auto"/>
                <w:w w:val="93"/>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2022</w:t>
            </w:r>
          </w:p>
        </w:tc>
        <w:tc>
          <w:tcPr>
            <w:tcW w:w="1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82,188,372</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688,021</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69,042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757,071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360" w:type="dxa"/>
            <w:vAlign w:val="bottom"/>
          </w:tcPr>
          <w:p>
            <w:pPr>
              <w:spacing w:after="0" w:line="146" w:lineRule="exact"/>
              <w:rPr>
                <w:sz w:val="20"/>
                <w:szCs w:val="20"/>
                <w:color w:val="auto"/>
              </w:rPr>
            </w:pPr>
            <w:r>
              <w:rPr>
                <w:rFonts w:ascii="Arial" w:cs="Arial" w:eastAsia="Arial" w:hAnsi="Arial"/>
                <w:sz w:val="16"/>
                <w:szCs w:val="16"/>
                <w:color w:val="auto"/>
                <w:w w:val="94"/>
              </w:rPr>
              <w:t>Issuance of common stock upon exercise of stock</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270,390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1,319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options</w:t>
            </w:r>
          </w:p>
        </w:tc>
        <w:tc>
          <w:tcPr>
            <w:tcW w:w="1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3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Issuance of common stock upon settlement of</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units</w:t>
            </w:r>
          </w:p>
        </w:tc>
        <w:tc>
          <w:tcPr>
            <w:tcW w:w="15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38,206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3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4"/>
              </w:rPr>
              <w:t>Shares withheld related to net share settlement of</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188,726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units</w:t>
            </w:r>
          </w:p>
        </w:tc>
        <w:tc>
          <w:tcPr>
            <w:tcW w:w="15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360" w:type="dxa"/>
            <w:vAlign w:val="bottom"/>
          </w:tcPr>
          <w:p>
            <w:pPr>
              <w:spacing w:after="0" w:line="166" w:lineRule="exact"/>
              <w:rPr>
                <w:sz w:val="20"/>
                <w:szCs w:val="20"/>
                <w:color w:val="auto"/>
              </w:rPr>
            </w:pPr>
            <w:r>
              <w:rPr>
                <w:rFonts w:ascii="Arial" w:cs="Arial" w:eastAsia="Arial" w:hAnsi="Arial"/>
                <w:sz w:val="16"/>
                <w:szCs w:val="16"/>
                <w:color w:val="auto"/>
                <w:w w:val="95"/>
              </w:rPr>
              <w:t>Issuance of common stock under employee stock</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114,902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3,231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purchase plan</w:t>
            </w:r>
          </w:p>
        </w:tc>
        <w:tc>
          <w:tcPr>
            <w:tcW w:w="1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stock</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(930,893)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(56,223)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September 30, 2022</w:t>
            </w:r>
          </w:p>
        </w:tc>
        <w:tc>
          <w:tcPr>
            <w:tcW w:w="1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81,831,178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gridSpan w:val="2"/>
            <w:shd w:val="clear" w:color="auto" w:fill="CCEEFF"/>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705,741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gridSpan w:val="2"/>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718,568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center"/>
              <w:ind w:left="679"/>
              <w:spacing w:after="0"/>
              <w:rPr>
                <w:sz w:val="20"/>
                <w:szCs w:val="20"/>
                <w:color w:val="auto"/>
              </w:rPr>
            </w:pPr>
            <w:r>
              <w:rPr>
                <w:rFonts w:ascii="Arial" w:cs="Arial" w:eastAsia="Arial" w:hAnsi="Arial"/>
                <w:sz w:val="16"/>
                <w:szCs w:val="16"/>
                <w:b w:val="1"/>
                <w:bCs w:val="1"/>
                <w:color w:val="auto"/>
                <w:w w:val="91"/>
              </w:rPr>
              <w:t>Nine Months Ended September 30, 2022</w:t>
            </w: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Additional Paid-in</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Total Stockholders’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Capital</w:t>
            </w:r>
          </w:p>
        </w:tc>
        <w:tc>
          <w:tcPr>
            <w:tcW w:w="20" w:type="dxa"/>
            <w:vAlign w:val="bottom"/>
          </w:tcPr>
          <w:p>
            <w:pPr>
              <w:spacing w:after="0"/>
              <w:rPr>
                <w:sz w:val="17"/>
                <w:szCs w:val="17"/>
                <w:color w:val="auto"/>
              </w:rPr>
            </w:pP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Retained Earnings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b w:val="1"/>
                <w:bCs w:val="1"/>
                <w:color w:val="auto"/>
                <w:w w:val="93"/>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83,659,665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740,849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66,221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807,078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20"/>
              <w:spacing w:after="0" w:line="146" w:lineRule="exact"/>
              <w:rPr>
                <w:sz w:val="20"/>
                <w:szCs w:val="20"/>
                <w:color w:val="auto"/>
              </w:rPr>
            </w:pPr>
            <w:r>
              <w:rPr>
                <w:rFonts w:ascii="Arial" w:cs="Arial" w:eastAsia="Arial" w:hAnsi="Arial"/>
                <w:sz w:val="16"/>
                <w:szCs w:val="16"/>
                <w:color w:val="auto"/>
                <w:w w:val="95"/>
              </w:rPr>
              <w:t>Issuance of common stock upon exercise of stock</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2,074,763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10,725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options</w:t>
            </w:r>
          </w:p>
        </w:tc>
        <w:tc>
          <w:tcPr>
            <w:tcW w:w="1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upon settlement of</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179,559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15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5"/>
              </w:rPr>
              <w:t>Shares withheld related to net share settlement of</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188,726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restricted stock units</w:t>
            </w:r>
          </w:p>
        </w:tc>
        <w:tc>
          <w:tcPr>
            <w:tcW w:w="1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4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5"/>
              </w:rPr>
              <w:t>Issuance of common stock under employee stock</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162,796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7,662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7,662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purchase plan</w:t>
            </w:r>
          </w:p>
        </w:tc>
        <w:tc>
          <w:tcPr>
            <w:tcW w:w="1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Repurchases of stock</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(4,434,331)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(53,402)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81,831,178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705,741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718,568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3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7"/>
          </w:tcPr>
          <w:p>
            <w:pPr>
              <w:jc w:val="center"/>
              <w:ind w:left="702"/>
              <w:spacing w:after="0"/>
              <w:rPr>
                <w:sz w:val="20"/>
                <w:szCs w:val="20"/>
                <w:color w:val="auto"/>
              </w:rPr>
            </w:pPr>
            <w:r>
              <w:rPr>
                <w:rFonts w:ascii="Arial" w:cs="Arial" w:eastAsia="Arial" w:hAnsi="Arial"/>
                <w:sz w:val="16"/>
                <w:szCs w:val="16"/>
                <w:b w:val="1"/>
                <w:bCs w:val="1"/>
                <w:color w:val="auto"/>
                <w:w w:val="91"/>
              </w:rPr>
              <w:t>Three Months Ended September 30, 2023</w:t>
            </w: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360" w:type="dxa"/>
            <w:vAlign w:val="bottom"/>
          </w:tcPr>
          <w:p>
            <w:pPr>
              <w:spacing w:after="0"/>
              <w:rPr>
                <w:sz w:val="24"/>
                <w:szCs w:val="24"/>
                <w:color w:val="auto"/>
              </w:rPr>
            </w:pPr>
          </w:p>
        </w:tc>
        <w:tc>
          <w:tcPr>
            <w:tcW w:w="272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Additional Paid-in</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Total Stockholders’</w:t>
            </w: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7"/>
                <w:szCs w:val="17"/>
                <w:color w:val="auto"/>
              </w:rPr>
            </w:pPr>
          </w:p>
        </w:tc>
        <w:tc>
          <w:tcPr>
            <w:tcW w:w="1580" w:type="dxa"/>
            <w:vAlign w:val="bottom"/>
            <w:gridSpan w:val="2"/>
          </w:tcPr>
          <w:p>
            <w:pPr>
              <w:ind w:left="500"/>
              <w:spacing w:after="0"/>
              <w:rPr>
                <w:sz w:val="20"/>
                <w:szCs w:val="20"/>
                <w:color w:val="auto"/>
              </w:rPr>
            </w:pPr>
            <w:r>
              <w:rPr>
                <w:rFonts w:ascii="Arial" w:cs="Arial" w:eastAsia="Arial" w:hAnsi="Arial"/>
                <w:sz w:val="16"/>
                <w:szCs w:val="16"/>
                <w:b w:val="1"/>
                <w:bCs w:val="1"/>
                <w:color w:val="auto"/>
              </w:rPr>
              <w:t>Shares</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Capital</w:t>
            </w: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Deficit</w:t>
            </w:r>
          </w:p>
        </w:tc>
        <w:tc>
          <w:tcPr>
            <w:tcW w:w="300" w:type="dxa"/>
            <w:vAlign w:val="bottom"/>
          </w:tcPr>
          <w:p>
            <w:pPr>
              <w:spacing w:after="0"/>
              <w:rPr>
                <w:sz w:val="17"/>
                <w:szCs w:val="17"/>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83,811,484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8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838,000</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2"/>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(199,863)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638,145</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6"/>
                <w:szCs w:val="16"/>
                <w:color w:val="auto"/>
                <w:w w:val="94"/>
              </w:rPr>
              <w:t>Issuance of common stock upon exercise of stock</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288,111</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2,802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6"/>
                <w:szCs w:val="16"/>
                <w:color w:val="auto"/>
              </w:rPr>
              <w:t>options</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Issuance of common stock upon settlement of</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777,969</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units</w:t>
            </w: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line="166" w:lineRule="exact"/>
              <w:rPr>
                <w:sz w:val="20"/>
                <w:szCs w:val="20"/>
                <w:color w:val="auto"/>
              </w:rPr>
            </w:pPr>
            <w:r>
              <w:rPr>
                <w:rFonts w:ascii="Arial" w:cs="Arial" w:eastAsia="Arial" w:hAnsi="Arial"/>
                <w:sz w:val="16"/>
                <w:szCs w:val="16"/>
                <w:color w:val="auto"/>
                <w:w w:val="94"/>
              </w:rPr>
              <w:t>Shares withheld related to net share settlement of</w:t>
            </w: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4"/>
                <w:szCs w:val="14"/>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5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37,428</w:t>
            </w:r>
          </w:p>
        </w:tc>
        <w:tc>
          <w:tcPr>
            <w:tcW w:w="0" w:type="dxa"/>
            <w:vAlign w:val="bottom"/>
          </w:tcPr>
          <w:p>
            <w:pPr>
              <w:spacing w:after="0"/>
              <w:rPr>
                <w:sz w:val="1"/>
                <w:szCs w:val="1"/>
                <w:color w:val="auto"/>
              </w:rPr>
            </w:pPr>
          </w:p>
        </w:tc>
      </w:tr>
      <w:tr>
        <w:trPr>
          <w:trHeight w:val="166"/>
        </w:trPr>
        <w:tc>
          <w:tcPr>
            <w:tcW w:w="3360" w:type="dxa"/>
            <w:vAlign w:val="bottom"/>
          </w:tcPr>
          <w:p>
            <w:pPr>
              <w:spacing w:after="0" w:line="166" w:lineRule="exact"/>
              <w:rPr>
                <w:sz w:val="20"/>
                <w:szCs w:val="20"/>
                <w:color w:val="auto"/>
              </w:rPr>
            </w:pPr>
            <w:r>
              <w:rPr>
                <w:rFonts w:ascii="Arial" w:cs="Arial" w:eastAsia="Arial" w:hAnsi="Arial"/>
                <w:sz w:val="16"/>
                <w:szCs w:val="16"/>
                <w:color w:val="auto"/>
                <w:w w:val="95"/>
              </w:rPr>
              <w:t>Issuance of common stock under employee stock</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147,325</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6"/>
                <w:szCs w:val="16"/>
                <w:color w:val="auto"/>
              </w:rPr>
              <w:t>purchase plan</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(40,315)</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Arial" w:cs="Arial" w:eastAsia="Arial" w:hAnsi="Arial"/>
                <w:sz w:val="16"/>
                <w:szCs w:val="16"/>
                <w:b w:val="1"/>
                <w:bCs w:val="1"/>
                <w:color w:val="auto"/>
              </w:rPr>
              <w:t>Balance as of September 30, 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85,024,889</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880,933</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(240,178)</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640,764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8"/>
        </w:trPr>
        <w:tc>
          <w:tcPr>
            <w:tcW w:w="336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jc w:val="center"/>
              <w:ind w:left="702"/>
              <w:spacing w:after="0"/>
              <w:rPr>
                <w:sz w:val="20"/>
                <w:szCs w:val="20"/>
                <w:color w:val="auto"/>
              </w:rPr>
            </w:pPr>
            <w:r>
              <w:rPr>
                <w:rFonts w:ascii="Arial" w:cs="Arial" w:eastAsia="Arial" w:hAnsi="Arial"/>
                <w:sz w:val="16"/>
                <w:szCs w:val="16"/>
                <w:b w:val="1"/>
                <w:bCs w:val="1"/>
                <w:color w:val="auto"/>
                <w:w w:val="91"/>
              </w:rPr>
              <w:t>Nine Months Ended September 30, 2023</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60" w:type="dxa"/>
            <w:vAlign w:val="bottom"/>
          </w:tcPr>
          <w:p>
            <w:pPr>
              <w:spacing w:after="0"/>
              <w:rPr>
                <w:sz w:val="24"/>
                <w:szCs w:val="24"/>
                <w:color w:val="auto"/>
              </w:rPr>
            </w:pPr>
          </w:p>
        </w:tc>
        <w:tc>
          <w:tcPr>
            <w:tcW w:w="272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Additional Paid-in</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Total Stockholders’</w:t>
            </w: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7"/>
                <w:szCs w:val="17"/>
                <w:color w:val="auto"/>
              </w:rPr>
            </w:pPr>
          </w:p>
        </w:tc>
        <w:tc>
          <w:tcPr>
            <w:tcW w:w="1580" w:type="dxa"/>
            <w:vAlign w:val="bottom"/>
            <w:gridSpan w:val="2"/>
          </w:tcPr>
          <w:p>
            <w:pPr>
              <w:ind w:left="500"/>
              <w:spacing w:after="0"/>
              <w:rPr>
                <w:sz w:val="20"/>
                <w:szCs w:val="20"/>
                <w:color w:val="auto"/>
              </w:rPr>
            </w:pPr>
            <w:r>
              <w:rPr>
                <w:rFonts w:ascii="Arial" w:cs="Arial" w:eastAsia="Arial" w:hAnsi="Arial"/>
                <w:sz w:val="16"/>
                <w:szCs w:val="16"/>
                <w:b w:val="1"/>
                <w:bCs w:val="1"/>
                <w:color w:val="auto"/>
              </w:rPr>
              <w:t>Shares</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Capital</w:t>
            </w: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Deficit</w:t>
            </w:r>
          </w:p>
        </w:tc>
        <w:tc>
          <w:tcPr>
            <w:tcW w:w="300" w:type="dxa"/>
            <w:vAlign w:val="bottom"/>
          </w:tcPr>
          <w:p>
            <w:pPr>
              <w:spacing w:after="0"/>
              <w:rPr>
                <w:sz w:val="17"/>
                <w:szCs w:val="17"/>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81,259,676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8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714,871</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2"/>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(42,444)</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672,435</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6"/>
                <w:szCs w:val="16"/>
                <w:color w:val="auto"/>
                <w:w w:val="94"/>
              </w:rPr>
              <w:t>Issuance of common stock upon exercise of stock</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1,058,804</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9,474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9,475</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6"/>
                <w:szCs w:val="16"/>
                <w:color w:val="auto"/>
              </w:rPr>
              <w:t>options</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Issuance of common stock upon settlement of</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2,247,325</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units</w:t>
            </w: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line="166" w:lineRule="exact"/>
              <w:rPr>
                <w:sz w:val="20"/>
                <w:szCs w:val="20"/>
                <w:color w:val="auto"/>
              </w:rPr>
            </w:pPr>
            <w:r>
              <w:rPr>
                <w:rFonts w:ascii="Arial" w:cs="Arial" w:eastAsia="Arial" w:hAnsi="Arial"/>
                <w:sz w:val="16"/>
                <w:szCs w:val="16"/>
                <w:color w:val="auto"/>
                <w:w w:val="94"/>
              </w:rPr>
              <w:t>Shares withheld related to net share settlement of</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148,163</w:t>
            </w:r>
          </w:p>
        </w:tc>
        <w:tc>
          <w:tcPr>
            <w:tcW w:w="0" w:type="dxa"/>
            <w:vAlign w:val="bottom"/>
          </w:tcPr>
          <w:p>
            <w:pPr>
              <w:spacing w:after="0"/>
              <w:rPr>
                <w:sz w:val="1"/>
                <w:szCs w:val="1"/>
                <w:color w:val="auto"/>
              </w:rPr>
            </w:pPr>
          </w:p>
        </w:tc>
      </w:tr>
      <w:tr>
        <w:trPr>
          <w:trHeight w:val="166"/>
        </w:trPr>
        <w:tc>
          <w:tcPr>
            <w:tcW w:w="3360" w:type="dxa"/>
            <w:vAlign w:val="bottom"/>
          </w:tcPr>
          <w:p>
            <w:pPr>
              <w:spacing w:after="0" w:line="166" w:lineRule="exact"/>
              <w:rPr>
                <w:sz w:val="20"/>
                <w:szCs w:val="20"/>
                <w:color w:val="auto"/>
              </w:rPr>
            </w:pPr>
            <w:r>
              <w:rPr>
                <w:rFonts w:ascii="Arial" w:cs="Arial" w:eastAsia="Arial" w:hAnsi="Arial"/>
                <w:sz w:val="16"/>
                <w:szCs w:val="16"/>
                <w:color w:val="auto"/>
                <w:w w:val="95"/>
              </w:rPr>
              <w:t>Issuance of common stock under employee stock</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459,459</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8,431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8,431</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6"/>
                <w:szCs w:val="16"/>
                <w:color w:val="auto"/>
              </w:rPr>
              <w:t>purchase plan</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(197,734)</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Arial" w:cs="Arial" w:eastAsia="Arial" w:hAnsi="Arial"/>
                <w:sz w:val="16"/>
                <w:szCs w:val="16"/>
                <w:b w:val="1"/>
                <w:bCs w:val="1"/>
                <w:color w:val="auto"/>
              </w:rPr>
              <w:t>Balance as of September 30, 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85,024,889</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880,933</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(240,178)</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640,764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7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(53,402)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(197,734)</w:t>
            </w:r>
          </w:p>
        </w:tc>
      </w:tr>
      <w:tr>
        <w:trPr>
          <w:trHeight w:val="250"/>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Change in fair value of financial instruments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71,056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151,317</w:t>
            </w: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142,273</w:t>
            </w: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Gain on loan servicing arrangement,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(10,432)</w:t>
            </w:r>
          </w:p>
        </w:tc>
      </w:tr>
      <w:tr>
        <w:trPr>
          <w:trHeight w:val="229"/>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w:t>
            </w: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Non-cash interest expense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2,296</w:t>
            </w:r>
          </w:p>
        </w:tc>
      </w:tr>
      <w:tr>
        <w:trPr>
          <w:trHeight w:val="229"/>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Net changes in operating assets and liabilities: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loans held-for-sale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(2,076,734)</w:t>
            </w:r>
          </w:p>
        </w:tc>
      </w:tr>
      <w:tr>
        <w:trPr>
          <w:trHeight w:val="229"/>
        </w:trPr>
        <w:tc>
          <w:tcPr>
            <w:tcW w:w="7920" w:type="dxa"/>
            <w:vAlign w:val="bottom"/>
          </w:tcPr>
          <w:p>
            <w:pPr>
              <w:ind w:left="340"/>
              <w:spacing w:after="0"/>
              <w:rPr>
                <w:sz w:val="20"/>
                <w:szCs w:val="20"/>
                <w:color w:val="auto"/>
              </w:rPr>
            </w:pPr>
            <w:r>
              <w:rPr>
                <w:rFonts w:ascii="Arial" w:cs="Arial" w:eastAsia="Arial" w:hAnsi="Arial"/>
                <w:sz w:val="18"/>
                <w:szCs w:val="18"/>
                <w:color w:val="auto"/>
              </w:rPr>
              <w:t>Proceeds from sale of loans held-for-sale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6,374,107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1,875,358</w:t>
            </w:r>
          </w:p>
        </w:tc>
      </w:tr>
      <w:tr>
        <w:trPr>
          <w:trHeight w:val="230"/>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received for loans held-for-sale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139,582</w:t>
            </w:r>
          </w:p>
        </w:tc>
      </w:tr>
      <w:tr>
        <w:trPr>
          <w:trHeight w:val="229"/>
        </w:trPr>
        <w:tc>
          <w:tcPr>
            <w:tcW w:w="7920" w:type="dxa"/>
            <w:vAlign w:val="bottom"/>
          </w:tcPr>
          <w:p>
            <w:pPr>
              <w:ind w:left="340"/>
              <w:spacing w:after="0"/>
              <w:rPr>
                <w:sz w:val="20"/>
                <w:szCs w:val="20"/>
                <w:color w:val="auto"/>
              </w:rPr>
            </w:pPr>
            <w:r>
              <w:rPr>
                <w:rFonts w:ascii="Arial" w:cs="Arial" w:eastAsia="Arial" w:hAnsi="Arial"/>
                <w:sz w:val="18"/>
                <w:szCs w:val="18"/>
                <w:color w:val="auto"/>
              </w:rPr>
              <w:t>Principal payments received for loans held by consolidated securitization</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12,302</w:t>
            </w:r>
          </w:p>
        </w:tc>
      </w:tr>
      <w:tr>
        <w:trPr>
          <w:trHeight w:val="229"/>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920" w:type="dxa"/>
            <w:vAlign w:val="bottom"/>
          </w:tcPr>
          <w:p>
            <w:pPr>
              <w:ind w:left="340"/>
              <w:spacing w:after="0"/>
              <w:rPr>
                <w:sz w:val="20"/>
                <w:szCs w:val="20"/>
                <w:color w:val="auto"/>
              </w:rPr>
            </w:pPr>
            <w:r>
              <w:rPr>
                <w:rFonts w:ascii="Arial" w:cs="Arial" w:eastAsia="Arial" w:hAnsi="Arial"/>
                <w:sz w:val="18"/>
                <w:szCs w:val="18"/>
                <w:color w:val="auto"/>
              </w:rPr>
              <w:t>Operating lease liability and right-of-use asset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1,563</w:t>
            </w:r>
          </w:p>
        </w:tc>
      </w:tr>
      <w:tr>
        <w:trPr>
          <w:trHeight w:val="229"/>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(11,699)</w:t>
            </w:r>
          </w:p>
        </w:tc>
      </w:tr>
      <w:tr>
        <w:trPr>
          <w:trHeight w:val="230"/>
        </w:trPr>
        <w:tc>
          <w:tcPr>
            <w:tcW w:w="7920" w:type="dxa"/>
            <w:vAlign w:val="bottom"/>
          </w:tcPr>
          <w:p>
            <w:pPr>
              <w:ind w:left="340"/>
              <w:spacing w:after="0"/>
              <w:rPr>
                <w:sz w:val="20"/>
                <w:szCs w:val="20"/>
                <w:color w:val="auto"/>
              </w:rPr>
            </w:pPr>
            <w:r>
              <w:rPr>
                <w:rFonts w:ascii="Arial" w:cs="Arial" w:eastAsia="Arial" w:hAnsi="Arial"/>
                <w:sz w:val="18"/>
                <w:szCs w:val="18"/>
                <w:color w:val="auto"/>
              </w:rPr>
              <w:t>Payable to investors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(44,919)</w:t>
            </w:r>
          </w:p>
        </w:tc>
      </w:tr>
      <w:tr>
        <w:trPr>
          <w:trHeight w:val="229"/>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(13,521)</w:t>
            </w:r>
          </w:p>
        </w:tc>
      </w:tr>
      <w:tr>
        <w:trPr>
          <w:trHeight w:val="223"/>
        </w:trPr>
        <w:tc>
          <w:tcPr>
            <w:tcW w:w="79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(16,781)</w:t>
            </w:r>
          </w:p>
        </w:tc>
      </w:tr>
      <w:tr>
        <w:trPr>
          <w:trHeight w:val="250"/>
        </w:trPr>
        <w:tc>
          <w:tcPr>
            <w:tcW w:w="7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loans held-for-investment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(121,294)</w:t>
            </w: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Proceeds from sale of loans held-for-investment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received for loans held-for-investment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78,327</w:t>
            </w: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Principal payments received for notes receivable and repayments of residual certificates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3,556</w:t>
            </w: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beneficial interests</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(39,505)</w:t>
            </w: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Purchase of non-marketable equity securities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30"/>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Capitalized software costs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w:t>
            </w:r>
          </w:p>
        </w:tc>
      </w:tr>
      <w:tr>
        <w:trPr>
          <w:trHeight w:val="223"/>
        </w:trPr>
        <w:tc>
          <w:tcPr>
            <w:tcW w:w="7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(88,562)</w:t>
            </w:r>
          </w:p>
        </w:tc>
      </w:tr>
      <w:tr>
        <w:trPr>
          <w:trHeight w:val="250"/>
        </w:trPr>
        <w:tc>
          <w:tcPr>
            <w:tcW w:w="7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Payments made on securitization notes</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(10,016)</w:t>
            </w:r>
          </w:p>
        </w:tc>
      </w:tr>
      <w:tr>
        <w:trPr>
          <w:trHeight w:val="229"/>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securitization notes</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165,318</w:t>
            </w: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Proceeds from borrowings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529,494</w:t>
            </w: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of borrowings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(514,792)</w:t>
            </w: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8,431</w:t>
            </w:r>
          </w:p>
        </w:tc>
      </w:tr>
      <w:tr>
        <w:trPr>
          <w:trHeight w:val="229"/>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w:t>
            </w: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6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7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3"/>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187,904</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and restricted cash</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82,561</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Cash and restricted cash</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532,467</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Cash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829,926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615,028</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22,481</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Cash (received) paid for income taxes,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70"/>
        </w:trPr>
        <w:tc>
          <w:tcPr>
            <w:tcW w:w="79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retained under consolidated securitization transaction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44,763</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Beneficial interests included in payable to investors</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5,749</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cash and restricted cash by category within the unaudited condensed consolidated balance sheets: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September 30,</w:t>
            </w:r>
          </w:p>
        </w:tc>
      </w:tr>
      <w:tr>
        <w:trPr>
          <w:trHeight w:val="234"/>
        </w:trPr>
        <w:tc>
          <w:tcPr>
            <w:tcW w:w="7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516,581</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98,447</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615,028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20"/>
        <w:spacing w:after="0"/>
        <w:tabs>
          <w:tab w:leader="none" w:pos="13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 and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Upstart Holdings, Inc. and its subsidiaries (together “Upstart”, the “Company”, “we”, or “our”) apply artificial intelligence models and cloud applications to the process of originating consumer credit. The Company helps originate credit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on the same basis as the annual consolidated financial statements included in our Annual Report on Form 10-K. Certain prior period amounts have been reclassified or disaggregated where appropriate to conform to the current period presentation of such amounts. In the opinion of management, the accompanying condensed consolidated financial statements reflect all adjustments, which include only normal recurring adjustments, necessary to state fairly the Company’s financial position, results of operations, comprehensive loss and cash flows for the periods presented, but are not necessarily indicative of the results of operations to be anticipated of any future annual or interim periods.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information and disclosures normally included in the financial statements prepared in accordance with GAAP have been condensed or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evaluates its contracts and financial instruments to determine if these contracts and instruments or their parts meet the definition of derivatives in accordance with the requirements of the Financial Accounting Standards Board (“FASB”)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Derivatives are recorded on the condensed consolidated balance sheets at fair value with changes in the value recorded in</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on the condensed consolidated statements of operations and comprehensive loss, and are reported within the net cash used in operating activities in the condensed consolidated statements of cash flows.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Company uses derivative instruments to manage risks related to our ongoing business operations, including managing interest rates on our warehouse facilities. The Company does not employ derivatives for trading or speculative purposes and has no derivatives classified as accounting hedges. Refer to </w:t>
      </w:r>
      <w:r>
        <w:rPr>
          <w:rFonts w:ascii="Arial" w:cs="Arial" w:eastAsia="Arial" w:hAnsi="Arial"/>
          <w:sz w:val="18"/>
          <w:szCs w:val="18"/>
          <w:i w:val="1"/>
          <w:iCs w:val="1"/>
          <w:color w:val="auto"/>
        </w:rPr>
        <w:t xml:space="preserve">“Note 4. Derivative Financial Instruments” </w:t>
      </w:r>
      <w:r>
        <w:rPr>
          <w:rFonts w:ascii="Arial" w:cs="Arial" w:eastAsia="Arial" w:hAnsi="Arial"/>
          <w:sz w:val="18"/>
          <w:szCs w:val="18"/>
          <w:color w:val="auto"/>
        </w:rPr>
        <w:t>for additional information.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Beneficial Interests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Beneficial interests represent the Company’s right to receive or an obligation to make cash payments to certain loan buyers based on the performance of credit losses of the underlying loan portfolios. The Company evaluates these arrangements to determine if they or their components meet the characteristics of derivative instruments. Beneficial interests that meet such characteristics are reported in accordance with the derivative financial instruments policy. For other beneficial interests that meet the criteria of a debt security, the Company has elected to record the arrangement at fair value and recognize the changes in fair value and other adjustments on the condensed consolidated statements of operations and comprehensive loss. Refer to </w:t>
      </w:r>
      <w:r>
        <w:rPr>
          <w:rFonts w:ascii="Arial" w:cs="Arial" w:eastAsia="Arial" w:hAnsi="Arial"/>
          <w:sz w:val="18"/>
          <w:szCs w:val="18"/>
          <w:i w:val="1"/>
          <w:iCs w:val="1"/>
          <w:color w:val="auto"/>
        </w:rPr>
        <w:t xml:space="preserve">“Note 5. Beneficial Interests” </w:t>
      </w:r>
      <w:r>
        <w:rPr>
          <w:rFonts w:ascii="Arial" w:cs="Arial" w:eastAsia="Arial" w:hAnsi="Arial"/>
          <w:sz w:val="18"/>
          <w:szCs w:val="18"/>
          <w:color w:val="auto"/>
        </w:rPr>
        <w:t>for additional information.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Securitization</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 elected the measurement alternative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and maximizes the use of observable inputs to estimate the fair value of the financial assets and liabilities of a consolidated securitization entity. Under the measurement alternative, the Company determined that the fair value of the liabilities, which consists of securitization notes and residual certificates issued by the entity, is based on more observable inputs than inputs used to determine the fair value of the assets, which consists of held-for-sale loans. Thus, the fair value of these loans is determined by the sum of the fair value of the related securitization notes and residual certificates. Changes in the fair value of these assets and liabilities are included in the consolidated statements of operations and comprehensive loss. See “</w:t>
      </w:r>
      <w:r>
        <w:rPr>
          <w:rFonts w:ascii="Arial" w:cs="Arial" w:eastAsia="Arial" w:hAnsi="Arial"/>
          <w:sz w:val="18"/>
          <w:szCs w:val="18"/>
          <w:i w:val="1"/>
          <w:iCs w:val="1"/>
          <w:color w:val="auto"/>
        </w:rPr>
        <w:t>Note 3. Variable Interest Entities</w:t>
      </w:r>
      <w:r>
        <w:rPr>
          <w:rFonts w:ascii="Arial" w:cs="Arial" w:eastAsia="Arial" w:hAnsi="Arial"/>
          <w:sz w:val="18"/>
          <w:szCs w:val="18"/>
          <w:color w:val="auto"/>
        </w:rPr>
        <w:t>” and “</w:t>
      </w:r>
      <w:r>
        <w:rPr>
          <w:rFonts w:ascii="Arial" w:cs="Arial" w:eastAsia="Arial" w:hAnsi="Arial"/>
          <w:sz w:val="18"/>
          <w:szCs w:val="18"/>
          <w:i w:val="1"/>
          <w:iCs w:val="1"/>
          <w:color w:val="auto"/>
        </w:rPr>
        <w:t>Note 6. Fair Value Measurement</w:t>
      </w:r>
      <w:r>
        <w:rPr>
          <w:rFonts w:ascii="Arial" w:cs="Arial" w:eastAsia="Arial" w:hAnsi="Arial"/>
          <w:sz w:val="18"/>
          <w:szCs w:val="18"/>
          <w:color w:val="auto"/>
        </w:rPr>
        <w:t>” for additional information.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January 1, 2023, the Company adopted Accounting Standards Update (“ASU”) 2021-08, </w:t>
      </w:r>
      <w:r>
        <w:rPr>
          <w:rFonts w:ascii="Arial" w:cs="Arial" w:eastAsia="Arial" w:hAnsi="Arial"/>
          <w:sz w:val="18"/>
          <w:szCs w:val="18"/>
          <w:i w:val="1"/>
          <w:iCs w:val="1"/>
          <w:color w:val="auto"/>
        </w:rPr>
        <w:t>Business Combinations (Topic 805):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 Assets and Contract Liabilities from Contracts with Customers, </w:t>
      </w:r>
      <w:r>
        <w:rPr>
          <w:rFonts w:ascii="Arial" w:cs="Arial" w:eastAsia="Arial" w:hAnsi="Arial"/>
          <w:sz w:val="18"/>
          <w:szCs w:val="18"/>
          <w:color w:val="auto"/>
        </w:rPr>
        <w:t>which was issued by the FASB in October 2021. The new guidance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assets and contract liabilities acquired in a business combination to be recognized and measured by the acquirer on the acquisition date in accordance with ASC 606</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as if it had originated the contracts. Under the previous business combinations guidance, such assets and liabilities are recognized by the acquirer at fair value on the acquisition date. The ASU will be applied prospectively to business combinations occurring after the adoption date. The adoption of this new standard did not have an impact on the Company's condensed consolidated financial statements or related disclosures.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October 2023, the FASB issued ASU 2023-06, </w:t>
      </w:r>
      <w:r>
        <w:rPr>
          <w:rFonts w:ascii="Arial" w:cs="Arial" w:eastAsia="Arial" w:hAnsi="Arial"/>
          <w:sz w:val="17"/>
          <w:szCs w:val="17"/>
          <w:i w:val="1"/>
          <w:iCs w:val="1"/>
          <w:color w:val="auto"/>
        </w:rPr>
        <w:t>Disclosure Improvements: Codification Amendments in Response to the SEC’s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Update and Simplification Initiative </w:t>
      </w:r>
      <w:r>
        <w:rPr>
          <w:rFonts w:ascii="Arial" w:cs="Arial" w:eastAsia="Arial" w:hAnsi="Arial"/>
          <w:sz w:val="17"/>
          <w:szCs w:val="17"/>
          <w:color w:val="auto"/>
        </w:rPr>
        <w:t>(the “Update”)</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amendments in this Update clarify or improve current disclosure and presentation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variety of topics, including ASC 230-10,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ASC 260-10,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470-10, </w:t>
      </w:r>
      <w:r>
        <w:rPr>
          <w:rFonts w:ascii="Arial" w:cs="Arial" w:eastAsia="Arial" w:hAnsi="Arial"/>
          <w:sz w:val="17"/>
          <w:szCs w:val="17"/>
          <w:i w:val="1"/>
          <w:iCs w:val="1"/>
          <w:color w:val="auto"/>
        </w:rPr>
        <w:t>Debt</w:t>
      </w:r>
      <w:r>
        <w:rPr>
          <w:rFonts w:ascii="Arial" w:cs="Arial" w:eastAsia="Arial" w:hAnsi="Arial"/>
          <w:sz w:val="17"/>
          <w:szCs w:val="17"/>
          <w:color w:val="auto"/>
        </w:rPr>
        <w:t xml:space="preserve">, and ASC 815-10,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and are intended to align requirements under GAAP with those under Regulation S-X or Regulation S-K. The effective date for each amendment in the Update will be the date on which the SEC’s removal of that related disclosure from Regulation S-X or Regulation S-K becomes effective. However, if by June 30, 2027, the SEC has not removed the applicable requirements from Regulation S-X or Regulation S-K, the amendments will not be effective for any entities. Early adoption is prohibited and the amendments should be applied prospectively.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Company is currently evaluating the impact of the amendments to its condensed consolidated financial statements and related disclosures.</w:t>
      </w:r>
    </w:p>
    <w:p>
      <w:pPr>
        <w:spacing w:after="0" w:line="248" w:lineRule="exact"/>
        <w:rPr>
          <w:sz w:val="20"/>
          <w:szCs w:val="20"/>
          <w:color w:val="auto"/>
        </w:rPr>
      </w:pPr>
    </w:p>
    <w:p>
      <w:pPr>
        <w:ind w:left="1020"/>
        <w:spacing w:after="0"/>
        <w:tabs>
          <w:tab w:leader="none" w:pos="1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disaggregates revenue from fees by type of service for the periods presented as follows: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Three Months Ended September 30,</w:t>
            </w:r>
          </w:p>
        </w:tc>
        <w:tc>
          <w:tcPr>
            <w:tcW w:w="180" w:type="dxa"/>
            <w:vAlign w:val="bottom"/>
          </w:tcPr>
          <w:p>
            <w:pPr>
              <w:spacing w:after="0"/>
              <w:rPr>
                <w:sz w:val="20"/>
                <w:szCs w:val="20"/>
                <w:color w:val="auto"/>
              </w:rPr>
            </w:pPr>
          </w:p>
        </w:tc>
        <w:tc>
          <w:tcPr>
            <w:tcW w:w="30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7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700" w:type="dxa"/>
            <w:vAlign w:val="bottom"/>
          </w:tcPr>
          <w:p>
            <w:pPr>
              <w:ind w:left="340"/>
              <w:spacing w:after="0"/>
              <w:rPr>
                <w:sz w:val="20"/>
                <w:szCs w:val="20"/>
                <w:color w:val="auto"/>
              </w:rPr>
            </w:pPr>
            <w:r>
              <w:rPr>
                <w:rFonts w:ascii="Arial" w:cs="Arial" w:eastAsia="Arial" w:hAnsi="Arial"/>
                <w:sz w:val="18"/>
                <w:szCs w:val="18"/>
                <w:color w:val="auto"/>
              </w:rPr>
              <w:t>Platform and referral fees,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134,786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112,437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618,208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295,859</w:t>
            </w:r>
          </w:p>
        </w:tc>
      </w:tr>
      <w:tr>
        <w:trPr>
          <w:trHeight w:val="229"/>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Servicing and other fees,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133,467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111,726</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revenue from fees,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146,755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751,675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407,585</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and Referral Fees, Net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enters into contracts with lending partners to provide access to a cloud-based artificial intelligence lending marketplace developed by the Company (the “Upstart platform”) to enable lending partners to originate unsecured personal and secured auto loans. The Upstart platform includes a cloud-based application (through Upstart.com or a lending partner-branded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22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After origination, Upstart-powered loans are either retained by lending partners, purchased by the Company for immediate resale to institutional investors under loan sale agreements, or purchased and held by the Company. For loans purchased by the Company, Upstart pays lending partners a one-time loan premium fee upon completion of the minimum contractual holding period. Upstart also pays lending partners monthly loan trailing fees based on the amount and timing of principal and interest payments made by borrowers of the underlying loans. Both the loan 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loss. The Company recognized $6.1 million and $20.9 million of loan premium fees and loan trailing fees as contra-revenue within platform and referral fees, net during the three and nine months ended September 30, 2022, respectively, and $2.2 million and $5.6 million during the three and nine months ended September 30, 2023, respectively.</w:t>
      </w:r>
    </w:p>
    <w:p>
      <w:pPr>
        <w:spacing w:after="0" w:line="19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of December 31, 2022 and September 30, 2023, the Company recognized $4.9 million and $4.2 million of loan trailing fee liability, respectively, which is recorded at fair value and included within accrued expenses and other liabilities on the Company’s condensed consolidated balance sheets. Refer to “</w:t>
      </w:r>
      <w:r>
        <w:rPr>
          <w:rFonts w:ascii="Arial" w:cs="Arial" w:eastAsia="Arial" w:hAnsi="Arial"/>
          <w:sz w:val="17"/>
          <w:szCs w:val="17"/>
          <w:i w:val="1"/>
          <w:iCs w:val="1"/>
          <w:color w:val="auto"/>
        </w:rPr>
        <w:t>Note 6. Fair Value Measurement</w:t>
      </w:r>
      <w:r>
        <w:rPr>
          <w:rFonts w:ascii="Arial" w:cs="Arial" w:eastAsia="Arial" w:hAnsi="Arial"/>
          <w:sz w:val="17"/>
          <w:szCs w:val="17"/>
          <w:color w:val="auto"/>
        </w:rPr>
        <w:t>” for additional information on changes in fair value associated with trailing fee liabilities.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either a daily or monthly basis. As such, the Company’s contracts with customers do not include a significant financing component.</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had $31.1 million and $19.8 million of accounts receivable that are included in other assets on the condensed consolidated balance sheets related to contracts with customers as of December 31, 2022 and September 30, 2023, respectively. The standard payment terms on accounts receivable are 30 days. The Company’s allowance for bad debt and bad debt expense were immaterial for the periods presented.</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2022 and September 30, 2023, the Company had a $2.6 million and $2.7 million amount of contract costs, respectively, capitalized within other assets on the condensed consolidated balance sheets. The Company amortized an immaterial amount of capitalized contracts costs to sales and marketing in the condensed consolidated statements of operations and comprehensive loss for the periods presented.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Customers accounting for greater than 10% of total revenue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3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4580" w:type="dxa"/>
            <w:vAlign w:val="bottom"/>
          </w:tcPr>
          <w:p>
            <w:pPr>
              <w:spacing w:after="0"/>
              <w:rPr>
                <w:sz w:val="21"/>
                <w:szCs w:val="21"/>
                <w:color w:val="auto"/>
              </w:rPr>
            </w:pPr>
          </w:p>
        </w:tc>
        <w:tc>
          <w:tcPr>
            <w:tcW w:w="226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23"/>
        </w:trPr>
        <w:tc>
          <w:tcPr>
            <w:tcW w:w="45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2023</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6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60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8"/>
              </w:rPr>
              <w:t>45%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8"/>
              </w:rPr>
              <w:t>47%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600" w:type="dxa"/>
            <w:vAlign w:val="bottom"/>
          </w:tcPr>
          <w:p>
            <w:pPr>
              <w:jc w:val="center"/>
              <w:ind w:left="550"/>
              <w:spacing w:after="0"/>
              <w:rPr>
                <w:sz w:val="20"/>
                <w:szCs w:val="20"/>
                <w:color w:val="auto"/>
              </w:rPr>
            </w:pPr>
            <w:r>
              <w:rPr>
                <w:rFonts w:ascii="Arial" w:cs="Arial" w:eastAsia="Arial" w:hAnsi="Arial"/>
                <w:sz w:val="18"/>
                <w:szCs w:val="18"/>
                <w:color w:val="auto"/>
                <w:w w:val="88"/>
              </w:rPr>
              <w:t>26%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jc w:val="center"/>
              <w:ind w:left="690"/>
              <w:spacing w:after="0"/>
              <w:rPr>
                <w:sz w:val="20"/>
                <w:szCs w:val="20"/>
                <w:color w:val="auto"/>
              </w:rPr>
            </w:pPr>
            <w:r>
              <w:rPr>
                <w:rFonts w:ascii="Arial" w:cs="Arial" w:eastAsia="Arial" w:hAnsi="Arial"/>
                <w:sz w:val="18"/>
                <w:szCs w:val="18"/>
                <w:color w:val="auto"/>
                <w:w w:val="88"/>
              </w:rPr>
              <w:t>29%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31%</w:t>
            </w:r>
          </w:p>
        </w:tc>
      </w:tr>
      <w:tr>
        <w:trPr>
          <w:trHeight w:val="27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16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w:t>
            </w:r>
          </w:p>
        </w:tc>
      </w:tr>
      <w:tr>
        <w:trPr>
          <w:trHeight w:val="258"/>
        </w:trPr>
        <w:tc>
          <w:tcPr>
            <w:tcW w:w="4580" w:type="dxa"/>
            <w:vAlign w:val="bottom"/>
          </w:tcPr>
          <w:p>
            <w:pPr>
              <w:ind w:left="660"/>
              <w:spacing w:after="0"/>
              <w:rPr>
                <w:sz w:val="20"/>
                <w:szCs w:val="20"/>
                <w:color w:val="auto"/>
              </w:rPr>
            </w:pPr>
            <w:r>
              <w:rPr>
                <w:rFonts w:ascii="Arial" w:cs="Arial" w:eastAsia="Arial" w:hAnsi="Arial"/>
                <w:sz w:val="14"/>
                <w:szCs w:val="14"/>
                <w:color w:val="auto"/>
              </w:rPr>
              <w:t>* Less than 10%</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458"/>
        </w:trPr>
        <w:tc>
          <w:tcPr>
            <w:tcW w:w="6840" w:type="dxa"/>
            <w:vAlign w:val="bottom"/>
            <w:gridSpan w:val="4"/>
          </w:tcPr>
          <w:p>
            <w:pPr>
              <w:ind w:left="660"/>
              <w:spacing w:after="0"/>
              <w:rPr>
                <w:sz w:val="20"/>
                <w:szCs w:val="20"/>
                <w:color w:val="auto"/>
              </w:rPr>
            </w:pPr>
            <w:r>
              <w:rPr>
                <w:rFonts w:ascii="Arial" w:cs="Arial" w:eastAsia="Arial" w:hAnsi="Arial"/>
                <w:sz w:val="18"/>
                <w:szCs w:val="18"/>
                <w:color w:val="auto"/>
                <w:w w:val="92"/>
              </w:rPr>
              <w:t>Customers accounting for greater than 10% of accounts receivable were as follows:</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2"/>
        </w:trPr>
        <w:tc>
          <w:tcPr>
            <w:tcW w:w="4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4"/>
          </w:tcPr>
          <w:p>
            <w:pPr>
              <w:ind w:left="60"/>
              <w:spacing w:after="0"/>
              <w:rPr>
                <w:sz w:val="20"/>
                <w:szCs w:val="20"/>
                <w:color w:val="auto"/>
              </w:rPr>
            </w:pPr>
            <w:r>
              <w:rPr>
                <w:rFonts w:ascii="Arial" w:cs="Arial" w:eastAsia="Arial" w:hAnsi="Arial"/>
                <w:sz w:val="18"/>
                <w:szCs w:val="18"/>
                <w:b w:val="1"/>
                <w:bCs w:val="1"/>
                <w:color w:val="auto"/>
              </w:rPr>
              <w:t>December 31,</w:t>
            </w: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58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15%</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Servicing and Other Fees, Net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are provided. Loan servicing fees are not within the scope of ASC 606 and are accounted for under ASC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Servicing and other fees, net also include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in the periods presented. Refer to “</w:t>
      </w:r>
      <w:r>
        <w:rPr>
          <w:rFonts w:ascii="Arial" w:cs="Arial" w:eastAsia="Arial" w:hAnsi="Arial"/>
          <w:sz w:val="18"/>
          <w:szCs w:val="18"/>
          <w:i w:val="1"/>
          <w:iCs w:val="1"/>
          <w:color w:val="auto"/>
        </w:rPr>
        <w:t>Note 6. Fair Value Measurement</w:t>
      </w:r>
      <w:r>
        <w:rPr>
          <w:rFonts w:ascii="Arial" w:cs="Arial" w:eastAsia="Arial" w:hAnsi="Arial"/>
          <w:sz w:val="18"/>
          <w:szCs w:val="18"/>
          <w:color w:val="auto"/>
        </w:rPr>
        <w:t>” for additional information on changes in fair value associated with servicing assets and liabilities.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a net gain related to loan servicing rights upon loan sales for the periods presented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46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1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44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related to loan servicing rights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10,432</w:t>
            </w:r>
          </w:p>
        </w:tc>
      </w:tr>
    </w:tbl>
    <w:p>
      <w:pPr>
        <w:spacing w:after="0" w:line="3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Revenue from collection agency fees and borrower fees are included in servicing and other fees, net as part of revenue from fees, net in the Company’s condensed consolidated statements of operations and comprehensive loss. The total fees charged by collection agencies are also recognized in the period incurred and reported as part of customer operations expenses.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recognized collection agency fees and borrower fees, which are included in servicing and other fees, net for the periods presented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1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44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 agency fees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Borrower fees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7,005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18,125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21,823</w:t>
            </w:r>
          </w:p>
        </w:tc>
      </w:tr>
    </w:tbl>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and fair value adjustments, net is comprised of interest income, interest expense and net changes in the fair value of financial instruments, held in the Company’s normal course of business at fair value, including derivatives, beneficial interests, loans and notes receivable and residual certificates.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components of the interest income and fair value adjustments, net presented in the Company’s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3"/>
        </w:trPr>
        <w:tc>
          <w:tcPr>
            <w:tcW w:w="46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116,923</w:t>
            </w: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(20,828)</w:t>
            </w:r>
          </w:p>
        </w:tc>
      </w:tr>
      <w:tr>
        <w:trPr>
          <w:trHeight w:val="25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and other adjustments</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w w:val="97"/>
              </w:rPr>
              <w:t>Unrealized loss, charge-offs, and other adjustments, net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(70,855)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(108,175)</w:t>
            </w:r>
          </w:p>
        </w:tc>
      </w:tr>
      <w:tr>
        <w:trPr>
          <w:trHeight w:val="229"/>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Realized loss on sale of loans, net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(22,255)</w:t>
            </w:r>
          </w:p>
        </w:tc>
      </w:tr>
      <w:tr>
        <w:trPr>
          <w:trHeight w:val="223"/>
        </w:trPr>
        <w:tc>
          <w:tcPr>
            <w:tcW w:w="46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 xml:space="preserve">Total fair value and other adjustments, net </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(130,430)</w:t>
            </w:r>
          </w:p>
        </w:tc>
      </w:tr>
      <w:tr>
        <w:trPr>
          <w:trHeight w:val="250"/>
        </w:trPr>
        <w:tc>
          <w:tcPr>
            <w:tcW w:w="46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(34,335)</w:t>
            </w:r>
          </w:p>
        </w:tc>
      </w:tr>
      <w:tr>
        <w:trPr>
          <w:trHeight w:val="21"/>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interest income, interest expense and fair value adjustments, net related to the consolidated securitization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36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5"/>
        </w:trPr>
        <w:tc>
          <w:tcPr>
            <w:tcW w:w="46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Interest income and fair value adjustments, net related to</w:t>
            </w:r>
          </w:p>
        </w:tc>
        <w:tc>
          <w:tcPr>
            <w:tcW w:w="1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securitization:</w:t>
            </w: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10,048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Fair value and other adjustments</w:t>
            </w: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Unrealized gain, charge-offs, and other adjustments, net</w:t>
            </w:r>
          </w:p>
        </w:tc>
        <w:tc>
          <w:tcPr>
            <w:tcW w:w="1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Realized loss on sale of loans, net</w:t>
            </w:r>
          </w:p>
        </w:tc>
        <w:tc>
          <w:tcPr>
            <w:tcW w:w="116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and other adjustments, net</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i w:val="1"/>
                <w:iCs w:val="1"/>
                <w:color w:val="auto"/>
              </w:rPr>
              <w:t>Interest Income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6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is recognized based on the terms of the underlying agreements with borrowers for loans held on the Company’s condensed consolidated balance sheets and is earned over the life of a loan.</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The Company does not record an allowance for credit losses on accrued interest receivable. As of December 31, 2022 and September 30, 2023, the Company has recorded $12.8 million and $12.0 million of accrued interest income in loans on the condensed consolidated balance sheets,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is primarily related to interest recorded on the Company’s borrowings on warehouse credit facilities, and interest expense related to the consolidated securitization. Interest expense includes accrued interest incurred but not paid. Accrued interest expenses were immaterial as of December 31, 2022 and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also includes changes in fair value of the interest rate cap. Refer to “</w:t>
      </w:r>
      <w:r>
        <w:rPr>
          <w:rFonts w:ascii="Arial" w:cs="Arial" w:eastAsia="Arial" w:hAnsi="Arial"/>
          <w:sz w:val="16"/>
          <w:szCs w:val="16"/>
          <w:i w:val="1"/>
          <w:iCs w:val="1"/>
          <w:color w:val="auto"/>
        </w:rPr>
        <w:t>Note 4. Derivative Financial Instruments</w:t>
      </w:r>
      <w:r>
        <w:rPr>
          <w:rFonts w:ascii="Arial" w:cs="Arial" w:eastAsia="Arial" w:hAnsi="Arial"/>
          <w:sz w:val="16"/>
          <w:szCs w:val="16"/>
          <w:color w:val="auto"/>
        </w:rPr>
        <w:t>” for additional information.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and Other Adjustments, Net</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Fair value and other adjustments, net include changes in fair value of financial instruments, other than loan servicing assets and liabilities and the interest rate cap. These adjustments are recorded in the Company’s condensed consolidated statements of operations and comprehensive loss and include both realized and unrealized changes to the value of related assets and liabilities. Refer to “</w:t>
      </w:r>
      <w:r>
        <w:rPr>
          <w:rFonts w:ascii="Arial" w:cs="Arial" w:eastAsia="Arial" w:hAnsi="Arial"/>
          <w:sz w:val="16"/>
          <w:szCs w:val="16"/>
          <w:i w:val="1"/>
          <w:iCs w:val="1"/>
          <w:color w:val="auto"/>
        </w:rPr>
        <w:t>Note 6. Fair Value Measurement</w:t>
      </w:r>
      <w:r>
        <w:rPr>
          <w:rFonts w:ascii="Arial" w:cs="Arial" w:eastAsia="Arial" w:hAnsi="Arial"/>
          <w:sz w:val="16"/>
          <w:szCs w:val="16"/>
          <w:color w:val="auto"/>
        </w:rPr>
        <w:t>” for additional information.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immaterial for the three and nine months ended September 30, 2022, and $2.6 million and $4.6 million for the three and nine months ended September 30, 2023, respectively.</w:t>
      </w:r>
    </w:p>
    <w:p>
      <w:pPr>
        <w:spacing w:after="0" w:line="210" w:lineRule="exact"/>
        <w:rPr>
          <w:sz w:val="20"/>
          <w:szCs w:val="20"/>
          <w:color w:val="auto"/>
        </w:rPr>
      </w:pPr>
    </w:p>
    <w:p>
      <w:pPr>
        <w:ind w:left="1020"/>
        <w:spacing w:after="0"/>
        <w:tabs>
          <w:tab w:leader="none" w:pos="1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Variable Interest Entities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consolidates variable interest entities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Net Assets</w:t>
            </w:r>
          </w:p>
        </w:tc>
      </w:tr>
      <w:tr>
        <w:trPr>
          <w:trHeight w:val="210"/>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Consolidated securitization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warehouse entities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151,068</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495,583</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646,651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Net Assets</w:t>
            </w:r>
          </w:p>
        </w:tc>
      </w:tr>
      <w:tr>
        <w:trPr>
          <w:trHeight w:val="210"/>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Consolidated securitization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205,107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153,782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51,325</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warehouse entities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198,610</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242,796</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492,731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Consolidated Securitization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On July 6, 2023, the Company completed a private securitization securities offering (“UPST 2023-2”). As a retaining sponsor of the transaction, under risk retention requirements in Title 17 U.S. </w:t>
      </w:r>
      <w:r>
        <w:rPr>
          <w:rFonts w:ascii="Arial" w:cs="Arial" w:eastAsia="Arial" w:hAnsi="Arial"/>
          <w:sz w:val="17"/>
          <w:szCs w:val="17"/>
          <w:i w:val="1"/>
          <w:iCs w:val="1"/>
          <w:color w:val="auto"/>
        </w:rPr>
        <w:t>Code of Federal Regulations</w:t>
      </w:r>
      <w:r>
        <w:rPr>
          <w:rFonts w:ascii="Arial" w:cs="Arial" w:eastAsia="Arial" w:hAnsi="Arial"/>
          <w:sz w:val="17"/>
          <w:szCs w:val="17"/>
          <w:color w:val="auto"/>
        </w:rPr>
        <w:t xml:space="preserve"> Part 246, Credit Risk Retention, promulgated by the Securities and Exchange Commission, the Company is required to retain at least 5% of the economic risk in UPST 2023-2. The Company elected to satisfy the risk retention requirements by holding eligible vertical retained interests in the form of a combination of securitization notes and residual certificates. The Company has also retained the remainder of the residual certificates issued as part of the transaction. The Company was the sole contributor of the collateral, which included $204.7 million unpaid principal balance of Upstart-powered loans held by the Company. The weighted-average coupon of the securitization notes issued was approximately 9.2%, and their sale generated approximately $165.3 million in gross cash proceeds. These proceeds and payments made on securitization notes are classified as financing activities in the statement of cash flows.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closing of UPST 2023-2, the Company determined that servicing fees represent a variable interest due to the retained interests held by the Company. The retained interests held by the Company were deemed to potentially absorb more than an insignificant amount of expected losses or expected returns at the inception of the securitization transaction. The Company, as servicer, also has the power to direct the activities that most significantly impact the economics of the entities associated with the UPST 2023-2 securitization, and as such, the Company determined it was the primary beneficiary and consolidated the entities associated with UPST 2023-2.</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Arial" w:cs="Arial" w:eastAsia="Arial" w:hAnsi="Arial"/>
          <w:sz w:val="18"/>
          <w:szCs w:val="18"/>
          <w:i w:val="1"/>
          <w:iCs w:val="1"/>
          <w:color w:val="auto"/>
        </w:rPr>
        <w:t>Note 6.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w:t>
      </w:r>
      <w:r>
        <w:rPr>
          <w:rFonts w:ascii="Arial" w:cs="Arial" w:eastAsia="Arial" w:hAnsi="Arial"/>
          <w:sz w:val="18"/>
          <w:szCs w:val="18"/>
          <w:color w:val="auto"/>
        </w:rPr>
        <w:t>” for additional information on determination of fair value of these assets and liabilities. The value of the residual certificates issued as</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the securitization and retained by the Company was eliminated as part of the consolidation.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Warehouse Entities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established Upstart Loan Trust (“ULT”) and Upstart Auto Warehouse Trust (“UAWT”) to enter into warehouse credit facilities for the purpose of purchasing Upstart-powered loans. Refer to “</w:t>
      </w:r>
      <w:r>
        <w:rPr>
          <w:rFonts w:ascii="Arial" w:cs="Arial" w:eastAsia="Arial" w:hAnsi="Arial"/>
          <w:sz w:val="18"/>
          <w:szCs w:val="18"/>
          <w:i w:val="1"/>
          <w:iCs w:val="1"/>
          <w:color w:val="auto"/>
        </w:rPr>
        <w:t>Note 9. Borrowings</w:t>
      </w:r>
      <w:r>
        <w:rPr>
          <w:rFonts w:ascii="Arial" w:cs="Arial" w:eastAsia="Arial" w:hAnsi="Arial"/>
          <w:sz w:val="18"/>
          <w:szCs w:val="18"/>
          <w:color w:val="auto"/>
        </w:rPr>
        <w:t>” for additional information. The entities are Delaware statutory trusts that are structured to be bankruptcy-remote, with third-party banks operating as trustees.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Consolidated VIE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formed a number of VIEs for the purpose of holding Upstart-powered loans that are not pledged or eligible to be pledged to the Company’s warehouse credit facilities.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transactions with unconsolidated VIEs include securitizations of unsecured personal whole loans and sales of whole loans to VIEs. While the Company continues to be involved with the unconsolidated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its role as the sponsor and the servicer of securitization transactions, the Company does not hold a significant economic interest in these entities and has determined that it is not the primary beneficiary of these entities. The Company’s unconsolidated VIEs include entities established as the issuers and grantor trusts for various securitization transactions.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three months ended September 30, 2023, the Company exercised a clean up call related to two unconsolidated VIEs and subsequently liquidated the associated entities. A clean up call option allows the Company, as servicer, to repurchase the remaining transferred financial asset once the collateral falls below a predefined level, which represents the point where servicing becomes administratively burdensome. The clean up calls had no material impact on the condensed consolidated financial statements of the Company.</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summarize the aggregate value of assets and liabilities of unconsolidated VIEs in which the Company holds a variable interest but is not the primary beneficiary: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Maximum Exposure</w:t>
            </w:r>
          </w:p>
        </w:tc>
      </w:tr>
      <w:tr>
        <w:trPr>
          <w:trHeight w:val="243"/>
        </w:trPr>
        <w:tc>
          <w:tcPr>
            <w:tcW w:w="4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Assets</w:t>
            </w:r>
          </w:p>
        </w:tc>
        <w:tc>
          <w:tcPr>
            <w:tcW w:w="280" w:type="dxa"/>
            <w:vAlign w:val="bottom"/>
          </w:tcPr>
          <w:p>
            <w:pPr>
              <w:spacing w:after="0"/>
              <w:rPr>
                <w:sz w:val="21"/>
                <w:szCs w:val="21"/>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Securitizations and other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364,013</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265,040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98,973</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13,311</w:t>
            </w:r>
          </w:p>
        </w:tc>
      </w:tr>
      <w:tr>
        <w:trPr>
          <w:trHeight w:val="539"/>
        </w:trPr>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Maximum Exposure</w:t>
            </w:r>
          </w:p>
        </w:tc>
      </w:tr>
      <w:tr>
        <w:trPr>
          <w:trHeight w:val="243"/>
        </w:trPr>
        <w:tc>
          <w:tcPr>
            <w:tcW w:w="4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Assets</w:t>
            </w:r>
          </w:p>
        </w:tc>
        <w:tc>
          <w:tcPr>
            <w:tcW w:w="280" w:type="dxa"/>
            <w:vAlign w:val="bottom"/>
          </w:tcPr>
          <w:p>
            <w:pPr>
              <w:spacing w:after="0"/>
              <w:rPr>
                <w:sz w:val="21"/>
                <w:szCs w:val="21"/>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Securitizations and other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222,125</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158,018</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64,107</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8,758</w:t>
            </w:r>
          </w:p>
        </w:tc>
      </w:tr>
    </w:tbl>
    <w:p>
      <w:pPr>
        <w:spacing w:after="0" w:line="3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maximum exposure to loss from its involvement with unconsolidated VIEs represents the estimated loss that would be incurred under severe, hypothetical circumstances, for which the Company believes the possibility is remote. The carrying value of assets that relate to variable interests in unconsolidated VIEs consists of $6.2 million and $2.8 million of securitization notes and residual certificates which are included in other assets on the condensed consolidated balance sheets as of December 31, 2022 and September 30, 2023, respectively. The Company also had $7.1 million and $6.0 million of cash deposits held as reserve accounts for related securitizations, included in other assets on the condensed consolidated balance sheets as of December 31, 2022 and September 30, 2023.</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securitization transactions where the Company is not the risk retaining sponsor, and servicing is the only form of continuing involvement, the Company would only experience a loss if it were required to repurchase such a loan due to a breach in representations and warranties and is not able to collect all repayments, refer to “</w:t>
      </w:r>
      <w:r>
        <w:rPr>
          <w:rFonts w:ascii="Arial" w:cs="Arial" w:eastAsia="Arial" w:hAnsi="Arial"/>
          <w:sz w:val="18"/>
          <w:szCs w:val="18"/>
          <w:i w:val="1"/>
          <w:iCs w:val="1"/>
          <w:color w:val="auto"/>
        </w:rPr>
        <w:t>Note 12. Commitments and Contingencies</w:t>
      </w:r>
      <w:r>
        <w:rPr>
          <w:rFonts w:ascii="Arial" w:cs="Arial" w:eastAsia="Arial" w:hAnsi="Arial"/>
          <w:sz w:val="18"/>
          <w:szCs w:val="18"/>
          <w:color w:val="auto"/>
        </w:rPr>
        <w:t>” for further information.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investors and the securitization trusts have no direct recourse to the Company’s assets, and holders of the securities issued by the securitization trusts can look only to the assets of the securitization trusts that issued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securities for payment. The interests held by the Company and its affiliates are subject principally to the credit and prepayment risk stemming from the underlying unsecured personal whole loans.</w:t>
      </w:r>
    </w:p>
    <w:p>
      <w:pPr>
        <w:spacing w:after="0" w:line="200" w:lineRule="exact"/>
        <w:rPr>
          <w:sz w:val="20"/>
          <w:szCs w:val="20"/>
          <w:color w:val="auto"/>
        </w:rPr>
      </w:pPr>
    </w:p>
    <w:p>
      <w:pPr>
        <w:spacing w:after="0" w:line="236" w:lineRule="exact"/>
        <w:rPr>
          <w:sz w:val="20"/>
          <w:szCs w:val="20"/>
          <w:color w:val="auto"/>
        </w:rPr>
      </w:pPr>
    </w:p>
    <w:p>
      <w:pPr>
        <w:ind w:left="1020"/>
        <w:spacing w:after="0"/>
        <w:tabs>
          <w:tab w:leader="none" w:pos="1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February 2023 and June 2023, UAWT and ULT entered into interest rate cap agreements with a strike rate of 3.0% and 3.25%, respectively. The agreements were entered into in relation to the warehouse credit facilities which bear floating interest rates, refer to </w:t>
      </w:r>
      <w:r>
        <w:rPr>
          <w:rFonts w:ascii="Arial" w:cs="Arial" w:eastAsia="Arial" w:hAnsi="Arial"/>
          <w:sz w:val="16"/>
          <w:szCs w:val="16"/>
          <w:i w:val="1"/>
          <w:iCs w:val="1"/>
          <w:color w:val="auto"/>
        </w:rPr>
        <w:t>“Note 9. Borrowings”</w:t>
      </w:r>
      <w:r>
        <w:rPr>
          <w:rFonts w:ascii="Arial" w:cs="Arial" w:eastAsia="Arial" w:hAnsi="Arial"/>
          <w:sz w:val="16"/>
          <w:szCs w:val="16"/>
          <w:color w:val="auto"/>
        </w:rPr>
        <w:t xml:space="preserve"> for further information. The interest rate caps provide protection to the credit facilities against exposure to changes in cash flows to the extent the underlying interest rate on the facility exceeds the strike rate. The UAWT interest rate cap matures in April 2029 and the ULT interest rate cap matures June 2025. The interest rate cap agreements meet the definition of a derivative and are reported at fair value. Refer to “</w:t>
      </w:r>
      <w:r>
        <w:rPr>
          <w:rFonts w:ascii="Arial" w:cs="Arial" w:eastAsia="Arial" w:hAnsi="Arial"/>
          <w:sz w:val="16"/>
          <w:szCs w:val="16"/>
          <w:i w:val="1"/>
          <w:iCs w:val="1"/>
          <w:color w:val="auto"/>
        </w:rPr>
        <w:t>Note 6. Fair Value Measurement</w:t>
      </w:r>
      <w:r>
        <w:rPr>
          <w:rFonts w:ascii="Arial" w:cs="Arial" w:eastAsia="Arial" w:hAnsi="Arial"/>
          <w:sz w:val="16"/>
          <w:szCs w:val="16"/>
          <w:color w:val="auto"/>
        </w:rPr>
        <w:t>” for additional information.</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presents the notional amount as well as the fair value of interest rate caps, which is reported as part of other assets on the condensed consolidated balance sheets. There were no material derivative financial instruments held by the Company as of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September 30, 2023</w:t>
            </w:r>
          </w:p>
        </w:tc>
        <w:tc>
          <w:tcPr>
            <w:tcW w:w="2420" w:type="dxa"/>
            <w:vAlign w:val="bottom"/>
            <w:tcBorders>
              <w:bottom w:val="single" w:sz="8" w:color="auto"/>
            </w:tcBorders>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60" w:type="dxa"/>
            <w:vAlign w:val="bottom"/>
            <w:gridSpan w:val="2"/>
          </w:tcPr>
          <w:p>
            <w:pPr>
              <w:ind w:left="500"/>
              <w:spacing w:after="0"/>
              <w:rPr>
                <w:sz w:val="20"/>
                <w:szCs w:val="20"/>
                <w:color w:val="auto"/>
              </w:rPr>
            </w:pPr>
            <w:r>
              <w:rPr>
                <w:rFonts w:ascii="Arial" w:cs="Arial" w:eastAsia="Arial" w:hAnsi="Arial"/>
                <w:sz w:val="18"/>
                <w:szCs w:val="18"/>
                <w:b w:val="1"/>
                <w:bCs w:val="1"/>
                <w:color w:val="auto"/>
              </w:rPr>
              <w:t>Notional Amount</w:t>
            </w:r>
          </w:p>
        </w:tc>
        <w:tc>
          <w:tcPr>
            <w:tcW w:w="920" w:type="dxa"/>
            <w:vAlign w:val="bottom"/>
          </w:tcPr>
          <w:p>
            <w:pPr>
              <w:spacing w:after="0"/>
              <w:rPr>
                <w:sz w:val="19"/>
                <w:szCs w:val="19"/>
                <w:color w:val="auto"/>
              </w:rPr>
            </w:pPr>
          </w:p>
        </w:tc>
        <w:tc>
          <w:tcPr>
            <w:tcW w:w="2420" w:type="dxa"/>
            <w:vAlign w:val="bottom"/>
          </w:tcPr>
          <w:p>
            <w:pPr>
              <w:jc w:val="right"/>
              <w:ind w:right="11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caps</w:t>
            </w: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315,992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9,796</w:t>
            </w: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changes in fair value of these instruments in earnings and reports them as part of the interest expense on the condensed consolidated statements of operations and comprehensive loss. The table below presents gains recognized on the interest rate caps during the following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32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29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16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gains, net on interest rate caps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20"/>
        <w:spacing w:after="0"/>
        <w:tabs>
          <w:tab w:leader="none" w:pos="1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Beneficial Interests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certain committed capital agreements, the Company has risk sharing arrangements in which it is obligated to make payments to the loan buyer or is entitled to receive payments from the loan buyer if credit losses on the underlying loans subject to the arrangements deviate from initial expectations, subject to a dollar cap. The Company has beneficial interests in these arrangements which either meet the definition of a derivative or that meet the criteria of a debt security. As of September 30, 2023 the Company’s capital at risk, which represents the maximum exposure to losses, under these arrangements was $66.1 million.</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the aggregate unpaid principal balance of the underlying portfolio as well as the fair value of beneficial interests, which are presented as a separate asset line item on the condensed consolidated balance sheets. As of September 30, 2023, beneficial interest liabilities were immaterial and their value is included in other liabilities on the condensed consolidated balance sheets. There were no beneficial interests assets or liabilities held by the Company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September 30, 2023</w:t>
            </w:r>
          </w:p>
        </w:tc>
        <w:tc>
          <w:tcPr>
            <w:tcW w:w="2280" w:type="dxa"/>
            <w:vAlign w:val="bottom"/>
            <w:tcBorders>
              <w:bottom w:val="single" w:sz="8" w:color="auto"/>
            </w:tcBorders>
          </w:tcPr>
          <w:p>
            <w:pPr>
              <w:spacing w:after="0"/>
              <w:rPr>
                <w:sz w:val="20"/>
                <w:szCs w:val="20"/>
                <w:color w:val="auto"/>
              </w:rPr>
            </w:pPr>
          </w:p>
        </w:tc>
      </w:tr>
      <w:tr>
        <w:trPr>
          <w:trHeight w:val="223"/>
        </w:trPr>
        <w:tc>
          <w:tcPr>
            <w:tcW w:w="4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40" w:type="dxa"/>
            <w:vAlign w:val="bottom"/>
            <w:gridSpan w:val="2"/>
          </w:tcPr>
          <w:p>
            <w:pPr>
              <w:ind w:left="320"/>
              <w:spacing w:after="0"/>
              <w:rPr>
                <w:sz w:val="20"/>
                <w:szCs w:val="20"/>
                <w:color w:val="auto"/>
              </w:rPr>
            </w:pPr>
            <w:r>
              <w:rPr>
                <w:rFonts w:ascii="Arial" w:cs="Arial" w:eastAsia="Arial" w:hAnsi="Arial"/>
                <w:sz w:val="18"/>
                <w:szCs w:val="18"/>
                <w:b w:val="1"/>
                <w:bCs w:val="1"/>
                <w:color w:val="auto"/>
              </w:rPr>
              <w:t>Unpaid Principal Balance</w:t>
            </w:r>
          </w:p>
        </w:tc>
        <w:tc>
          <w:tcPr>
            <w:tcW w:w="840" w:type="dxa"/>
            <w:vAlign w:val="bottom"/>
          </w:tcPr>
          <w:p>
            <w:pPr>
              <w:spacing w:after="0"/>
              <w:rPr>
                <w:sz w:val="19"/>
                <w:szCs w:val="19"/>
                <w:color w:val="auto"/>
              </w:rPr>
            </w:pPr>
          </w:p>
        </w:tc>
        <w:tc>
          <w:tcPr>
            <w:tcW w:w="2280" w:type="dxa"/>
            <w:vAlign w:val="bottom"/>
          </w:tcPr>
          <w:p>
            <w:pPr>
              <w:jc w:val="right"/>
              <w:ind w:right="1070"/>
              <w:spacing w:after="0"/>
              <w:rPr>
                <w:sz w:val="20"/>
                <w:szCs w:val="20"/>
                <w:color w:val="auto"/>
              </w:rPr>
            </w:pPr>
            <w:r>
              <w:rPr>
                <w:rFonts w:ascii="Arial" w:cs="Arial" w:eastAsia="Arial" w:hAnsi="Arial"/>
                <w:sz w:val="18"/>
                <w:szCs w:val="18"/>
                <w:b w:val="1"/>
                <w:bCs w:val="1"/>
                <w:color w:val="auto"/>
              </w:rPr>
              <w:t>Fair Value</w:t>
            </w:r>
          </w:p>
        </w:tc>
      </w:tr>
      <w:tr>
        <w:trPr>
          <w:trHeight w:val="42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Beneficial interests</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1,227,371</w:t>
            </w:r>
          </w:p>
        </w:tc>
        <w:tc>
          <w:tcPr>
            <w:tcW w:w="1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36,974</w:t>
            </w: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these beneficial interests at fair value with changes reported as part of the fair value and other adjustments on the condensed consolidated statements of operations and comprehensive loss</w:t>
      </w:r>
      <w:r>
        <w:rPr>
          <w:rFonts w:ascii="Arial" w:cs="Arial" w:eastAsia="Arial" w:hAnsi="Arial"/>
          <w:sz w:val="18"/>
          <w:szCs w:val="18"/>
          <w:color w:val="3051F2"/>
        </w:rPr>
        <w:t>.</w:t>
      </w:r>
      <w:r>
        <w:rPr>
          <w:rFonts w:ascii="Arial" w:cs="Arial" w:eastAsia="Arial" w:hAnsi="Arial"/>
          <w:sz w:val="18"/>
          <w:szCs w:val="18"/>
          <w:color w:val="auto"/>
        </w:rPr>
        <w:t xml:space="preserve"> The table below presents losses recognized on beneficial interests during the following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36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42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losses on beneficial interests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Note 6. Fair Value Measurement</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64" w:lineRule="exact"/>
        <w:rPr>
          <w:sz w:val="20"/>
          <w:szCs w:val="20"/>
          <w:color w:val="auto"/>
        </w:rPr>
      </w:pPr>
    </w:p>
    <w:p>
      <w:pPr>
        <w:ind w:left="1020"/>
        <w:spacing w:after="0"/>
        <w:tabs>
          <w:tab w:leader="none" w:pos="1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assets and liabilities measured at fair value and categorized in accordance with the fair value hierarchy: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34"/>
        </w:trPr>
        <w:tc>
          <w:tcPr>
            <w:tcW w:w="62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Loans</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1,010,421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972,336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Loan servicing assets</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30,091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rate caps</w:t>
            </w:r>
            <w:r>
              <w:rPr>
                <w:rFonts w:ascii="Arial" w:cs="Arial" w:eastAsia="Arial" w:hAnsi="Arial"/>
                <w:sz w:val="23"/>
                <w:szCs w:val="23"/>
                <w:color w:val="auto"/>
                <w:vertAlign w:val="superscript"/>
              </w:rPr>
              <w:t>(1)</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Beneficial interests</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36,974</w:t>
            </w:r>
          </w:p>
        </w:tc>
        <w:tc>
          <w:tcPr>
            <w:tcW w:w="0" w:type="dxa"/>
            <w:vAlign w:val="bottom"/>
          </w:tcPr>
          <w:p>
            <w:pPr>
              <w:spacing w:after="0"/>
              <w:rPr>
                <w:sz w:val="1"/>
                <w:szCs w:val="1"/>
                <w:color w:val="auto"/>
              </w:rPr>
            </w:pPr>
          </w:p>
        </w:tc>
      </w:tr>
      <w:tr>
        <w:trPr>
          <w:trHeight w:val="24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1,051,983</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Payable to securitization note holders</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153,782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Trailing fee liabilities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160,348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20" w:firstLine="316"/>
        <w:spacing w:after="0" w:line="293" w:lineRule="auto"/>
        <w:tabs>
          <w:tab w:leader="none" w:pos="130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of interest rate caps is determined based on the present value of the estimated future cash flows over the contract term using observable market-based inputs as of the valuation date, including implied interest rates.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instruments are categorized in the fair value hierarchy based on the significance of unobservable inputs and assumptions in the overall fair value measurement. Since the Company’s loans, notes receivable and residual certificates, loan servicing assets and liabilities, beneficial interests, payables to securitization note holders, and trailing fee liabilities do not trade in an active market with readily observable prices, the Company uses significant unobservable inputs to measure the fair value of these assets and liabilities.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Level 2 or Level 3 of the fair value hierarchy during the periods presented.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Loans included in the Company’s condensed consolidated balance sheets are classified as either held-for-sale or held-for-investment based on the Company’s intent and ability to sell the loans prior to maturity. Loans held-for-sale in consolidated securitization include loans contributed as collateral to and held in the consolidated securitization (UPST 2023-2). From time to time the Company transfers loans between classifications based on changes in the Company’s intent and ability.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of classes of loans included in the Company’s consolidated balance sheets as of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held-for-sale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632,316</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Loans held-for-investment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127,611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143,493</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in consolidated securitization</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196,527</w:t>
            </w:r>
          </w:p>
        </w:tc>
      </w:tr>
      <w:tr>
        <w:trPr>
          <w:trHeight w:val="223"/>
        </w:trPr>
        <w:tc>
          <w:tcPr>
            <w:tcW w:w="7860" w:type="dxa"/>
            <w:vAlign w:val="bottom"/>
          </w:tcPr>
          <w:p>
            <w:pPr>
              <w:ind w:left="6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1,010,421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972,336</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Note 1. Description of Business and Significant Accounting Policies</w:t>
      </w:r>
      <w:r>
        <w:rPr>
          <w:rFonts w:ascii="Arial" w:cs="Arial" w:eastAsia="Arial" w:hAnsi="Arial"/>
          <w:sz w:val="18"/>
          <w:szCs w:val="18"/>
          <w:color w:val="auto"/>
        </w:rPr>
        <w:t xml:space="preserve">, the Company elected the measurement alternative under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and maximizes the use of observable inputs to estimate the fair value of the financial assets and liabilities of UPST 2023-2. Under the measurement alternative, the Company determined that inputs used to determine the value of UPST 2023-2 liabilities, which consist of securitization notes and residual certificates issued as part of this securitization, are more observable than those used to measure fair value of UPST 2023-2 financial assets, which consist of held-for-sale loans contributed as collateral. Thus, the loans are measured based on the sum of the fair value of the UPST 2023-2 securitization notes and residual certificates, with changes in fair value included in the consolidated statements of operations and comprehensive loss.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loans held-for-sale and held-for-investment: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2022</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89"/>
              </w:rPr>
              <w:t>September 30, 2023</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Minimum</w:t>
            </w:r>
          </w:p>
        </w:tc>
        <w:tc>
          <w:tcPr>
            <w:tcW w:w="14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3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Minimum</w:t>
            </w:r>
          </w:p>
        </w:tc>
        <w:tc>
          <w:tcPr>
            <w:tcW w:w="80" w:type="dxa"/>
            <w:vAlign w:val="bottom"/>
          </w:tcPr>
          <w:p>
            <w:pPr>
              <w:spacing w:after="0"/>
              <w:rPr>
                <w:sz w:val="14"/>
                <w:szCs w:val="14"/>
                <w:color w:val="auto"/>
              </w:rPr>
            </w:pPr>
          </w:p>
        </w:tc>
        <w:tc>
          <w:tcPr>
            <w:tcW w:w="1520" w:type="dxa"/>
            <w:vAlign w:val="bottom"/>
            <w:gridSpan w:val="3"/>
            <w:vMerge w:val="restart"/>
          </w:tcPr>
          <w:p>
            <w:pPr>
              <w:ind w:left="300"/>
              <w:spacing w:after="0"/>
              <w:rPr>
                <w:sz w:val="20"/>
                <w:szCs w:val="20"/>
                <w:color w:val="auto"/>
              </w:rPr>
            </w:pPr>
            <w:r>
              <w:rPr>
                <w:rFonts w:ascii="Arial" w:cs="Arial" w:eastAsia="Arial" w:hAnsi="Arial"/>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60" w:type="dxa"/>
            <w:vAlign w:val="bottom"/>
          </w:tcPr>
          <w:p>
            <w:pPr>
              <w:jc w:val="right"/>
              <w:ind w:right="57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1460" w:type="dxa"/>
            <w:vAlign w:val="bottom"/>
          </w:tcPr>
          <w:p>
            <w:pPr>
              <w:jc w:val="right"/>
              <w:ind w:right="59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10.22 %</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12.17 %</w:t>
            </w: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93.09 %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16.93 %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0.01 %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92.90 %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16.97 %</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0.13 %</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w:t>
      </w:r>
    </w:p>
    <w:p>
      <w:pPr>
        <w:spacing w:after="0" w:line="13" w:lineRule="exact"/>
        <w:rPr>
          <w:rFonts w:ascii="Arial" w:cs="Arial" w:eastAsia="Arial" w:hAnsi="Arial"/>
          <w:sz w:val="14"/>
          <w:szCs w:val="14"/>
          <w:color w:val="auto"/>
        </w:rPr>
      </w:pPr>
    </w:p>
    <w:p>
      <w:pPr>
        <w:ind w:left="480" w:hanging="472"/>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5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loans held in consolidated securitization:</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4"/>
              </w:rPr>
              <w:t>December 31, 2022</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0"/>
              </w:rPr>
              <w:t>September 30, 2023</w:t>
            </w: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Minimum</w:t>
            </w:r>
          </w:p>
        </w:tc>
        <w:tc>
          <w:tcPr>
            <w:tcW w:w="80" w:type="dxa"/>
            <w:vAlign w:val="bottom"/>
          </w:tcPr>
          <w:p>
            <w:pPr>
              <w:spacing w:after="0"/>
              <w:rPr>
                <w:sz w:val="20"/>
                <w:szCs w:val="20"/>
                <w:color w:val="auto"/>
              </w:rPr>
            </w:pPr>
          </w:p>
        </w:tc>
        <w:tc>
          <w:tcPr>
            <w:tcW w:w="154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6"/>
              </w:rPr>
              <w:t>Maximum</w:t>
            </w: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0"/>
                <w:szCs w:val="20"/>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Minimum</w:t>
            </w:r>
          </w:p>
        </w:tc>
        <w:tc>
          <w:tcPr>
            <w:tcW w:w="1560" w:type="dxa"/>
            <w:vAlign w:val="bottom"/>
            <w:gridSpan w:val="3"/>
            <w:vMerge w:val="restart"/>
          </w:tcPr>
          <w:p>
            <w:pPr>
              <w:ind w:left="320"/>
              <w:spacing w:after="0"/>
              <w:rPr>
                <w:sz w:val="20"/>
                <w:szCs w:val="20"/>
                <w:color w:val="auto"/>
              </w:rPr>
            </w:pPr>
            <w:r>
              <w:rPr>
                <w:rFonts w:ascii="Arial" w:cs="Arial" w:eastAsia="Arial" w:hAnsi="Arial"/>
                <w:sz w:val="18"/>
                <w:szCs w:val="18"/>
                <w:b w:val="1"/>
                <w:bCs w:val="1"/>
                <w:color w:val="auto"/>
              </w:rPr>
              <w:t>Maximum</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5"/>
              </w:rPr>
              <w:t xml:space="preserve">Average </w:t>
            </w:r>
            <w:r>
              <w:rPr>
                <w:rFonts w:ascii="Arial" w:cs="Arial" w:eastAsia="Arial" w:hAnsi="Arial"/>
                <w:sz w:val="20"/>
                <w:szCs w:val="20"/>
                <w:b w:val="1"/>
                <w:bCs w:val="1"/>
                <w:color w:val="auto"/>
                <w:w w:val="95"/>
                <w:vertAlign w:val="superscript"/>
              </w:rPr>
              <w:t>(2)</w:t>
            </w:r>
          </w:p>
        </w:tc>
        <w:tc>
          <w:tcPr>
            <w:tcW w:w="1520" w:type="dxa"/>
            <w:vAlign w:val="bottom"/>
            <w:gridSpan w:val="2"/>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500" w:type="dxa"/>
            <w:vAlign w:val="bottom"/>
          </w:tcPr>
          <w:p>
            <w:pPr>
              <w:jc w:val="right"/>
              <w:ind w:right="61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12.93 %</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0.61 %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37.70 %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15.56 %</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w:t>
      </w:r>
    </w:p>
    <w:p>
      <w:pPr>
        <w:spacing w:after="0" w:line="13" w:lineRule="exact"/>
        <w:rPr>
          <w:rFonts w:ascii="Arial" w:cs="Arial" w:eastAsia="Arial" w:hAnsi="Arial"/>
          <w:sz w:val="14"/>
          <w:szCs w:val="14"/>
          <w:color w:val="auto"/>
        </w:rPr>
      </w:pPr>
    </w:p>
    <w:p>
      <w:pPr>
        <w:ind w:left="480" w:hanging="472"/>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–The discount rates are rates of return used to discount future expected cash flows to arrive at a present value,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Credit risk rates</w:t>
      </w:r>
      <w:r>
        <w:rPr>
          <w:rFonts w:ascii="Arial" w:cs="Arial" w:eastAsia="Arial" w:hAnsi="Arial"/>
          <w:sz w:val="16"/>
          <w:szCs w:val="16"/>
          <w:color w:val="auto"/>
        </w:rPr>
        <w:t>–The credit risk rates are an estimate of the net cumulative principal payments that will not be repaid over the entire life of a</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an estimate of the cumulative principal prepayments that will occur over the entire life of a loan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original principal amount of the loan. The assumption regarding cumulative prepayments impacts the projected balances and expected terms of the loans.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inputs are similarly used in estimating fair value of related financial instruments. Refer to the Assets and Liabilities related to Securitization Transactions section below for additional information.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sensitivity of the fair value of loans held-for-sale and held-for-investment to adverse changes in key assumptions used in the valuation model as of December 31, 2022 and September 30, 2023,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loans held-for-sale and held-for-investment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775,809</w:t>
            </w: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(18,153)</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(9,739)</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(19,513)</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Expected prepayment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presents the sensitivity of the fair value of loans in consolidated securitization to adverse changes in key assumptions used in the valuation model as September 30, 2023. No loans were held in consolidated securitization as of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19"/>
                <w:szCs w:val="19"/>
                <w:color w:val="auto"/>
              </w:rPr>
            </w:pPr>
          </w:p>
        </w:tc>
        <w:tc>
          <w:tcPr>
            <w:tcW w:w="130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74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loans held in consolidated securitization</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196,527</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Discount rates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7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100 basis point increase</w:t>
            </w:r>
          </w:p>
        </w:tc>
        <w:tc>
          <w:tcPr>
            <w:tcW w:w="13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30"/>
        </w:trPr>
        <w:tc>
          <w:tcPr>
            <w:tcW w:w="7400" w:type="dxa"/>
            <w:vAlign w:val="bottom"/>
          </w:tcPr>
          <w:p>
            <w:pPr>
              <w:ind w:left="240"/>
              <w:spacing w:after="0"/>
              <w:rPr>
                <w:sz w:val="20"/>
                <w:szCs w:val="20"/>
                <w:color w:val="auto"/>
              </w:rPr>
            </w:pPr>
            <w:r>
              <w:rPr>
                <w:rFonts w:ascii="Arial" w:cs="Arial" w:eastAsia="Arial" w:hAnsi="Arial"/>
                <w:sz w:val="18"/>
                <w:szCs w:val="18"/>
                <w:color w:val="auto"/>
              </w:rPr>
              <w:t>200 basis point increase</w:t>
            </w:r>
          </w:p>
        </w:tc>
        <w:tc>
          <w:tcPr>
            <w:tcW w:w="1300" w:type="dxa"/>
            <w:vAlign w:val="bottom"/>
          </w:tcPr>
          <w:p>
            <w:pPr>
              <w:spacing w:after="0"/>
              <w:rPr>
                <w:sz w:val="19"/>
                <w:szCs w:val="19"/>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(5,264)</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credit loss rates on underlying loans</w:t>
            </w: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40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1300" w:type="dxa"/>
            <w:vAlign w:val="bottom"/>
          </w:tcPr>
          <w:p>
            <w:pPr>
              <w:spacing w:after="0"/>
              <w:rPr>
                <w:sz w:val="19"/>
                <w:szCs w:val="19"/>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(2,758)</w:t>
            </w:r>
          </w:p>
        </w:tc>
      </w:tr>
      <w:tr>
        <w:trPr>
          <w:trHeight w:val="230"/>
        </w:trPr>
        <w:tc>
          <w:tcPr>
            <w:tcW w:w="7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13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Expected prepayment rates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adverse change</w:t>
            </w:r>
          </w:p>
        </w:tc>
        <w:tc>
          <w:tcPr>
            <w:tcW w:w="13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r>
      <w:tr>
        <w:trPr>
          <w:trHeight w:val="230"/>
        </w:trPr>
        <w:tc>
          <w:tcPr>
            <w:tcW w:w="7400" w:type="dxa"/>
            <w:vAlign w:val="bottom"/>
          </w:tcPr>
          <w:p>
            <w:pPr>
              <w:ind w:left="240"/>
              <w:spacing w:after="0"/>
              <w:rPr>
                <w:sz w:val="20"/>
                <w:szCs w:val="20"/>
                <w:color w:val="auto"/>
              </w:rPr>
            </w:pPr>
            <w:r>
              <w:rPr>
                <w:rFonts w:ascii="Arial" w:cs="Arial" w:eastAsia="Arial" w:hAnsi="Arial"/>
                <w:sz w:val="18"/>
                <w:szCs w:val="18"/>
                <w:color w:val="auto"/>
              </w:rPr>
              <w:t>20% adverse change</w:t>
            </w:r>
          </w:p>
        </w:tc>
        <w:tc>
          <w:tcPr>
            <w:tcW w:w="1300" w:type="dxa"/>
            <w:vAlign w:val="bottom"/>
          </w:tcPr>
          <w:p>
            <w:pPr>
              <w:spacing w:after="0"/>
              <w:rPr>
                <w:sz w:val="20"/>
                <w:szCs w:val="20"/>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(4,142)</w:t>
            </w:r>
          </w:p>
        </w:tc>
      </w:tr>
    </w:tbl>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a rollforward of the loans classified within Level 3 of the fair value hierarchy: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Loans Held-for-</w:t>
            </w:r>
          </w:p>
        </w:tc>
        <w:tc>
          <w:tcPr>
            <w:tcW w:w="160" w:type="dxa"/>
            <w:vAlign w:val="bottom"/>
          </w:tcPr>
          <w:p>
            <w:pPr>
              <w:spacing w:after="0"/>
              <w:rPr>
                <w:sz w:val="18"/>
                <w:szCs w:val="1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Loans Held-for-</w:t>
            </w:r>
          </w:p>
        </w:tc>
        <w:tc>
          <w:tcPr>
            <w:tcW w:w="22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Loans Held in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89"/>
              </w:rPr>
              <w:t>Consolidated</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Sale</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9"/>
              </w:rPr>
              <w:t>Securitization</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623,763</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Purchases of loans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333,779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41,402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375,181</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loans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(232,302)</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722,080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722,080</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Immediate resale of loans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(722,080)</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Repayments received</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(43,748)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(46,447)</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(21,059)</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Other changes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8"/>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700,455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Loans Held-for-</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Loans Held in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Consolidated</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Securitization</w:t>
            </w:r>
          </w:p>
        </w:tc>
        <w:tc>
          <w:tcPr>
            <w:tcW w:w="360" w:type="dxa"/>
            <w:vAlign w:val="bottom"/>
          </w:tcPr>
          <w:p>
            <w:pPr>
              <w:spacing w:after="0"/>
              <w:rPr>
                <w:sz w:val="21"/>
                <w:szCs w:val="21"/>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252,477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Reclassification of loans from HFS to HFI</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103,679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(103,679)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1,514,822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(866,984)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(866,984)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5,519,116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(5,519,116)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(5,519,116)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(131,760)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(73,376)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647,178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700,455</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Loans Held-for-</w:t>
            </w:r>
          </w:p>
        </w:tc>
        <w:tc>
          <w:tcPr>
            <w:tcW w:w="20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Loans Held in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89"/>
              </w:rPr>
              <w:t>Consolidated</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Securitization</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837,565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Transfer of loans to consolidated securitization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209,968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of loans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516,635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(269,627)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(269,627)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342,467</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Immediate resale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(342,467)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(342,467)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(34,577)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632,316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143,493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196,527</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972,336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Transfer of loans to consolidated securitization at fair value.</w:t>
      </w:r>
    </w:p>
    <w:p>
      <w:pPr>
        <w:spacing w:after="0" w:line="13" w:lineRule="exact"/>
        <w:rPr>
          <w:rFonts w:ascii="Arial" w:cs="Arial" w:eastAsia="Arial" w:hAnsi="Arial"/>
          <w:sz w:val="14"/>
          <w:szCs w:val="14"/>
          <w:color w:val="auto"/>
        </w:rPr>
      </w:pPr>
    </w:p>
    <w:p>
      <w:pPr>
        <w:ind w:left="480" w:hanging="472"/>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Purchase activity includes an immaterial unpaid principal balance related to securitization clean-up calls during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Loans Held-for-</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Loans Held in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Consolidated</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Securitization</w:t>
            </w:r>
          </w:p>
        </w:tc>
        <w:tc>
          <w:tcPr>
            <w:tcW w:w="360" w:type="dxa"/>
            <w:vAlign w:val="bottom"/>
          </w:tcPr>
          <w:p>
            <w:pPr>
              <w:spacing w:after="0"/>
              <w:rPr>
                <w:sz w:val="21"/>
                <w:szCs w:val="21"/>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1,010,421</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Transfer of loans to consolidated securitization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of loans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1,174,602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(888,019)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(888,019)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1,023,426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Immediate resale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(1,023,426)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(1,023,426)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(230,211)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(95,909)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632,316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143,493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196,527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972,336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Transfer of loans to consolidated securitization at fair value.</w:t>
      </w:r>
    </w:p>
    <w:p>
      <w:pPr>
        <w:spacing w:after="0" w:line="13" w:lineRule="exact"/>
        <w:rPr>
          <w:rFonts w:ascii="Arial" w:cs="Arial" w:eastAsia="Arial" w:hAnsi="Arial"/>
          <w:sz w:val="14"/>
          <w:szCs w:val="14"/>
          <w:color w:val="auto"/>
        </w:rPr>
      </w:pPr>
    </w:p>
    <w:p>
      <w:pPr>
        <w:ind w:left="480" w:hanging="472"/>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Purchase activity includes an immaterial unpaid principal balance related to securitization clean-up calls during the nine months ended September 30, 2023.</w:t>
      </w:r>
    </w:p>
    <w:p>
      <w:pPr>
        <w:spacing w:after="0" w:line="2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aggregate fair value and aggregate principal outstanding of all loans and loans that were 90 days or more past due included in the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Loans</w:t>
            </w:r>
          </w:p>
        </w:tc>
        <w:tc>
          <w:tcPr>
            <w:tcW w:w="1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Loans &gt; 90 Days Past Due</w:t>
            </w:r>
          </w:p>
        </w:tc>
      </w:tr>
      <w:tr>
        <w:trPr>
          <w:trHeight w:val="218"/>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4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principal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8"/>
              </w:rPr>
              <w:t>9,006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fair value and accrued interest adjustments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4"/>
              </w:rPr>
              <w:t>(7,006)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(10,528)</w:t>
            </w:r>
          </w:p>
        </w:tc>
      </w:tr>
      <w:tr>
        <w:trPr>
          <w:trHeight w:val="248"/>
        </w:trPr>
        <w:tc>
          <w:tcPr>
            <w:tcW w:w="44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Fair value</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972,336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88"/>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hanging="492"/>
        <w:spacing w:after="0" w:line="293" w:lineRule="auto"/>
        <w:tabs>
          <w:tab w:leader="none" w:pos="395"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$397.7 million and $379.5 million of auto loans as of December 31, 2022 and September 30, 2023, respectively, of which an immaterial amount is 90 days or more past due for each period presented.</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related to Securitization Transactions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and September 30, 2023, the Company held notes receivable and residual certificates with an aggregate fair value of $6.2 million and $2.8 million, respectively, within other assets on the Company’s condensed consolidated balance sheets. The balances consist of securitization notes and residual certificates retained from unconsolidated securitization transactions.</w:t>
      </w:r>
    </w:p>
    <w:p>
      <w:pPr>
        <w:spacing w:after="0" w:line="14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September 30, 2023, the Company recognized payables to securitization note holders of $153.8 million at fair value. The balance represents the value of the securitization notes issued and owned by third-party investors in connection with UPST 2023-2. Accrued interest on these financial instruments is immaterial as of September 30, 2023. The value of the UPST 2023-2 securitization notes and residual certificates retained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is eliminated in the consolidation process. As of December 31, 2022, the Company did not hold liabilities related to the consolidated securitization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discounted cash flow methodology, which is used to estimate the fair value of notes and residual certificates issued as part of the Company’s securitizations, uses the same projected net cash flows as their collateral loan pools. This model uses inputs that are inherently judgmental and reflect the Company’s best estimates of the assumptions a market participant would use to calculate fair value.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of the underlying collateral pools of the assets and liabilities related to securitization transactions: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 2023</w:t>
            </w:r>
          </w:p>
        </w:tc>
        <w:tc>
          <w:tcPr>
            <w:tcW w:w="1180" w:type="dxa"/>
            <w:vAlign w:val="bottom"/>
            <w:tcBorders>
              <w:bottom w:val="single" w:sz="8" w:color="auto"/>
            </w:tcBorders>
          </w:tcPr>
          <w:p>
            <w:pPr>
              <w:spacing w:after="0"/>
              <w:rPr>
                <w:sz w:val="20"/>
                <w:szCs w:val="20"/>
                <w:color w:val="auto"/>
              </w:rPr>
            </w:pPr>
          </w:p>
        </w:tc>
      </w:tr>
      <w:tr>
        <w:trPr>
          <w:trHeight w:val="174"/>
        </w:trPr>
        <w:tc>
          <w:tcPr>
            <w:tcW w:w="2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170"/>
              <w:spacing w:after="0" w:line="175" w:lineRule="exact"/>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170"/>
              <w:spacing w:after="0" w:line="175" w:lineRule="exact"/>
              <w:rPr>
                <w:sz w:val="20"/>
                <w:szCs w:val="20"/>
                <w:color w:val="auto"/>
              </w:rPr>
            </w:pPr>
            <w:r>
              <w:rPr>
                <w:rFonts w:ascii="Arial" w:cs="Arial" w:eastAsia="Arial" w:hAnsi="Arial"/>
                <w:sz w:val="18"/>
                <w:szCs w:val="18"/>
                <w:b w:val="1"/>
                <w:bCs w:val="1"/>
                <w:color w:val="auto"/>
              </w:rPr>
              <w:t>Weighted-</w:t>
            </w:r>
          </w:p>
        </w:tc>
      </w:tr>
      <w:tr>
        <w:trPr>
          <w:trHeight w:val="238"/>
        </w:trPr>
        <w:tc>
          <w:tcPr>
            <w:tcW w:w="29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rPr>
              <w:t>Minimum</w:t>
            </w:r>
          </w:p>
        </w:tc>
        <w:tc>
          <w:tcPr>
            <w:tcW w:w="10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400" w:type="dxa"/>
            <w:vAlign w:val="bottom"/>
            <w:gridSpan w:val="2"/>
          </w:tcPr>
          <w:p>
            <w:pPr>
              <w:jc w:val="right"/>
              <w:ind w:right="360"/>
              <w:spacing w:after="0" w:line="237" w:lineRule="exact"/>
              <w:rPr>
                <w:sz w:val="20"/>
                <w:szCs w:val="20"/>
                <w:color w:val="auto"/>
              </w:rPr>
            </w:pPr>
            <w:r>
              <w:rPr>
                <w:rFonts w:ascii="Arial" w:cs="Arial" w:eastAsia="Arial" w:hAnsi="Arial"/>
                <w:sz w:val="18"/>
                <w:szCs w:val="18"/>
                <w:b w:val="1"/>
                <w:bCs w:val="1"/>
                <w:color w:val="auto"/>
              </w:rPr>
              <w:t xml:space="preserve">Average </w:t>
            </w:r>
            <w:r>
              <w:rPr>
                <w:rFonts w:ascii="Arial" w:cs="Arial" w:eastAsia="Arial" w:hAnsi="Arial"/>
                <w:sz w:val="23"/>
                <w:szCs w:val="23"/>
                <w:b w:val="1"/>
                <w:bCs w:val="1"/>
                <w:color w:val="auto"/>
                <w:vertAlign w:val="superscript"/>
              </w:rPr>
              <w:t>(2)</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Minimum</w:t>
            </w:r>
          </w:p>
        </w:tc>
        <w:tc>
          <w:tcPr>
            <w:tcW w:w="80" w:type="dxa"/>
            <w:vAlign w:val="bottom"/>
          </w:tcPr>
          <w:p>
            <w:pPr>
              <w:spacing w:after="0"/>
              <w:rPr>
                <w:sz w:val="20"/>
                <w:szCs w:val="20"/>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180" w:type="dxa"/>
            <w:vAlign w:val="bottom"/>
          </w:tcPr>
          <w:p>
            <w:pPr>
              <w:jc w:val="right"/>
              <w:ind w:right="170"/>
              <w:spacing w:after="0" w:line="237" w:lineRule="exact"/>
              <w:rPr>
                <w:sz w:val="20"/>
                <w:szCs w:val="20"/>
                <w:color w:val="auto"/>
              </w:rPr>
            </w:pPr>
            <w:r>
              <w:rPr>
                <w:rFonts w:ascii="Arial" w:cs="Arial" w:eastAsia="Arial" w:hAnsi="Arial"/>
                <w:sz w:val="18"/>
                <w:szCs w:val="18"/>
                <w:b w:val="1"/>
                <w:bCs w:val="1"/>
                <w:color w:val="auto"/>
                <w:w w:val="94"/>
              </w:rPr>
              <w:t xml:space="preserve">Average </w:t>
            </w:r>
            <w:r>
              <w:rPr>
                <w:rFonts w:ascii="Arial" w:cs="Arial" w:eastAsia="Arial" w:hAnsi="Arial"/>
                <w:sz w:val="23"/>
                <w:szCs w:val="23"/>
                <w:b w:val="1"/>
                <w:bCs w:val="1"/>
                <w:color w:val="auto"/>
                <w:w w:val="94"/>
                <w:vertAlign w:val="superscript"/>
              </w:rPr>
              <w:t>(2)</w:t>
            </w:r>
          </w:p>
        </w:tc>
      </w:tr>
      <w:tr>
        <w:trPr>
          <w:trHeight w:val="205"/>
        </w:trPr>
        <w:tc>
          <w:tcPr>
            <w:tcW w:w="29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Notes receivable and residual</w:t>
            </w: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41"/>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certificates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8.42 %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22.27 %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10.64 %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23.05 %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13.42 %</w:t>
            </w:r>
          </w:p>
        </w:tc>
      </w:tr>
      <w:tr>
        <w:trPr>
          <w:trHeight w:val="230"/>
        </w:trPr>
        <w:tc>
          <w:tcPr>
            <w:tcW w:w="2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17.78 %</w:t>
            </w:r>
          </w:p>
        </w:tc>
      </w:tr>
      <w:tr>
        <w:trPr>
          <w:trHeight w:val="229"/>
        </w:trPr>
        <w:tc>
          <w:tcPr>
            <w:tcW w:w="29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10.90 %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88.73 %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10.90 %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87.53 %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44.13 %</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0"/>
              </w:rPr>
              <w:t>Payable to securitization note holders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10.64 %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23.05 %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12.93 %</w:t>
            </w:r>
          </w:p>
        </w:tc>
      </w:tr>
      <w:tr>
        <w:trPr>
          <w:trHeight w:val="230"/>
        </w:trPr>
        <w:tc>
          <w:tcPr>
            <w:tcW w:w="2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15.56 %</w:t>
            </w:r>
          </w:p>
        </w:tc>
      </w:tr>
      <w:tr>
        <w:trPr>
          <w:trHeight w:val="312"/>
        </w:trPr>
        <w:tc>
          <w:tcPr>
            <w:tcW w:w="2960" w:type="dxa"/>
            <w:vAlign w:val="bottom"/>
          </w:tcPr>
          <w:p>
            <w:pPr>
              <w:ind w:left="20"/>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6.66 %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89.84 %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43.03 %</w:t>
            </w:r>
          </w:p>
        </w:tc>
      </w:tr>
    </w:tbl>
    <w:p>
      <w:pPr>
        <w:ind w:left="480" w:hanging="472"/>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financial instruments</w:t>
      </w:r>
    </w:p>
    <w:p>
      <w:pPr>
        <w:spacing w:after="0" w:line="14" w:lineRule="exact"/>
        <w:rPr>
          <w:rFonts w:ascii="Arial" w:cs="Arial" w:eastAsia="Arial" w:hAnsi="Arial"/>
          <w:sz w:val="14"/>
          <w:szCs w:val="14"/>
          <w:color w:val="auto"/>
        </w:rPr>
      </w:pPr>
    </w:p>
    <w:p>
      <w:pPr>
        <w:ind w:left="480" w:hanging="472"/>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Not applicable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Receivable and Residual Certificates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Adverse changes in discount rates, credit risk rates, or prepayment rates do not result in a material impact to the fair value of notes receivable and residual certificates as of December 31, 2022 and September 30, 2023.</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Payable to Securitization Note Holders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payable to securitization note holders is sensitive to adverse changes in discount rates, which represent estimates of the rates of return that institutional investors would require when investing in financial instruments with similar risk and return characteristics. On average, a hypothetical 100 and 200 basis point increase in discount rates results in a decrease in fair value of payable to securitization note holders of $2.2 million and $4.3 million, respectively, as of September 30, 2023. Adverse changes in credit risk rates and expected prepayment rates do not result in a material impact to the fair value of payable to securitization note holders as of September 30, 2023. The Company held no payable to securitization note holders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include a rollforward of the notes receivable and residual certificates and payables to securitization note holders related to securitization transactions classified by the Company within Level 3 of the fair value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c>
          <w:tcPr>
            <w:tcW w:w="220" w:type="dxa"/>
            <w:vAlign w:val="bottom"/>
          </w:tcPr>
          <w:p>
            <w:pPr>
              <w:spacing w:after="0"/>
              <w:rPr>
                <w:sz w:val="17"/>
                <w:szCs w:val="17"/>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Payable to</w:t>
            </w:r>
          </w:p>
        </w:tc>
        <w:tc>
          <w:tcPr>
            <w:tcW w:w="0" w:type="dxa"/>
            <w:vAlign w:val="bottom"/>
          </w:tcPr>
          <w:p>
            <w:pPr>
              <w:spacing w:after="0"/>
              <w:rPr>
                <w:sz w:val="1"/>
                <w:szCs w:val="1"/>
                <w:color w:val="auto"/>
              </w:rPr>
            </w:pPr>
          </w:p>
        </w:tc>
      </w:tr>
      <w:tr>
        <w:trPr>
          <w:trHeight w:val="180"/>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0"/>
              </w:rPr>
              <w:t>Securitization Note</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Holders</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(1,596)</w:t>
            </w:r>
          </w:p>
        </w:tc>
        <w:tc>
          <w:tcPr>
            <w:tcW w:w="220" w:type="dxa"/>
            <w:vAlign w:val="bottom"/>
          </w:tcPr>
          <w:p>
            <w:pPr>
              <w:spacing w:after="0"/>
              <w:rPr>
                <w:sz w:val="19"/>
                <w:szCs w:val="19"/>
                <w:color w:val="auto"/>
              </w:rPr>
            </w:pPr>
          </w:p>
        </w:tc>
        <w:tc>
          <w:tcPr>
            <w:tcW w:w="1940" w:type="dxa"/>
            <w:vAlign w:val="bottom"/>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c>
          <w:tcPr>
            <w:tcW w:w="220" w:type="dxa"/>
            <w:vAlign w:val="bottom"/>
          </w:tcPr>
          <w:p>
            <w:pPr>
              <w:spacing w:after="0"/>
              <w:rPr>
                <w:sz w:val="17"/>
                <w:szCs w:val="17"/>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Payable to</w:t>
            </w:r>
          </w:p>
        </w:tc>
        <w:tc>
          <w:tcPr>
            <w:tcW w:w="0" w:type="dxa"/>
            <w:vAlign w:val="bottom"/>
          </w:tcPr>
          <w:p>
            <w:pPr>
              <w:spacing w:after="0"/>
              <w:rPr>
                <w:sz w:val="1"/>
                <w:szCs w:val="1"/>
                <w:color w:val="auto"/>
              </w:rPr>
            </w:pPr>
          </w:p>
        </w:tc>
      </w:tr>
      <w:tr>
        <w:trPr>
          <w:trHeight w:val="175"/>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0"/>
              </w:rPr>
              <w:t>Securitization Note</w:t>
            </w:r>
          </w:p>
        </w:tc>
        <w:tc>
          <w:tcPr>
            <w:tcW w:w="0" w:type="dxa"/>
            <w:vAlign w:val="bottom"/>
          </w:tcPr>
          <w:p>
            <w:pPr>
              <w:spacing w:after="0"/>
              <w:rPr>
                <w:sz w:val="1"/>
                <w:szCs w:val="1"/>
                <w:color w:val="auto"/>
              </w:rPr>
            </w:pPr>
          </w:p>
        </w:tc>
      </w:tr>
      <w:tr>
        <w:trPr>
          <w:trHeight w:val="243"/>
        </w:trPr>
        <w:tc>
          <w:tcPr>
            <w:tcW w:w="69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Holders</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(5,508)</w:t>
            </w:r>
          </w:p>
        </w:tc>
        <w:tc>
          <w:tcPr>
            <w:tcW w:w="220" w:type="dxa"/>
            <w:vAlign w:val="bottom"/>
          </w:tcPr>
          <w:p>
            <w:pPr>
              <w:spacing w:after="0"/>
              <w:rPr>
                <w:sz w:val="19"/>
                <w:szCs w:val="19"/>
                <w:color w:val="auto"/>
              </w:rPr>
            </w:pPr>
          </w:p>
        </w:tc>
        <w:tc>
          <w:tcPr>
            <w:tcW w:w="1940" w:type="dxa"/>
            <w:vAlign w:val="bottom"/>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0"/>
              </w:rPr>
              <w:t>Notes Receivable and</w:t>
            </w:r>
          </w:p>
        </w:tc>
        <w:tc>
          <w:tcPr>
            <w:tcW w:w="240" w:type="dxa"/>
            <w:vAlign w:val="bottom"/>
          </w:tcPr>
          <w:p>
            <w:pPr>
              <w:spacing w:after="0"/>
              <w:rPr>
                <w:sz w:val="18"/>
                <w:szCs w:val="18"/>
                <w:color w:val="auto"/>
              </w:rPr>
            </w:pPr>
          </w:p>
        </w:tc>
        <w:tc>
          <w:tcPr>
            <w:tcW w:w="19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Payable to</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0"/>
              </w:rPr>
              <w:t>Securitization Note</w:t>
            </w:r>
          </w:p>
        </w:tc>
        <w:tc>
          <w:tcPr>
            <w:tcW w:w="0" w:type="dxa"/>
            <w:vAlign w:val="bottom"/>
          </w:tcPr>
          <w:p>
            <w:pPr>
              <w:spacing w:after="0"/>
              <w:rPr>
                <w:sz w:val="1"/>
                <w:szCs w:val="1"/>
                <w:color w:val="auto"/>
              </w:rPr>
            </w:pPr>
          </w:p>
        </w:tc>
      </w:tr>
      <w:tr>
        <w:trPr>
          <w:trHeight w:val="239"/>
        </w:trPr>
        <w:tc>
          <w:tcPr>
            <w:tcW w:w="6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Residual Certificates</w:t>
            </w: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Holders</w:t>
            </w:r>
          </w:p>
        </w:tc>
        <w:tc>
          <w:tcPr>
            <w:tcW w:w="0" w:type="dxa"/>
            <w:vAlign w:val="bottom"/>
          </w:tcPr>
          <w:p>
            <w:pPr>
              <w:spacing w:after="0"/>
              <w:rPr>
                <w:sz w:val="1"/>
                <w:szCs w:val="1"/>
                <w:color w:val="auto"/>
              </w:rPr>
            </w:pPr>
          </w:p>
        </w:tc>
      </w:tr>
      <w:tr>
        <w:trPr>
          <w:trHeight w:val="227"/>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8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165,318</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c>
          <w:tcPr>
            <w:tcW w:w="220" w:type="dxa"/>
            <w:vAlign w:val="bottom"/>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Payable to</w:t>
            </w:r>
          </w:p>
        </w:tc>
        <w:tc>
          <w:tcPr>
            <w:tcW w:w="0" w:type="dxa"/>
            <w:vAlign w:val="bottom"/>
          </w:tcPr>
          <w:p>
            <w:pPr>
              <w:spacing w:after="0"/>
              <w:rPr>
                <w:sz w:val="1"/>
                <w:szCs w:val="1"/>
                <w:color w:val="auto"/>
              </w:rPr>
            </w:pPr>
          </w:p>
        </w:tc>
      </w:tr>
      <w:tr>
        <w:trPr>
          <w:trHeight w:val="180"/>
        </w:trPr>
        <w:tc>
          <w:tcPr>
            <w:tcW w:w="6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0"/>
              </w:rPr>
              <w:t>Securitization Note</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Holders</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8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165,318</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Servicing Assets and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generally based on the monthly unpaid principal balance of the underlying loans, the expected cash flows in the model incorporate estimates of net losses and prepayments.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 servicing assets and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 2022</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3"/>
          </w:tcPr>
          <w:p>
            <w:pPr>
              <w:jc w:val="right"/>
              <w:ind w:right="1275"/>
              <w:spacing w:after="0"/>
              <w:rPr>
                <w:sz w:val="20"/>
                <w:szCs w:val="20"/>
                <w:color w:val="auto"/>
              </w:rPr>
            </w:pPr>
            <w:r>
              <w:rPr>
                <w:rFonts w:ascii="Arial" w:cs="Arial" w:eastAsia="Arial" w:hAnsi="Arial"/>
                <w:sz w:val="18"/>
                <w:szCs w:val="18"/>
                <w:b w:val="1"/>
                <w:bCs w:val="1"/>
                <w:color w:val="auto"/>
                <w:w w:val="89"/>
              </w:rPr>
              <w:t>September 30, 2023</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91.76 %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81.10 %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15.04 %</w:t>
            </w: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Market-servicing rate </w:t>
            </w:r>
            <w:r>
              <w:rPr>
                <w:rFonts w:ascii="Arial" w:cs="Arial" w:eastAsia="Arial" w:hAnsi="Arial"/>
                <w:sz w:val="23"/>
                <w:szCs w:val="23"/>
                <w:color w:val="auto"/>
                <w:vertAlign w:val="superscript"/>
              </w:rPr>
              <w:t>(3)(4)(5)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0.63 %</w:t>
            </w:r>
          </w:p>
        </w:tc>
        <w:tc>
          <w:tcPr>
            <w:tcW w:w="0" w:type="dxa"/>
            <w:vAlign w:val="bottom"/>
          </w:tcPr>
          <w:p>
            <w:pPr>
              <w:spacing w:after="0"/>
              <w:rPr>
                <w:sz w:val="1"/>
                <w:szCs w:val="1"/>
                <w:color w:val="auto"/>
              </w:rPr>
            </w:pPr>
          </w:p>
        </w:tc>
      </w:tr>
      <w:tr>
        <w:trPr>
          <w:trHeight w:val="304"/>
        </w:trPr>
        <w:tc>
          <w:tcPr>
            <w:tcW w:w="2700" w:type="dxa"/>
            <w:vAlign w:val="bottom"/>
          </w:tcPr>
          <w:p>
            <w:pPr>
              <w:ind w:left="20"/>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0.53 %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91.99 %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41.19 %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96.90 %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41.57 %</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servicing arrangement</w:t>
      </w:r>
    </w:p>
    <w:p>
      <w:pPr>
        <w:spacing w:after="0" w:line="13" w:lineRule="exact"/>
        <w:rPr>
          <w:rFonts w:ascii="Arial" w:cs="Arial" w:eastAsia="Arial" w:hAnsi="Arial"/>
          <w:sz w:val="14"/>
          <w:szCs w:val="14"/>
          <w:color w:val="auto"/>
        </w:rPr>
      </w:pPr>
    </w:p>
    <w:p>
      <w:pPr>
        <w:ind w:left="480" w:hanging="472"/>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9" w:lineRule="exact"/>
        <w:rPr>
          <w:rFonts w:ascii="Arial" w:cs="Arial" w:eastAsia="Arial" w:hAnsi="Arial"/>
          <w:sz w:val="14"/>
          <w:szCs w:val="14"/>
          <w:color w:val="auto"/>
        </w:rPr>
      </w:pPr>
    </w:p>
    <w:p>
      <w:pPr>
        <w:ind w:left="480" w:hanging="472"/>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ancillary fees that would be passed on to a third-party servicer</w:t>
      </w:r>
    </w:p>
    <w:p>
      <w:pPr>
        <w:spacing w:after="0" w:line="14" w:lineRule="exact"/>
        <w:rPr>
          <w:rFonts w:ascii="Arial" w:cs="Arial" w:eastAsia="Arial" w:hAnsi="Arial"/>
          <w:sz w:val="14"/>
          <w:szCs w:val="14"/>
          <w:color w:val="auto"/>
        </w:rPr>
      </w:pPr>
    </w:p>
    <w:p>
      <w:pPr>
        <w:ind w:left="480" w:hanging="472"/>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Expressed as a percentage of the outstanding principal balance of the loan</w:t>
      </w:r>
    </w:p>
    <w:p>
      <w:pPr>
        <w:spacing w:after="0" w:line="14" w:lineRule="exact"/>
        <w:rPr>
          <w:rFonts w:ascii="Arial" w:cs="Arial" w:eastAsia="Arial" w:hAnsi="Arial"/>
          <w:sz w:val="14"/>
          <w:szCs w:val="14"/>
          <w:color w:val="auto"/>
        </w:rPr>
      </w:pPr>
    </w:p>
    <w:p>
      <w:pPr>
        <w:ind w:left="480" w:hanging="472"/>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personal loans and auto loans</w:t>
      </w:r>
    </w:p>
    <w:p>
      <w:pPr>
        <w:spacing w:after="0" w:line="25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Discount rates</w:t>
      </w:r>
      <w:r>
        <w:rPr>
          <w:rFonts w:ascii="Arial" w:cs="Arial" w:eastAsia="Arial" w:hAnsi="Arial"/>
          <w:sz w:val="16"/>
          <w:szCs w:val="16"/>
          <w:color w:val="auto"/>
        </w:rPr>
        <w:t>–The discount rates are the Company’s estimate of the rates of return that market participants would require when investing in</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Credit risk rate</w:t>
      </w:r>
      <w:r>
        <w:rPr>
          <w:rFonts w:ascii="Arial" w:cs="Arial" w:eastAsia="Arial" w:hAnsi="Arial"/>
          <w:sz w:val="18"/>
          <w:szCs w:val="18"/>
          <w:color w:val="auto"/>
        </w:rPr>
        <w:t>s–The credit risk rates are the Company’s estimate of the net cumulative principal payments that will not be repaid over the entire</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Market-servicing rates</w:t>
      </w:r>
      <w:r>
        <w:rPr>
          <w:rFonts w:ascii="Arial" w:cs="Arial" w:eastAsia="Arial" w:hAnsi="Arial"/>
          <w:sz w:val="18"/>
          <w:szCs w:val="18"/>
          <w:color w:val="auto"/>
        </w:rPr>
        <w:t>–Market-servicing rate is an estimated measure of adequate compensation for a market participant, if one was required.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the Company’s estimate of the cumulative principal prepayments that will occur over the entire life of a</w:t>
      </w:r>
      <w:r>
        <w:rPr>
          <w:rFonts w:ascii="Arial" w:cs="Arial" w:eastAsia="Arial" w:hAnsi="Arial"/>
          <w:sz w:val="18"/>
          <w:szCs w:val="18"/>
          <w:i w:val="1"/>
          <w:iCs w:val="1"/>
          <w:color w:val="auto"/>
        </w:rPr>
        <w:t xml:space="preserve"> </w:t>
      </w:r>
      <w:r>
        <w:rPr>
          <w:rFonts w:ascii="Arial" w:cs="Arial" w:eastAsia="Arial" w:hAnsi="Arial"/>
          <w:sz w:val="18"/>
          <w:szCs w:val="18"/>
          <w:color w:val="auto"/>
        </w:rPr>
        <w:t>loan as a percentage of the original principal amount of the loan. The assumption regarding cumulative prepayments impacts the projected balances and expected terms of the loans, which are used to project future servicing revenues.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presents the fair value sensitivity of loan servicing assets and liabilities to adverse changes in key assumptions. The fair value of loan servicing assets and liabilities is not sensitive to adverse changes in discount rates and prepayment rates as such changes would not result in a significant impact on the fair value as of December 31, 2022 and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3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 servicing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30,091</w:t>
            </w: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color w:val="auto"/>
              </w:rPr>
              <w:t>Expected market-servicing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market-servicing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20% market-servicing rates increase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(16,101)</w:t>
            </w: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36"/>
        </w:trPr>
        <w:tc>
          <w:tcPr>
            <w:tcW w:w="7860" w:type="dxa"/>
            <w:vAlign w:val="bottom"/>
            <w:shd w:val="clear" w:color="auto" w:fill="CCEEFF"/>
          </w:tcPr>
          <w:p>
            <w:pPr>
              <w:jc w:val="right"/>
              <w:ind w:right="4910"/>
              <w:spacing w:after="0"/>
              <w:rPr>
                <w:sz w:val="20"/>
                <w:szCs w:val="20"/>
                <w:color w:val="auto"/>
              </w:rPr>
            </w:pPr>
            <w:r>
              <w:rPr>
                <w:rFonts w:ascii="Arial" w:cs="Arial" w:eastAsia="Arial" w:hAnsi="Arial"/>
                <w:sz w:val="18"/>
                <w:szCs w:val="18"/>
                <w:b w:val="1"/>
                <w:bCs w:val="1"/>
                <w:color w:val="auto"/>
                <w:w w:val="90"/>
              </w:rPr>
              <w:t>Fair value of loan servicing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r>
      <w:tr>
        <w:trPr>
          <w:trHeight w:val="230"/>
        </w:trPr>
        <w:tc>
          <w:tcPr>
            <w:tcW w:w="7860" w:type="dxa"/>
            <w:vAlign w:val="bottom"/>
          </w:tcPr>
          <w:p>
            <w:pPr>
              <w:jc w:val="right"/>
              <w:ind w:right="5430"/>
              <w:spacing w:after="0"/>
              <w:rPr>
                <w:sz w:val="20"/>
                <w:szCs w:val="20"/>
                <w:color w:val="auto"/>
              </w:rPr>
            </w:pPr>
            <w:r>
              <w:rPr>
                <w:rFonts w:ascii="Arial" w:cs="Arial" w:eastAsia="Arial" w:hAnsi="Arial"/>
                <w:sz w:val="18"/>
                <w:szCs w:val="18"/>
                <w:color w:val="auto"/>
                <w:w w:val="90"/>
              </w:rPr>
              <w:t>Expected market-servicing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6"/>
        </w:trPr>
        <w:tc>
          <w:tcPr>
            <w:tcW w:w="7860" w:type="dxa"/>
            <w:vAlign w:val="bottom"/>
            <w:shd w:val="clear" w:color="auto" w:fill="CCEEFF"/>
          </w:tcPr>
          <w:p>
            <w:pPr>
              <w:jc w:val="right"/>
              <w:ind w:right="4910"/>
              <w:spacing w:after="0"/>
              <w:rPr>
                <w:sz w:val="20"/>
                <w:szCs w:val="20"/>
                <w:color w:val="auto"/>
              </w:rPr>
            </w:pPr>
            <w:r>
              <w:rPr>
                <w:rFonts w:ascii="Arial" w:cs="Arial" w:eastAsia="Arial" w:hAnsi="Arial"/>
                <w:sz w:val="18"/>
                <w:szCs w:val="18"/>
                <w:color w:val="auto"/>
                <w:w w:val="97"/>
              </w:rPr>
              <w:t>10% market-servicing rates increase</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30"/>
        </w:trPr>
        <w:tc>
          <w:tcPr>
            <w:tcW w:w="7860" w:type="dxa"/>
            <w:vAlign w:val="bottom"/>
          </w:tcPr>
          <w:p>
            <w:pPr>
              <w:jc w:val="right"/>
              <w:ind w:right="4910"/>
              <w:spacing w:after="0"/>
              <w:rPr>
                <w:sz w:val="20"/>
                <w:szCs w:val="20"/>
                <w:color w:val="auto"/>
              </w:rPr>
            </w:pPr>
            <w:r>
              <w:rPr>
                <w:rFonts w:ascii="Arial" w:cs="Arial" w:eastAsia="Arial" w:hAnsi="Arial"/>
                <w:sz w:val="18"/>
                <w:szCs w:val="18"/>
                <w:color w:val="auto"/>
                <w:w w:val="97"/>
              </w:rPr>
              <w:t>20% market-servicing rates increase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2,702</w:t>
            </w:r>
          </w:p>
        </w:tc>
      </w:tr>
    </w:tbl>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present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Loan Servicing</w:t>
            </w:r>
          </w:p>
        </w:tc>
      </w:tr>
      <w:tr>
        <w:trPr>
          <w:trHeight w:val="239"/>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Loan Servicing</w:t>
            </w:r>
          </w:p>
        </w:tc>
        <w:tc>
          <w:tcPr>
            <w:tcW w:w="16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Loan Servicing</w:t>
            </w:r>
          </w:p>
        </w:tc>
      </w:tr>
      <w:tr>
        <w:trPr>
          <w:trHeight w:val="239"/>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4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Liabilities</w:t>
            </w:r>
          </w:p>
        </w:tc>
      </w:tr>
      <w:tr>
        <w:trPr>
          <w:trHeight w:val="22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8"/>
              </w:rPr>
              <w:t>18,388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8"/>
              </w:rPr>
              <w:t>8,780</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ind w:left="920"/>
              <w:spacing w:after="0"/>
              <w:rPr>
                <w:sz w:val="20"/>
                <w:szCs w:val="20"/>
                <w:color w:val="auto"/>
              </w:rPr>
            </w:pPr>
            <w:r>
              <w:rPr>
                <w:rFonts w:ascii="Arial" w:cs="Arial" w:eastAsia="Arial" w:hAnsi="Arial"/>
                <w:sz w:val="18"/>
                <w:szCs w:val="18"/>
                <w:color w:val="auto"/>
                <w:w w:val="98"/>
              </w:rPr>
              <w:t>26,066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Arial" w:cs="Arial" w:eastAsia="Arial" w:hAnsi="Arial"/>
                <w:sz w:val="18"/>
                <w:szCs w:val="18"/>
                <w:color w:val="auto"/>
                <w:w w:val="88"/>
              </w:rPr>
              <w:t>2,296</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4"/>
              </w:rPr>
              <w:t>(7,417)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4"/>
              </w:rPr>
              <w:t>(6,266)</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8"/>
              </w:rPr>
              <w:t>37,037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88"/>
              </w:rPr>
              <w:t>4,810</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Loan Servicing</w:t>
            </w:r>
          </w:p>
        </w:tc>
      </w:tr>
      <w:tr>
        <w:trPr>
          <w:trHeight w:val="239"/>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Loan Servicing</w:t>
            </w:r>
          </w:p>
        </w:tc>
      </w:tr>
      <w:tr>
        <w:trPr>
          <w:trHeight w:val="239"/>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87"/>
              </w:rPr>
              <w:t>36,467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center"/>
              <w:ind w:left="750"/>
              <w:spacing w:after="0"/>
              <w:rPr>
                <w:sz w:val="20"/>
                <w:szCs w:val="20"/>
                <w:color w:val="auto"/>
              </w:rPr>
            </w:pPr>
            <w:r>
              <w:rPr>
                <w:rFonts w:ascii="Arial" w:cs="Arial" w:eastAsia="Arial" w:hAnsi="Arial"/>
                <w:sz w:val="18"/>
                <w:szCs w:val="18"/>
                <w:color w:val="auto"/>
                <w:w w:val="87"/>
              </w:rPr>
              <w:t>10,512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2"/>
              </w:rPr>
              <w:t>(16,888)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Fair value at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7"/>
              </w:rPr>
              <w:t>30,091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Beneficial Interests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certain loan sale agreements, the Company is obligated to make payments to the loan buyer or is entitled to receive payments from the buyer if credit losses on personal loans subject to the arrangement deviate from initial expectations, subject to a dollar cap. These arrangements are recorded on the condensed consolidated balance sheet as beneficial interests. As of September 30, 2023, the Company held beneficial interests assets related to these arrangements of $37.0 million. The Company held no beneficial interests as of December 31,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Beneficial interests are measured at estimated fair value using a discounted cash flow model. The fair valuation methodology considers projected defaults, losses and recoveries to project future losses and net cash flows on the underlying loans. Net cash flows are discounted using an estimate of market rates of return that reflect the risk premium related to those cash flows. The models use inputs that are inherently judgmental and reflect the Company’s best estimates of the assumptions a market participant would use to determine fair value.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fair value measurements of beneficial interests as of September 30, 2023:</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56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w w:val="98"/>
              </w:rPr>
              <w:t>Minimum</w:t>
            </w:r>
          </w:p>
        </w:tc>
        <w:tc>
          <w:tcPr>
            <w:tcW w:w="6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w w:val="96"/>
              </w:rPr>
              <w:t>Maximum</w:t>
            </w:r>
          </w:p>
        </w:tc>
        <w:tc>
          <w:tcPr>
            <w:tcW w:w="6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Weighted-Average</w:t>
            </w:r>
            <w:r>
              <w:rPr>
                <w:rFonts w:ascii="Arial" w:cs="Arial" w:eastAsia="Arial" w:hAnsi="Arial"/>
                <w:sz w:val="23"/>
                <w:szCs w:val="23"/>
                <w:b w:val="1"/>
                <w:bCs w:val="1"/>
                <w:color w:val="auto"/>
                <w:vertAlign w:val="superscript"/>
              </w:rPr>
              <w:t>(1)</w:t>
            </w: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Beneficial interests</w:t>
            </w: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30"/>
        </w:trPr>
        <w:tc>
          <w:tcPr>
            <w:tcW w:w="6060" w:type="dxa"/>
            <w:vAlign w:val="bottom"/>
            <w:gridSpan w:val="2"/>
          </w:tcPr>
          <w:p>
            <w:pPr>
              <w:ind w:left="120"/>
              <w:spacing w:after="0"/>
              <w:rPr>
                <w:sz w:val="20"/>
                <w:szCs w:val="20"/>
                <w:color w:val="auto"/>
              </w:rPr>
            </w:pPr>
            <w:r>
              <w:rPr>
                <w:rFonts w:ascii="Arial" w:cs="Arial" w:eastAsia="Arial" w:hAnsi="Arial"/>
                <w:sz w:val="18"/>
                <w:szCs w:val="18"/>
                <w:color w:val="auto"/>
              </w:rPr>
              <w:t>Discount rate</w:t>
            </w:r>
          </w:p>
        </w:tc>
        <w:tc>
          <w:tcPr>
            <w:tcW w:w="660" w:type="dxa"/>
            <w:vAlign w:val="bottom"/>
          </w:tcPr>
          <w:p>
            <w:pPr>
              <w:jc w:val="right"/>
              <w:spacing w:after="0"/>
              <w:rPr>
                <w:sz w:val="20"/>
                <w:szCs w:val="20"/>
                <w:color w:val="auto"/>
              </w:rPr>
            </w:pPr>
            <w:r>
              <w:rPr>
                <w:rFonts w:ascii="Arial" w:cs="Arial" w:eastAsia="Arial" w:hAnsi="Arial"/>
                <w:sz w:val="18"/>
                <w:szCs w:val="18"/>
                <w:color w:val="auto"/>
              </w:rPr>
              <w:t>7.00 %</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14.00 %</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13.81 %</w:t>
            </w:r>
          </w:p>
        </w:tc>
      </w:tr>
      <w:tr>
        <w:trPr>
          <w:trHeight w:val="229"/>
        </w:trPr>
        <w:tc>
          <w:tcPr>
            <w:tcW w:w="60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Credit risk rate spread </w:t>
            </w:r>
            <w:r>
              <w:rPr>
                <w:rFonts w:ascii="Arial" w:cs="Arial" w:eastAsia="Arial" w:hAnsi="Arial"/>
                <w:sz w:val="23"/>
                <w:szCs w:val="23"/>
                <w:color w:val="auto"/>
                <w:vertAlign w:val="superscript"/>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bl>
    <w:p>
      <w:pPr>
        <w:spacing w:after="0" w:line="319"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Expressed as a percentage of cumulative loss expectations as of the valuation date compared to the origination date.</w:t>
      </w:r>
    </w:p>
    <w:p>
      <w:pPr>
        <w:spacing w:after="0" w:line="25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Discount rates</w:t>
      </w:r>
      <w:r>
        <w:rPr>
          <w:rFonts w:ascii="Arial" w:cs="Arial" w:eastAsia="Arial" w:hAnsi="Arial"/>
          <w:sz w:val="16"/>
          <w:szCs w:val="16"/>
          <w:color w:val="auto"/>
        </w:rPr>
        <w:t>–The discount rates are rates of return used to discount future expected cash flows to arrive at a present value, which represents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Credit risk rate spreads</w:t>
      </w:r>
      <w:r>
        <w:rPr>
          <w:rFonts w:ascii="Arial" w:cs="Arial" w:eastAsia="Arial" w:hAnsi="Arial"/>
          <w:sz w:val="18"/>
          <w:szCs w:val="18"/>
          <w:color w:val="auto"/>
        </w:rPr>
        <w:t>–Credit risk rates for beneficial interests are determined the same way as for underlying loan portfolios. Credit risk rates</w:t>
      </w:r>
      <w:r>
        <w:rPr>
          <w:rFonts w:ascii="Arial" w:cs="Arial" w:eastAsia="Arial" w:hAnsi="Arial"/>
          <w:sz w:val="18"/>
          <w:szCs w:val="18"/>
          <w:i w:val="1"/>
          <w:iCs w:val="1"/>
          <w:color w:val="auto"/>
        </w:rPr>
        <w:t xml:space="preserve"> </w:t>
      </w:r>
      <w:r>
        <w:rPr>
          <w:rFonts w:ascii="Arial" w:cs="Arial" w:eastAsia="Arial" w:hAnsi="Arial"/>
          <w:sz w:val="18"/>
          <w:szCs w:val="18"/>
          <w:color w:val="auto"/>
        </w:rPr>
        <w:t>are an estimate of cumulative losses, net of average recoveries, of the underlying portfolio, which represent the amount of principal that will not be repaid over the entire life of a financial instrument. The credit risk rate spreads are the relative difference, expressed as a percentage, between the expected credit risk rate on origination date and the estimated credit risk rate as of a valuation date.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sensitivity of beneficial interests to adverse changes in key assumptions used in the valuation model as of</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September 30, 2023.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8"/>
        </w:trPr>
        <w:tc>
          <w:tcPr>
            <w:tcW w:w="20" w:type="dxa"/>
            <w:vAlign w:val="bottom"/>
          </w:tcPr>
          <w:p>
            <w:pPr>
              <w:spacing w:after="0"/>
              <w:rPr>
                <w:sz w:val="24"/>
                <w:szCs w:val="24"/>
                <w:color w:val="auto"/>
              </w:rPr>
            </w:pPr>
          </w:p>
        </w:tc>
        <w:tc>
          <w:tcPr>
            <w:tcW w:w="9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September 30, 2023</w:t>
            </w:r>
          </w:p>
        </w:tc>
      </w:tr>
      <w:tr>
        <w:trPr>
          <w:trHeight w:val="223"/>
        </w:trPr>
        <w:tc>
          <w:tcPr>
            <w:tcW w:w="20" w:type="dxa"/>
            <w:vAlign w:val="bottom"/>
          </w:tcPr>
          <w:p>
            <w:pPr>
              <w:spacing w:after="0"/>
              <w:rPr>
                <w:sz w:val="19"/>
                <w:szCs w:val="19"/>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beneficial interests</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36,974</w:t>
            </w:r>
          </w:p>
        </w:tc>
      </w:tr>
      <w:tr>
        <w:trPr>
          <w:trHeight w:val="210"/>
        </w:trPr>
        <w:tc>
          <w:tcPr>
            <w:tcW w:w="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100 basis point increase</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29"/>
        </w:trPr>
        <w:tc>
          <w:tcPr>
            <w:tcW w:w="20" w:type="dxa"/>
            <w:vAlign w:val="bottom"/>
          </w:tcPr>
          <w:p>
            <w:pPr>
              <w:spacing w:after="0"/>
              <w:rPr>
                <w:sz w:val="19"/>
                <w:szCs w:val="19"/>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200 basis point increase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20" w:type="dxa"/>
            <w:vAlign w:val="bottom"/>
          </w:tcPr>
          <w:p>
            <w:pPr>
              <w:spacing w:after="0"/>
              <w:rPr>
                <w:sz w:val="19"/>
                <w:szCs w:val="19"/>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credit rate spreads on underlying loans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10% adverse change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(10,044)</w:t>
            </w:r>
          </w:p>
        </w:tc>
      </w:tr>
      <w:tr>
        <w:trPr>
          <w:trHeight w:val="229"/>
        </w:trPr>
        <w:tc>
          <w:tcPr>
            <w:tcW w:w="20" w:type="dxa"/>
            <w:vAlign w:val="bottom"/>
          </w:tcPr>
          <w:p>
            <w:pPr>
              <w:spacing w:after="0"/>
              <w:rPr>
                <w:sz w:val="19"/>
                <w:szCs w:val="19"/>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 adverse change</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(15,789)</w:t>
            </w:r>
          </w:p>
        </w:tc>
      </w:tr>
      <w:tr>
        <w:trPr>
          <w:trHeight w:val="770"/>
        </w:trPr>
        <w:tc>
          <w:tcPr>
            <w:tcW w:w="20" w:type="dxa"/>
            <w:vAlign w:val="bottom"/>
          </w:tcPr>
          <w:p>
            <w:pPr>
              <w:spacing w:after="0"/>
              <w:rPr>
                <w:sz w:val="24"/>
                <w:szCs w:val="24"/>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rPr>
              <w:t>The following tables present a rollforward of beneficial interests: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91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Beneficial Interests</w:t>
            </w:r>
          </w:p>
        </w:tc>
      </w:tr>
      <w:tr>
        <w:trPr>
          <w:trHeight w:val="223"/>
        </w:trPr>
        <w:tc>
          <w:tcPr>
            <w:tcW w:w="20" w:type="dxa"/>
            <w:vAlign w:val="bottom"/>
          </w:tcPr>
          <w:p>
            <w:pPr>
              <w:spacing w:after="0"/>
              <w:rPr>
                <w:sz w:val="19"/>
                <w:szCs w:val="19"/>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as of June 30, 2023</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28,664</w:t>
            </w:r>
          </w:p>
        </w:tc>
      </w:tr>
      <w:tr>
        <w:trPr>
          <w:trHeight w:val="223"/>
        </w:trPr>
        <w:tc>
          <w:tcPr>
            <w:tcW w:w="20" w:type="dxa"/>
            <w:vAlign w:val="bottom"/>
          </w:tcPr>
          <w:p>
            <w:pPr>
              <w:spacing w:after="0"/>
              <w:rPr>
                <w:sz w:val="19"/>
                <w:szCs w:val="19"/>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14,719</w:t>
            </w:r>
          </w:p>
        </w:tc>
      </w:tr>
      <w:tr>
        <w:trPr>
          <w:trHeight w:val="230"/>
        </w:trPr>
        <w:tc>
          <w:tcPr>
            <w:tcW w:w="20" w:type="dxa"/>
            <w:vAlign w:val="bottom"/>
          </w:tcPr>
          <w:p>
            <w:pPr>
              <w:spacing w:after="0"/>
              <w:rPr>
                <w:sz w:val="19"/>
                <w:szCs w:val="19"/>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r>
      <w:tr>
        <w:trPr>
          <w:trHeight w:val="223"/>
        </w:trPr>
        <w:tc>
          <w:tcPr>
            <w:tcW w:w="20" w:type="dxa"/>
            <w:vAlign w:val="bottom"/>
          </w:tcPr>
          <w:p>
            <w:pPr>
              <w:spacing w:after="0"/>
              <w:rPr>
                <w:sz w:val="19"/>
                <w:szCs w:val="19"/>
                <w:color w:val="auto"/>
              </w:rPr>
            </w:pPr>
          </w:p>
        </w:tc>
        <w:tc>
          <w:tcPr>
            <w:tcW w:w="9180" w:type="dxa"/>
            <w:vAlign w:val="bottom"/>
          </w:tcPr>
          <w:p>
            <w:pPr>
              <w:ind w:left="20"/>
              <w:spacing w:after="0"/>
              <w:rPr>
                <w:sz w:val="20"/>
                <w:szCs w:val="20"/>
                <w:color w:val="auto"/>
              </w:rPr>
            </w:pPr>
            <w:r>
              <w:rPr>
                <w:rFonts w:ascii="Arial" w:cs="Arial" w:eastAsia="Arial" w:hAnsi="Arial"/>
                <w:sz w:val="18"/>
                <w:szCs w:val="18"/>
                <w:b w:val="1"/>
                <w:bCs w:val="1"/>
                <w:color w:val="auto"/>
              </w:rPr>
              <w:t>Fair value as of September 30, 2023</w:t>
            </w: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36,974</w:t>
            </w: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91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Beneficial Interests</w:t>
            </w:r>
          </w:p>
        </w:tc>
      </w:tr>
      <w:tr>
        <w:trPr>
          <w:trHeight w:val="223"/>
        </w:trPr>
        <w:tc>
          <w:tcPr>
            <w:tcW w:w="20" w:type="dxa"/>
            <w:vAlign w:val="bottom"/>
          </w:tcPr>
          <w:p>
            <w:pPr>
              <w:spacing w:after="0"/>
              <w:rPr>
                <w:sz w:val="19"/>
                <w:szCs w:val="19"/>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as of December 31, 2022</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45,254</w:t>
            </w:r>
          </w:p>
        </w:tc>
      </w:tr>
      <w:tr>
        <w:trPr>
          <w:trHeight w:val="230"/>
        </w:trPr>
        <w:tc>
          <w:tcPr>
            <w:tcW w:w="20" w:type="dxa"/>
            <w:vAlign w:val="bottom"/>
          </w:tcPr>
          <w:p>
            <w:pPr>
              <w:spacing w:after="0"/>
              <w:rPr>
                <w:sz w:val="19"/>
                <w:szCs w:val="19"/>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w:t>
            </w:r>
          </w:p>
        </w:tc>
      </w:tr>
      <w:tr>
        <w:trPr>
          <w:trHeight w:val="223"/>
        </w:trPr>
        <w:tc>
          <w:tcPr>
            <w:tcW w:w="20" w:type="dxa"/>
            <w:vAlign w:val="bottom"/>
          </w:tcPr>
          <w:p>
            <w:pPr>
              <w:spacing w:after="0"/>
              <w:rPr>
                <w:sz w:val="19"/>
                <w:szCs w:val="19"/>
                <w:color w:val="auto"/>
              </w:rPr>
            </w:pPr>
          </w:p>
        </w:tc>
        <w:tc>
          <w:tcPr>
            <w:tcW w:w="9180" w:type="dxa"/>
            <w:vAlign w:val="bottom"/>
          </w:tcPr>
          <w:p>
            <w:pPr>
              <w:ind w:left="20"/>
              <w:spacing w:after="0"/>
              <w:rPr>
                <w:sz w:val="20"/>
                <w:szCs w:val="20"/>
                <w:color w:val="auto"/>
              </w:rPr>
            </w:pPr>
            <w:r>
              <w:rPr>
                <w:rFonts w:ascii="Arial" w:cs="Arial" w:eastAsia="Arial" w:hAnsi="Arial"/>
                <w:sz w:val="18"/>
                <w:szCs w:val="18"/>
                <w:b w:val="1"/>
                <w:bCs w:val="1"/>
                <w:color w:val="auto"/>
              </w:rPr>
              <w:t>Fair value as of September 30, 2023</w:t>
            </w: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36,974</w:t>
            </w: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Trailing Fee Liabilities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6.36% to 22.28% and credit risk rates of 0.01% to 93.09% as of December 31, 2022 and discount rates of 10.22% to 23.06% and credit risk rates of 0.01% to 92.90% as of September 30, 2023.</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sensitivity of trailing fee liabilities to adverse changes in key assumptions would not result in a material impact on the Company’s financial position or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a rollforward of trailing fee liabilities classified by the Company within Level 3 of the fair value hierarchy:</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September 30, 2022</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Trailing Fee</w:t>
      </w:r>
    </w:p>
    <w:p>
      <w:pPr>
        <w:jc w:val="center"/>
        <w:ind w:right="11"/>
        <w:spacing w:after="0"/>
        <w:rPr>
          <w:sz w:val="20"/>
          <w:szCs w:val="20"/>
          <w:color w:val="auto"/>
        </w:rPr>
      </w:pPr>
      <w:r>
        <w:rPr>
          <w:rFonts w:ascii="Arial" w:cs="Arial" w:eastAsia="Arial" w:hAnsi="Arial"/>
          <w:sz w:val="18"/>
          <w:szCs w:val="18"/>
          <w:b w:val="1"/>
          <w:bCs w:val="1"/>
          <w:color w:val="auto"/>
        </w:rPr>
        <w:t>Liabilities</w:t>
      </w:r>
    </w:p>
    <w:p>
      <w:pPr>
        <w:spacing w:after="0" w:line="34" w:lineRule="exact"/>
        <w:rPr>
          <w:sz w:val="20"/>
          <w:szCs w:val="20"/>
          <w:color w:val="auto"/>
        </w:rPr>
      </w:pPr>
    </w:p>
    <w:p>
      <w:pPr>
        <w:ind w:left="1149" w:hanging="1149"/>
        <w:spacing w:after="0"/>
        <w:tabs>
          <w:tab w:leader="none" w:pos="11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5,446</w:t>
      </w:r>
    </w:p>
    <w:p>
      <w:pPr>
        <w:spacing w:after="0" w:line="36" w:lineRule="exact"/>
        <w:rPr>
          <w:rFonts w:ascii="Arial" w:cs="Arial" w:eastAsia="Arial" w:hAnsi="Arial"/>
          <w:sz w:val="18"/>
          <w:szCs w:val="18"/>
          <w:color w:val="auto"/>
        </w:rPr>
      </w:pPr>
    </w:p>
    <w:p>
      <w:pPr>
        <w:ind w:left="1289"/>
        <w:spacing w:after="0"/>
        <w:rPr>
          <w:rFonts w:ascii="Arial" w:cs="Arial" w:eastAsia="Arial" w:hAnsi="Arial"/>
          <w:sz w:val="18"/>
          <w:szCs w:val="18"/>
          <w:color w:val="auto"/>
        </w:rPr>
      </w:pPr>
      <w:r>
        <w:rPr>
          <w:rFonts w:ascii="Arial" w:cs="Arial" w:eastAsia="Arial" w:hAnsi="Arial"/>
          <w:sz w:val="18"/>
          <w:szCs w:val="18"/>
          <w:color w:val="auto"/>
        </w:rPr>
        <w:t>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-139065</wp:posOffset>
            </wp:positionV>
            <wp:extent cx="1045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(816)</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(47)</w:t>
      </w:r>
    </w:p>
    <w:p>
      <w:pPr>
        <w:spacing w:after="0" w:line="35" w:lineRule="exact"/>
        <w:rPr>
          <w:sz w:val="20"/>
          <w:szCs w:val="20"/>
          <w:color w:val="auto"/>
        </w:rPr>
      </w:pPr>
    </w:p>
    <w:p>
      <w:pPr>
        <w:ind w:left="1149" w:hanging="1149"/>
        <w:spacing w:after="0"/>
        <w:tabs>
          <w:tab w:leader="none" w:pos="11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179" w:right="339" w:bottom="1440" w:gutter="0" w:footer="0" w:header="0"/>
          <w:type w:val="continuous"/>
        </w:sectPr>
      </w:pPr>
    </w:p>
    <w:p>
      <w:pPr>
        <w:spacing w:after="0" w:line="116" w:lineRule="exact"/>
        <w:rPr>
          <w:sz w:val="20"/>
          <w:szCs w:val="20"/>
          <w:color w:val="auto"/>
        </w:rPr>
      </w:pPr>
    </w:p>
    <w:p>
      <w:pPr>
        <w:jc w:val="center"/>
        <w:ind w:left="9580"/>
        <w:spacing w:after="0"/>
        <w:rPr>
          <w:sz w:val="20"/>
          <w:szCs w:val="20"/>
          <w:color w:val="auto"/>
        </w:rPr>
      </w:pPr>
      <w:r>
        <w:rPr>
          <w:rFonts w:ascii="Arial" w:cs="Arial" w:eastAsia="Arial" w:hAnsi="Arial"/>
          <w:sz w:val="16"/>
          <w:szCs w:val="16"/>
          <w:b w:val="1"/>
          <w:bCs w:val="1"/>
          <w:color w:val="auto"/>
        </w:rPr>
        <w:t>Trailing Fee</w:t>
      </w:r>
    </w:p>
    <w:p>
      <w:pPr>
        <w:spacing w:after="0" w:line="12" w:lineRule="exact"/>
        <w:rPr>
          <w:sz w:val="20"/>
          <w:szCs w:val="20"/>
          <w:color w:val="auto"/>
        </w:rPr>
      </w:pPr>
    </w:p>
    <w:p>
      <w:pPr>
        <w:jc w:val="center"/>
        <w:ind w:left="9580"/>
        <w:spacing w:after="0"/>
        <w:rPr>
          <w:sz w:val="20"/>
          <w:szCs w:val="20"/>
          <w:color w:val="auto"/>
        </w:rPr>
      </w:pPr>
      <w:r>
        <w:rPr>
          <w:rFonts w:ascii="Arial" w:cs="Arial" w:eastAsia="Arial" w:hAnsi="Arial"/>
          <w:sz w:val="18"/>
          <w:szCs w:val="18"/>
          <w:b w:val="1"/>
          <w:bCs w:val="1"/>
          <w:color w:val="auto"/>
        </w:rPr>
        <w:t>Liabilities</w:t>
      </w:r>
    </w:p>
    <w:p>
      <w:pPr>
        <w:sectPr>
          <w:pgSz w:w="11900" w:h="16838" w:orient="portrait"/>
          <w:cols w:equalWidth="0" w:num="1">
            <w:col w:w="11240"/>
          </w:cols>
          <w:pgMar w:left="320" w:top="179" w:right="339" w:bottom="1440" w:gutter="0" w:footer="0" w:header="0"/>
          <w:type w:val="continuous"/>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September 30, 2022</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149" w:hanging="1149"/>
        <w:spacing w:after="0"/>
        <w:tabs>
          <w:tab w:leader="none" w:pos="11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4,315</w:t>
      </w:r>
    </w:p>
    <w:p>
      <w:pPr>
        <w:spacing w:after="0" w:line="36" w:lineRule="exact"/>
        <w:rPr>
          <w:rFonts w:ascii="Arial" w:cs="Arial" w:eastAsia="Arial" w:hAnsi="Arial"/>
          <w:sz w:val="18"/>
          <w:szCs w:val="18"/>
          <w:color w:val="auto"/>
        </w:rPr>
      </w:pPr>
    </w:p>
    <w:p>
      <w:pPr>
        <w:ind w:left="1149"/>
        <w:spacing w:after="0"/>
        <w:rPr>
          <w:rFonts w:ascii="Arial" w:cs="Arial" w:eastAsia="Arial" w:hAnsi="Arial"/>
          <w:sz w:val="18"/>
          <w:szCs w:val="18"/>
          <w:color w:val="auto"/>
        </w:rPr>
      </w:pPr>
      <w:r>
        <w:rPr>
          <w:rFonts w:ascii="Arial" w:cs="Arial" w:eastAsia="Arial" w:hAnsi="Arial"/>
          <w:sz w:val="18"/>
          <w:szCs w:val="18"/>
          <w:color w:val="auto"/>
        </w:rPr>
        <w:t>3,404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-139065</wp:posOffset>
            </wp:positionV>
            <wp:extent cx="1045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(2,211)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(307)</w:t>
      </w:r>
    </w:p>
    <w:p>
      <w:pPr>
        <w:spacing w:after="0" w:line="35" w:lineRule="exact"/>
        <w:rPr>
          <w:sz w:val="20"/>
          <w:szCs w:val="20"/>
          <w:color w:val="auto"/>
        </w:rPr>
      </w:pPr>
    </w:p>
    <w:p>
      <w:pPr>
        <w:ind w:left="1149" w:hanging="1149"/>
        <w:spacing w:after="0"/>
        <w:tabs>
          <w:tab w:leader="none" w:pos="11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Trailing Fee</w:t>
      </w:r>
    </w:p>
    <w:p>
      <w:pPr>
        <w:jc w:val="center"/>
        <w:ind w:right="11"/>
        <w:spacing w:after="0"/>
        <w:rPr>
          <w:sz w:val="20"/>
          <w:szCs w:val="20"/>
          <w:color w:val="auto"/>
        </w:rPr>
      </w:pPr>
      <w:r>
        <w:rPr>
          <w:rFonts w:ascii="Arial" w:cs="Arial" w:eastAsia="Arial" w:hAnsi="Arial"/>
          <w:sz w:val="18"/>
          <w:szCs w:val="18"/>
          <w:b w:val="1"/>
          <w:bCs w:val="1"/>
          <w:color w:val="auto"/>
        </w:rPr>
        <w:t>Liabilities</w:t>
      </w:r>
    </w:p>
    <w:p>
      <w:pPr>
        <w:spacing w:after="0" w:line="7" w:lineRule="exact"/>
        <w:rPr>
          <w:sz w:val="20"/>
          <w:szCs w:val="20"/>
          <w:color w:val="auto"/>
        </w:rPr>
      </w:pPr>
    </w:p>
    <w:p>
      <w:pPr>
        <w:sectPr>
          <w:pgSz w:w="11900" w:h="16838" w:orient="portrait"/>
          <w:cols w:equalWidth="0" w:num="2">
            <w:col w:w="8891" w:space="720"/>
            <w:col w:w="1629"/>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9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2023</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r>
      <w:tr>
        <w:trPr>
          <w:trHeight w:val="237"/>
        </w:trPr>
        <w:tc>
          <w:tcPr>
            <w:tcW w:w="960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September 30, 2023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82"/>
        </w:trPr>
        <w:tc>
          <w:tcPr>
            <w:tcW w:w="9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Trailing Fee</w:t>
            </w:r>
          </w:p>
        </w:tc>
      </w:tr>
      <w:tr>
        <w:trPr>
          <w:trHeight w:val="234"/>
        </w:trPr>
        <w:tc>
          <w:tcPr>
            <w:tcW w:w="9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w:t>
            </w:r>
          </w:p>
        </w:tc>
      </w:tr>
      <w:tr>
        <w:trPr>
          <w:trHeight w:val="237"/>
        </w:trPr>
        <w:tc>
          <w:tcPr>
            <w:tcW w:w="960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1,414</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September 30, 2023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020"/>
        <w:spacing w:after="0"/>
        <w:tabs>
          <w:tab w:leader="none" w:pos="1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Goodwill and Intangible Assets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2023, there were no changes in the carrying amount of goodwill of $67.1 million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Acquired intangible assets subject to amortization consist of developed technology and customer relationships, and are recorded net of amortization and included within other assets on the condensed consolidated balance sheets. The gross and net carrying values and accumulated amortization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Developed Technology</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3"/>
        </w:trPr>
        <w:tc>
          <w:tcPr>
            <w:tcW w:w="7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1"/>
                <w:szCs w:val="21"/>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carrying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Customer Relationships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carrying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was $1.1 million for both the three months ended September 30, 2022 and 2023 and was $3.2 million for both the nine months ended September 30, 2022 and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660"/>
              <w:spacing w:after="0"/>
              <w:rPr>
                <w:sz w:val="20"/>
                <w:szCs w:val="20"/>
                <w:color w:val="auto"/>
              </w:rPr>
            </w:pPr>
            <w:r>
              <w:rPr>
                <w:rFonts w:ascii="Arial" w:cs="Arial" w:eastAsia="Arial" w:hAnsi="Arial"/>
                <w:sz w:val="18"/>
                <w:szCs w:val="18"/>
                <w:color w:val="auto"/>
              </w:rPr>
              <w:t>Expected future amortization expense for intangible assets as of September 30, 2023 is as follows: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00"/>
        </w:trPr>
        <w:tc>
          <w:tcPr>
            <w:tcW w:w="9640" w:type="dxa"/>
            <w:vAlign w:val="bottom"/>
          </w:tcPr>
          <w:p>
            <w:pPr>
              <w:ind w:left="20"/>
              <w:spacing w:after="0"/>
              <w:rPr>
                <w:sz w:val="20"/>
                <w:szCs w:val="20"/>
                <w:color w:val="auto"/>
              </w:rPr>
            </w:pPr>
            <w:r>
              <w:rPr>
                <w:rFonts w:ascii="Arial" w:cs="Arial" w:eastAsia="Arial" w:hAnsi="Arial"/>
                <w:sz w:val="18"/>
                <w:szCs w:val="18"/>
                <w:b w:val="1"/>
                <w:bCs w:val="1"/>
                <w:color w:val="auto"/>
              </w:rPr>
              <w:t>Fiscal Years: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2023</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1,925</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2026</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r>
      <w:tr>
        <w:trPr>
          <w:trHeight w:val="248"/>
        </w:trPr>
        <w:tc>
          <w:tcPr>
            <w:tcW w:w="9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ind w:left="1020"/>
              <w:spacing w:after="0"/>
              <w:rPr>
                <w:sz w:val="20"/>
                <w:szCs w:val="20"/>
                <w:color w:val="auto"/>
              </w:rPr>
            </w:pPr>
            <w:r>
              <w:rPr>
                <w:rFonts w:ascii="Arial" w:cs="Arial" w:eastAsia="Arial" w:hAnsi="Arial"/>
                <w:sz w:val="18"/>
                <w:szCs w:val="18"/>
                <w:b w:val="1"/>
                <w:bCs w:val="1"/>
                <w:color w:val="auto"/>
              </w:rPr>
              <w:t>8.  Balance Sheet Components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Other Assets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Other assets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and other receivables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41,191</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Loan servicing assets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36,467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30,091</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w:t>
            </w: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12,425</w:t>
            </w:r>
          </w:p>
        </w:tc>
      </w:tr>
      <w:tr>
        <w:trPr>
          <w:trHeight w:val="229"/>
        </w:trPr>
        <w:tc>
          <w:tcPr>
            <w:tcW w:w="7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rate caps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8,666</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17,773</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143,780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Refer to “</w:t>
      </w:r>
      <w:r>
        <w:rPr>
          <w:rFonts w:ascii="Arial" w:cs="Arial" w:eastAsia="Arial" w:hAnsi="Arial"/>
          <w:sz w:val="14"/>
          <w:szCs w:val="14"/>
          <w:i w:val="1"/>
          <w:iCs w:val="1"/>
          <w:color w:val="auto"/>
        </w:rPr>
        <w:t>Note 7. Goodwill and Intangible Assets</w:t>
      </w:r>
      <w:r>
        <w:rPr>
          <w:rFonts w:ascii="Arial" w:cs="Arial" w:eastAsia="Arial" w:hAnsi="Arial"/>
          <w:sz w:val="14"/>
          <w:szCs w:val="14"/>
          <w:color w:val="auto"/>
        </w:rPr>
        <w:t>” for further information.</w:t>
      </w:r>
    </w:p>
    <w:p>
      <w:pPr>
        <w:spacing w:after="0" w:line="13" w:lineRule="exact"/>
        <w:rPr>
          <w:rFonts w:ascii="Arial" w:cs="Arial" w:eastAsia="Arial" w:hAnsi="Arial"/>
          <w:sz w:val="14"/>
          <w:szCs w:val="14"/>
          <w:color w:val="auto"/>
        </w:rPr>
      </w:pPr>
    </w:p>
    <w:p>
      <w:pPr>
        <w:ind w:left="480" w:hanging="472"/>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Refer to “</w:t>
      </w:r>
      <w:r>
        <w:rPr>
          <w:rFonts w:ascii="Arial" w:cs="Arial" w:eastAsia="Arial" w:hAnsi="Arial"/>
          <w:sz w:val="14"/>
          <w:szCs w:val="14"/>
          <w:i w:val="1"/>
          <w:iCs w:val="1"/>
          <w:color w:val="auto"/>
        </w:rPr>
        <w:t>Note 4. Derivative Financial Instruments”</w:t>
      </w:r>
      <w:r>
        <w:rPr>
          <w:rFonts w:ascii="Arial" w:cs="Arial" w:eastAsia="Arial" w:hAnsi="Arial"/>
          <w:sz w:val="14"/>
          <w:szCs w:val="14"/>
          <w:color w:val="auto"/>
        </w:rPr>
        <w:t xml:space="preserve"> for further information.</w:t>
      </w:r>
    </w:p>
    <w:p>
      <w:pPr>
        <w:spacing w:after="0" w:line="2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Servicing fees and other receivables represent amounts recognized as revenue but not yet collected in relation to servicing and other agreements with institutional investors and lending partners.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Property, equipment, and software, net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52,808</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14,050</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networking equipment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w:t>
            </w:r>
          </w:p>
        </w:tc>
      </w:tr>
      <w:tr>
        <w:trPr>
          <w:trHeight w:val="223"/>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equipment, and software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77,648</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(29,638)</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Depreciation and amortization expense on property, equipment, and software was $2.7 million and $6.7 million for the three and nine months ended September 30, 2022, respectively, and was $3.9 million and $12.6 million for the three and nine months ended September 30, 2023, respectively. Capitalized internally developed software balances, net of accumulated amortization, were $27.4 million and $32.4 million as of December 31, 2022 and September 30, 2023, respectively. The Company also recognized impairment charges to internally developed software of $2.6 million during the nine months ended September 30, 2023, as a result of the January 2023 Plan. There were no impairment charges during the three months ended September 30, 2023. Refer to “</w:t>
      </w:r>
      <w:r>
        <w:rPr>
          <w:rFonts w:ascii="Arial" w:cs="Arial" w:eastAsia="Arial" w:hAnsi="Arial"/>
          <w:sz w:val="18"/>
          <w:szCs w:val="18"/>
          <w:i w:val="1"/>
          <w:iCs w:val="1"/>
          <w:color w:val="auto"/>
        </w:rPr>
        <w:t>Note 15. Reorganization Expenses</w:t>
      </w:r>
      <w:r>
        <w:rPr>
          <w:rFonts w:ascii="Arial" w:cs="Arial" w:eastAsia="Arial" w:hAnsi="Arial"/>
          <w:sz w:val="18"/>
          <w:szCs w:val="18"/>
          <w:color w:val="auto"/>
        </w:rPr>
        <w:t>” for more information.</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21,303</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 (at fair value)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Trailing fee liability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4,173</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51,853</w:t>
            </w:r>
          </w:p>
        </w:tc>
      </w:tr>
      <w:tr>
        <w:trPr>
          <w:trHeight w:val="21"/>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20"/>
        <w:spacing w:after="0"/>
        <w:tabs>
          <w:tab w:leader="none" w:pos="1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Borrowings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aggregate principal outstanding of all debt mentioned in this note that are included in the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ind w:left="1040"/>
              <w:spacing w:after="0"/>
              <w:rPr>
                <w:sz w:val="20"/>
                <w:szCs w:val="20"/>
                <w:color w:val="auto"/>
              </w:rPr>
            </w:pPr>
            <w:r>
              <w:rPr>
                <w:rFonts w:ascii="Arial" w:cs="Arial" w:eastAsia="Arial" w:hAnsi="Arial"/>
                <w:sz w:val="18"/>
                <w:szCs w:val="18"/>
                <w:b w:val="1"/>
                <w:bCs w:val="1"/>
                <w:color w:val="auto"/>
              </w:rPr>
              <w:t>Borrowings</w:t>
            </w:r>
          </w:p>
        </w:tc>
      </w:tr>
      <w:tr>
        <w:trPr>
          <w:trHeight w:val="218"/>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8"/>
              </w:rPr>
              <w:t>336,452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351,154</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Convertible senior notes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8"/>
              </w:rPr>
              <w:t>661,250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661,250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payments due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8"/>
              </w:rPr>
              <w:t>997,702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1,012,404</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2"/>
              </w:rPr>
              <w:t>(11,308)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borrowings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8"/>
              </w:rPr>
              <w:t>986,394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1,003,392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Upstart Loan Trust Warehouse Credit Facility</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November 2015, the Company’s consolidated VIE, ULT, entered into a revolving credit and security agreement with a third-party lender (the “ULT Warehouse Credit Facility”). The credit and security agreement for the ULT Warehouse Credit Facility was amended and restated in its entirety in May 2020 and has been further amended from time to time. Under the revolving credit and security agreement, as amended from time to time, ULT may borrow up to $175.0 million until the earlier of June 15, 2025 and the occurrence of an accelerated amortization event. Accelerated amortization events include, but are not limited to, failure to satisfy certain loan performance metrics or the occurrence of an event of default. The proceeds may only be used to purchase unsecured personal loans and to pay fees and expenses related to the credit facility. The ULT Warehouse Credit Facility matures on the earlier of June 15, 2026 or acceleration of the facility following an event of default, upon which date 100% of the outstanding principal amount, together with any accrued and unpaid interest, becomes due and payable. The ULT Warehouse Credit Facility bears a floating interest rate of Compounded Secured Overnight Financing Rate (“SOFR”) plus a spread ranging from 2.75% to 4.13% per annum, due and payable monthly in arrears. The Company is also subject to a monthly unused fee ranging from 0.15% to 1.00% per annum on the undrawn balance. The maximum advance rate under the ULT Warehouse Credit Facility on outstanding principal of loans held by ULT was 72.5% as of December 31, 2022 and September 30, 2023.</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June 2023, ULT entered into an interest rate cap agreement intended to protect against exposure to changes in cash flows attributable to interest rate risk on the warehouse facility. Refer to “</w:t>
      </w:r>
      <w:r>
        <w:rPr>
          <w:rFonts w:ascii="Arial" w:cs="Arial" w:eastAsia="Arial" w:hAnsi="Arial"/>
          <w:sz w:val="17"/>
          <w:szCs w:val="17"/>
          <w:i w:val="1"/>
          <w:iCs w:val="1"/>
          <w:color w:val="auto"/>
        </w:rPr>
        <w:t>Note 4. Derivative Financial Instruments</w:t>
      </w:r>
      <w:r>
        <w:rPr>
          <w:rFonts w:ascii="Arial" w:cs="Arial" w:eastAsia="Arial" w:hAnsi="Arial"/>
          <w:sz w:val="17"/>
          <w:szCs w:val="17"/>
          <w:color w:val="auto"/>
        </w:rPr>
        <w:t>” for further details related to the agreement.</w:t>
      </w:r>
    </w:p>
    <w:p>
      <w:pPr>
        <w:spacing w:after="0" w:line="17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ULT Warehouse Credit Facility contains certain financial covenants. As of December 31, 2022 and September 30, 2023,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includes the aggregate balances held by ULT that were pledged as collateral for the ULT Warehouse Credit Facility and included in loans at fair value and restricted cash in the condensed 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ULT Warehouse Credit Facility</w:t>
            </w:r>
          </w:p>
        </w:tc>
      </w:tr>
      <w:tr>
        <w:trPr>
          <w:trHeight w:val="175"/>
        </w:trPr>
        <w:tc>
          <w:tcPr>
            <w:tcW w:w="7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ind w:right="270"/>
              <w:spacing w:after="0" w:line="176" w:lineRule="exact"/>
              <w:rPr>
                <w:sz w:val="20"/>
                <w:szCs w:val="20"/>
                <w:color w:val="auto"/>
              </w:rPr>
            </w:pPr>
            <w:r>
              <w:rPr>
                <w:rFonts w:ascii="Arial" w:cs="Arial" w:eastAsia="Arial" w:hAnsi="Arial"/>
                <w:sz w:val="18"/>
                <w:szCs w:val="18"/>
                <w:b w:val="1"/>
                <w:bCs w:val="1"/>
                <w:color w:val="auto"/>
                <w:w w:val="97"/>
              </w:rPr>
              <w:t>September 30,</w:t>
            </w:r>
          </w:p>
        </w:tc>
      </w:tr>
      <w:tr>
        <w:trPr>
          <w:trHeight w:val="243"/>
        </w:trPr>
        <w:tc>
          <w:tcPr>
            <w:tcW w:w="7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Pr>
          <w:p>
            <w:pPr>
              <w:spacing w:after="0"/>
              <w:rPr>
                <w:sz w:val="21"/>
                <w:szCs w:val="21"/>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2023</w:t>
            </w:r>
          </w:p>
        </w:tc>
      </w:tr>
      <w:tr>
        <w:trPr>
          <w:trHeight w:val="237"/>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163,773</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170,303</w:t>
            </w: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Aggregate outstanding principal of loans pledged as collateral</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228,895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236,822</w:t>
            </w:r>
          </w:p>
        </w:tc>
      </w:tr>
      <w:tr>
        <w:trPr>
          <w:trHeight w:val="26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of loans purchased and held by ULT</w:t>
            </w: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241,049</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Restricted cash pledged as collateral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5,067</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Upstart Auto Warehouse Trust Credit Facility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2021, the Company’s consolidated VIE, UAWT, entered into a revolving credit and security agreement with a third-party lender (the “UAWT Warehouse Credit Facility”). The credit and security agreement for the UAWT Warehouse Credit Facility was amended and restated in its entirety in August 2022 and has been further amended from time to time.</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January 31, 2023, UAWT entered into the Omnibus Amendment to the Credit Agreement with the existing third-party lender which extended the last date by which UAWT may make a drawdown from its existing $200 million UAWT Warehouse Credit Facility until the earlier of June 2024 or an accelerated amortization event. An accelerated amortization event includes, but is not limited to, failure to satisfy certain loan performance metrics or the occurrence of an event of default. The proceeds may only be used to purchase secured auto loans originated using Upstart’s platform and to pay fees and expenses related to the credit facility. The UAWT Warehouse Credit Facility matures in June 2025, at which time all outstanding amounts owed must be repaid. As of September 30, 2023 the UAWT Warehouse Credit Facility bears interest per annum at a rate equivalent to the weighted-average cost of commercial paper notes issued by the lender (the “UAWT Benchmark Rate”), plus a spread ranging from 3.0% to 4.0%, and the maximum advance rate under the credit facility on outstanding principal of loans held by UAWT was 82.5% as of December 31, 2022 and 80% as of September 30, 2023. All other key terms of the Omnibus Amendment to the Credit Agreement were the same as those as of December 31, 2022.</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February 2023, UAWT entered into an interest rate cap agreement intended to protect against exposure to changes in cash flows attributable to interest rate risk on the warehouse facility. Refer to “</w:t>
      </w:r>
      <w:r>
        <w:rPr>
          <w:rFonts w:ascii="Arial" w:cs="Arial" w:eastAsia="Arial" w:hAnsi="Arial"/>
          <w:sz w:val="16"/>
          <w:szCs w:val="16"/>
          <w:i w:val="1"/>
          <w:iCs w:val="1"/>
          <w:color w:val="auto"/>
        </w:rPr>
        <w:t>Note 4. Derivative Financial Instruments</w:t>
      </w:r>
      <w:r>
        <w:rPr>
          <w:rFonts w:ascii="Arial" w:cs="Arial" w:eastAsia="Arial" w:hAnsi="Arial"/>
          <w:sz w:val="16"/>
          <w:szCs w:val="16"/>
          <w:color w:val="auto"/>
        </w:rPr>
        <w:t>” for further details related to the agreement.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UAWT Warehouse Credit Facility contains certain financial covenants. As of December 31, 2022 and September 30, 2023, UAWT was in compliance with all applicable covenants under the UAWT Warehouse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Facility. The creditors of UAWT have no recourse to the general credit of the Company, except for certain limited obligations of UAWT to its creditors that are guaranteed by the Company.</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 includes the aggregate balances held by UAWT that were pledged as collateral for the UAWT Warehouse Credit Facility and included in loans at fair value and restricted cash in the condensed consolidated balance sheets as of December 31, 2022 and September 30,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UAWT Warehouse Credit Facility</w:t>
            </w:r>
          </w:p>
        </w:tc>
      </w:tr>
      <w:tr>
        <w:trPr>
          <w:trHeight w:val="229"/>
        </w:trPr>
        <w:tc>
          <w:tcPr>
            <w:tcW w:w="7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 2023</w:t>
            </w:r>
          </w:p>
        </w:tc>
      </w:tr>
      <w:tr>
        <w:trPr>
          <w:trHeight w:val="237"/>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172,679</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180,851</w:t>
            </w:r>
          </w:p>
        </w:tc>
      </w:tr>
      <w:tr>
        <w:trPr>
          <w:trHeight w:val="250"/>
        </w:trPr>
        <w:tc>
          <w:tcPr>
            <w:tcW w:w="7100" w:type="dxa"/>
            <w:vAlign w:val="bottom"/>
          </w:tcPr>
          <w:p>
            <w:pPr>
              <w:ind w:left="20"/>
              <w:spacing w:after="0"/>
              <w:rPr>
                <w:sz w:val="20"/>
                <w:szCs w:val="20"/>
                <w:color w:val="auto"/>
              </w:rPr>
            </w:pPr>
            <w:r>
              <w:rPr>
                <w:rFonts w:ascii="Arial" w:cs="Arial" w:eastAsia="Arial" w:hAnsi="Arial"/>
                <w:sz w:val="18"/>
                <w:szCs w:val="18"/>
                <w:color w:val="auto"/>
              </w:rPr>
              <w:t>Aggregate outstanding principal of loans pledged as collateral</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221,847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308,338</w:t>
            </w:r>
          </w:p>
        </w:tc>
      </w:tr>
      <w:tr>
        <w:trPr>
          <w:trHeight w:val="26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of loans purchased and held by UAWT</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296,694</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Restricted cash pledged as collateral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360</w:t>
            </w: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may convert their Notes at their option any time prior to the close of business on the business day immediately preceding May 15, 2026 only under the following circumstances:</w:t>
      </w:r>
    </w:p>
    <w:p>
      <w:pPr>
        <w:spacing w:after="0" w:line="197" w:lineRule="exact"/>
        <w:rPr>
          <w:sz w:val="20"/>
          <w:szCs w:val="20"/>
          <w:color w:val="auto"/>
        </w:rPr>
      </w:pPr>
    </w:p>
    <w:p>
      <w:pPr>
        <w:jc w:val="both"/>
        <w:ind w:firstLine="656"/>
        <w:spacing w:after="0" w:line="311" w:lineRule="auto"/>
        <w:tabs>
          <w:tab w:leader="none" w:pos="9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5" w:lineRule="exact"/>
        <w:rPr>
          <w:rFonts w:ascii="Arial" w:cs="Arial" w:eastAsia="Arial" w:hAnsi="Arial"/>
          <w:sz w:val="16"/>
          <w:szCs w:val="16"/>
          <w:color w:val="auto"/>
        </w:rPr>
      </w:pPr>
    </w:p>
    <w:p>
      <w:pPr>
        <w:jc w:val="both"/>
        <w:ind w:firstLine="656"/>
        <w:spacing w:after="0" w:line="263" w:lineRule="auto"/>
        <w:tabs>
          <w:tab w:leader="none" w:pos="9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ind w:firstLine="656"/>
        <w:spacing w:after="0" w:line="277" w:lineRule="auto"/>
        <w:tabs>
          <w:tab w:leader="none" w:pos="9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call any or all of the Notes for redemption, at any time prior to the close of business on the second scheduled trading day immediately preceding the redemption date; or</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its election.</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The Company recorded immaterial coupon interest expense for all periods presented. The Company also recorded $0.8 million and $2.3 million for the three and nine months ended September 30, 2022, respectively, and $0.8 million and $2.3 million for the three and nine months ended September 30, 2023, respectively, of amortization of debt issuance costs within other income, net on the condensed consolidated statements of operations and comprehensive loss. The effective interest rate of the Notes is 0.7%.</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estimated fair value of the Notes as of December 31, 2022 and September 30, 2023 was approximately $364.8 million and $428.0 million, respectively, which represent Level 2 valuations in the fair value hierarchy. The estimated fair value was determined based on the estimated or actual bids and offers of the Notes in an over-the-counter market. The carrying value of the Notes of December 31, 2022 and September 30, 2023 was $649.9 million and $652.2 million, respectively.</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 potential dilution to common stock upon any conversion of Notes and/or offset any cash payments the Company is 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aggregate amount of maturities of all borrowings as of September 30,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9"/>
        </w:trPr>
        <w:tc>
          <w:tcPr>
            <w:tcW w:w="1340" w:type="dxa"/>
            <w:vAlign w:val="bottom"/>
            <w:tcBorders>
              <w:bottom w:val="single" w:sz="8" w:color="CCEEFF"/>
            </w:tcBorders>
          </w:tcPr>
          <w:p>
            <w:pPr>
              <w:spacing w:after="0"/>
              <w:rPr>
                <w:sz w:val="20"/>
                <w:szCs w:val="20"/>
                <w:color w:val="auto"/>
              </w:rPr>
            </w:pPr>
          </w:p>
        </w:tc>
        <w:tc>
          <w:tcPr>
            <w:tcW w:w="8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7"/>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Remaining 2023</w:t>
            </w:r>
          </w:p>
        </w:tc>
        <w:tc>
          <w:tcPr>
            <w:tcW w:w="8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40" w:type="dxa"/>
            <w:vAlign w:val="bottom"/>
          </w:tcPr>
          <w:p>
            <w:pPr>
              <w:ind w:left="20"/>
              <w:spacing w:after="0"/>
              <w:rPr>
                <w:sz w:val="20"/>
                <w:szCs w:val="20"/>
                <w:color w:val="auto"/>
              </w:rPr>
            </w:pPr>
            <w:r>
              <w:rPr>
                <w:rFonts w:ascii="Arial" w:cs="Arial" w:eastAsia="Arial" w:hAnsi="Arial"/>
                <w:sz w:val="18"/>
                <w:szCs w:val="18"/>
                <w:color w:val="auto"/>
              </w:rPr>
              <w:t>2024</w:t>
            </w:r>
          </w:p>
        </w:tc>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180,851</w:t>
            </w:r>
          </w:p>
        </w:tc>
      </w:tr>
      <w:tr>
        <w:trPr>
          <w:trHeight w:val="229"/>
        </w:trPr>
        <w:tc>
          <w:tcPr>
            <w:tcW w:w="1340" w:type="dxa"/>
            <w:vAlign w:val="bottom"/>
          </w:tcPr>
          <w:p>
            <w:pPr>
              <w:ind w:left="20"/>
              <w:spacing w:after="0"/>
              <w:rPr>
                <w:sz w:val="20"/>
                <w:szCs w:val="20"/>
                <w:color w:val="auto"/>
              </w:rPr>
            </w:pPr>
            <w:r>
              <w:rPr>
                <w:rFonts w:ascii="Arial" w:cs="Arial" w:eastAsia="Arial" w:hAnsi="Arial"/>
                <w:sz w:val="18"/>
                <w:szCs w:val="18"/>
                <w:color w:val="auto"/>
              </w:rPr>
              <w:t>2026</w:t>
            </w:r>
          </w:p>
        </w:tc>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831,553</w:t>
            </w:r>
          </w:p>
        </w:tc>
      </w:tr>
      <w:tr>
        <w:trPr>
          <w:trHeight w:val="230"/>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1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1,012,404</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743"/>
        </w:trPr>
        <w:tc>
          <w:tcPr>
            <w:tcW w:w="1340" w:type="dxa"/>
            <w:vAlign w:val="bottom"/>
          </w:tcPr>
          <w:p>
            <w:pPr>
              <w:ind w:left="1020"/>
              <w:spacing w:after="0"/>
              <w:rPr>
                <w:sz w:val="20"/>
                <w:szCs w:val="20"/>
                <w:color w:val="auto"/>
              </w:rPr>
            </w:pPr>
            <w:r>
              <w:rPr>
                <w:rFonts w:ascii="Arial" w:cs="Arial" w:eastAsia="Arial" w:hAnsi="Arial"/>
                <w:sz w:val="18"/>
                <w:szCs w:val="18"/>
                <w:b w:val="1"/>
                <w:bCs w:val="1"/>
                <w:color w:val="auto"/>
              </w:rPr>
              <w:t>10.</w:t>
            </w:r>
          </w:p>
        </w:tc>
        <w:tc>
          <w:tcPr>
            <w:tcW w:w="8440" w:type="dxa"/>
            <w:vAlign w:val="bottom"/>
            <w:gridSpan w:val="2"/>
          </w:tcPr>
          <w:p>
            <w:pPr>
              <w:jc w:val="right"/>
              <w:ind w:right="6650"/>
              <w:spacing w:after="0"/>
              <w:rPr>
                <w:sz w:val="20"/>
                <w:szCs w:val="20"/>
                <w:color w:val="auto"/>
              </w:rPr>
            </w:pPr>
            <w:r>
              <w:rPr>
                <w:rFonts w:ascii="Arial" w:cs="Arial" w:eastAsia="Arial" w:hAnsi="Arial"/>
                <w:sz w:val="18"/>
                <w:szCs w:val="18"/>
                <w:b w:val="1"/>
                <w:bCs w:val="1"/>
                <w:color w:val="auto"/>
                <w:w w:val="94"/>
              </w:rPr>
              <w:t>Stockholders' Equity</w:t>
            </w:r>
          </w:p>
        </w:tc>
        <w:tc>
          <w:tcPr>
            <w:tcW w:w="146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December 31,</w:t>
            </w: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8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12,547,010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13,014,493</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Restricted stock units outstanding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6,046,796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6,391,568</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Shares available for future issuance under 2020 plan</w:t>
            </w:r>
          </w:p>
        </w:tc>
        <w:tc>
          <w:tcPr>
            <w:tcW w:w="1640" w:type="dxa"/>
            <w:vAlign w:val="bottom"/>
          </w:tcPr>
          <w:p>
            <w:pPr>
              <w:jc w:val="right"/>
              <w:spacing w:after="0"/>
              <w:rPr>
                <w:sz w:val="20"/>
                <w:szCs w:val="20"/>
                <w:color w:val="auto"/>
              </w:rPr>
            </w:pPr>
            <w:r>
              <w:rPr>
                <w:rFonts w:ascii="Arial" w:cs="Arial" w:eastAsia="Arial" w:hAnsi="Arial"/>
                <w:sz w:val="18"/>
                <w:szCs w:val="18"/>
                <w:color w:val="auto"/>
              </w:rPr>
              <w:t>5,842,057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6,471,704</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issuance under employee stock purchase plan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2,543,089</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2,896,226</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27,666,452</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28,773,991</w:t>
            </w:r>
          </w:p>
        </w:tc>
      </w:tr>
      <w:tr>
        <w:trPr>
          <w:trHeight w:val="20"/>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1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nine months ended September 30, 2023, the Company made no repurchases of common stock.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$222.1 million remains available for future purchases of our common stock under the share repurchase program.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2020 Equity Incentive Plan authorizes grants of incentive stock options, non-statutory stock options, stock appreciation rights, restricted stock, restricted stock units, and performance awards to eligible participants.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7"/>
                <w:szCs w:val="17"/>
                <w:color w:val="auto"/>
              </w:rPr>
            </w:pP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Exercise Price Per</w:t>
            </w: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Contractual Life</w:t>
            </w:r>
          </w:p>
        </w:tc>
        <w:tc>
          <w:tcPr>
            <w:tcW w:w="220" w:type="dxa"/>
            <w:vAlign w:val="bottom"/>
          </w:tcPr>
          <w:p>
            <w:pPr>
              <w:spacing w:after="0"/>
              <w:rPr>
                <w:sz w:val="15"/>
                <w:szCs w:val="15"/>
                <w:color w:val="auto"/>
              </w:rPr>
            </w:pPr>
          </w:p>
        </w:tc>
        <w:tc>
          <w:tcPr>
            <w:tcW w:w="128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12,547,010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77,289</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2,088,207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 and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31.78</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September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13,014,493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235,725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Options exercisable – September 30, 2023</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8.71</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188,958</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8,621,628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vested and expected to vest – September 30,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13,014,493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235,725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awards and the fair value of the Company’s stock as of September 30, 2023. The aggregate intrinsic value of options exercised for the nine months ended September 30, 2022 and 2023 was $151.7 million and $18.5 million respectively. The weighted-average grant date fair value of options granted during the nine months ended September 30, 2022 and 2023 was $23.29 and $8.06 per share, respectively. The total fair value of options vested for the nine months ended September 30, 2022 and 2023 was $17.3 million and $26.4 million respectively.</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2023, total unrecognized stock-based compensation expense related to unvested stock options was $47.5 million, which is expected to be recognized over a remaining weighted-average period of 2.7 years.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grants restricted stock units (“RSUs”) to employees and nonemployees. RSUs vest upon satisfaction of a service-based condition, which is generally satisfied over one to four years. The following table summarizes RSU activity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Weighted-Average Grant</w:t>
            </w:r>
          </w:p>
        </w:tc>
      </w:tr>
      <w:tr>
        <w:trPr>
          <w:trHeight w:val="243"/>
        </w:trPr>
        <w:tc>
          <w:tcPr>
            <w:tcW w:w="66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Date Fair Value Per Share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6,046,796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r>
      <w:tr>
        <w:trPr>
          <w:trHeight w:val="223"/>
        </w:trPr>
        <w:tc>
          <w:tcPr>
            <w:tcW w:w="6660" w:type="dxa"/>
            <w:vAlign w:val="bottom"/>
          </w:tcPr>
          <w:p>
            <w:pPr>
              <w:ind w:left="140"/>
              <w:spacing w:after="0"/>
              <w:rPr>
                <w:sz w:val="20"/>
                <w:szCs w:val="20"/>
                <w:color w:val="auto"/>
              </w:rPr>
            </w:pPr>
            <w:r>
              <w:rPr>
                <w:rFonts w:ascii="Arial" w:cs="Arial" w:eastAsia="Arial" w:hAnsi="Arial"/>
                <w:sz w:val="18"/>
                <w:szCs w:val="18"/>
                <w:color w:val="auto"/>
              </w:rPr>
              <w:t>RSUs 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3,765,967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18.70</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(2,247,325)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(1,173,870)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63.39</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6,391,568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2023, total unrecognized stock-based compensation expense related to outstanding unvested RSUs was $174.0 million, which is expected to be recognized over a remaining weighted-average period of 2.2 years.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Prodigy Software, Inc. (“Prodigy”) acquisition in April 2021, 82,201 shares of the Company’s restricted common stock (“restricted stock”) with a fair value of $10.1 million were issued to certain Prodigy employees. The restricted stock is subject to transfer restrictions and a repurchase option and is contingent upon the employees' continued employment with the Company. The restricted stock is subject to restrictions which lapse on a quarterly basis over two years from the time of the Prodigy acquisition. As of September 30, 2023, restricted stock was fully lapsed and there was no unrecognized stock-based compensation expense.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stock activity for the nine months ended September 30,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Weighted-Average Grant</w:t>
            </w:r>
          </w:p>
        </w:tc>
      </w:tr>
      <w:tr>
        <w:trPr>
          <w:trHeight w:val="234"/>
        </w:trPr>
        <w:tc>
          <w:tcPr>
            <w:tcW w:w="666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Date Fair Value Per Share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w:t>
            </w: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123.33</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February 24, 2023, the Company’s Compensation Committee of the Board of Directors approved the cancellation of a performance-based restricted stock unit award (“PRSUs”) that may be settled for 687,500 shares of the Company’s common stock granted to an executive in February 2022.</w:t>
      </w:r>
    </w:p>
    <w:p>
      <w:pPr>
        <w:spacing w:after="0" w:line="1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the time the PRSUs were granted, the PRSUs were intended to be the executive’s primary compensation through calendar year 2029 so that, in connection with the grant of the PRSUs, the executive’s cash compensation was limited to the amount necessary to allow the executive to participate in the broad-based employee benefits generally applicable at the Company. In reaching its decision to cancel the PRSUs, the Compensation Committee extensively considered the purpose of the PRSUs and determined that the grant no longer provided the intended retention and incentive value to the executive. After considering various alternatives and the pros and cons of such alternatives and consulting with its external advisors, the Compensation Committee believed it was in the best interest of the Company and its stockholders to cancel the PRSUs in exchange for the reinstatement of the executive’s cash compensation, including the executive’s annual base salary and eligibility to participate in the Company’s 2023 Executive Bonus Plan with an annual target bonus opportunity equal to 75% of the executive’s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Compensation expense associated with the PRSUs was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The cancellation of the grant was treated by the Company as a settlement for no consideration and remaining unrecognized compensation expense of $39.0 million associated with the grant was accelerated and recorded by the Company as part of engineering and product development expense on the condensed consolidated statements of operations and comprehensive loss for the nine months ended September 30, 2023.</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employee stock purchase plan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nine months ended September 30, 2023, 459,459 shares of common stock were purchased under the ESPP.</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2023, total unrecognized stock-based compensation expense related to the ESPP was $2.4 million, which is expected to be recognized over a remaining weighted-average period of 0.4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Awards Granted</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determining the fair value of stock-based awards, the Company uses a Black-Scholes option-pricing model for its options granted and ESPP purchase rights and a Monte Carlo simulation model for its PRSUs. The inputs used for estimating the fair values of options granted, ESPP purchase rights and PRSUs granted during the period include: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Company’s common stock is determined by the closing price, on the date of grant,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which is traded on the Nasdaq Global Select Market.</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Company’s stock options and ESPP purchase rights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We estimate the expected term based on the simplified method, which is the weighted-average time to vesting and the contractual maturity. The expected term for PRSUs is the simulation term, the time period from the valuation date to the end of the performance measurement period.</w:t>
      </w:r>
    </w:p>
    <w:p>
      <w:pPr>
        <w:spacing w:after="0" w:line="17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Volatility</w:t>
      </w:r>
      <w:r>
        <w:rPr>
          <w:rFonts w:ascii="Arial" w:cs="Arial" w:eastAsia="Arial" w:hAnsi="Arial"/>
          <w:sz w:val="16"/>
          <w:szCs w:val="16"/>
          <w:color w:val="auto"/>
        </w:rPr>
        <w:t>–Because the Company has not had an active trading market for its common stock for a sufficient period of time, the expected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is estimated based on the average volatility for comparable publicly-traded companies, over a period equal to the expected term of the stock option grants.</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assumption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Company has never paid dividends on its common stock and does not anticipate paying dividends on common stock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Therefore, the Company uses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estimate the fair value of options granted:</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402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 September 30,</w:t>
            </w:r>
          </w:p>
        </w:tc>
        <w:tc>
          <w:tcPr>
            <w:tcW w:w="3940" w:type="dxa"/>
            <w:vAlign w:val="bottom"/>
            <w:gridSpan w:val="5"/>
          </w:tcPr>
          <w:p>
            <w:pPr>
              <w:ind w:left="6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2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top w:val="single" w:sz="8" w:color="auto"/>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2023</w:t>
            </w: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49.66%</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 50.73%</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53.33% – 53.38%</w:t>
            </w:r>
          </w:p>
        </w:tc>
        <w:tc>
          <w:tcPr>
            <w:tcW w:w="880" w:type="dxa"/>
            <w:vAlign w:val="bottom"/>
          </w:tcPr>
          <w:p>
            <w:pPr>
              <w:jc w:val="right"/>
              <w:spacing w:after="0"/>
              <w:rPr>
                <w:sz w:val="20"/>
                <w:szCs w:val="20"/>
                <w:color w:val="auto"/>
              </w:rPr>
            </w:pPr>
            <w:r>
              <w:rPr>
                <w:rFonts w:ascii="Arial" w:cs="Arial" w:eastAsia="Arial" w:hAnsi="Arial"/>
                <w:sz w:val="18"/>
                <w:szCs w:val="18"/>
                <w:color w:val="auto"/>
              </w:rPr>
              <w:t>47.58%</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 50.73%</w:t>
            </w:r>
          </w:p>
        </w:tc>
        <w:tc>
          <w:tcPr>
            <w:tcW w:w="880" w:type="dxa"/>
            <w:vAlign w:val="bottom"/>
          </w:tcPr>
          <w:p>
            <w:pPr>
              <w:jc w:val="right"/>
              <w:spacing w:after="0"/>
              <w:rPr>
                <w:sz w:val="20"/>
                <w:szCs w:val="20"/>
                <w:color w:val="auto"/>
              </w:rPr>
            </w:pPr>
            <w:r>
              <w:rPr>
                <w:rFonts w:ascii="Arial" w:cs="Arial" w:eastAsia="Arial" w:hAnsi="Arial"/>
                <w:sz w:val="18"/>
                <w:szCs w:val="18"/>
                <w:color w:val="auto"/>
              </w:rPr>
              <w:t>50.96%</w:t>
            </w:r>
          </w:p>
        </w:tc>
        <w:tc>
          <w:tcPr>
            <w:tcW w:w="1040" w:type="dxa"/>
            <w:vAlign w:val="bottom"/>
          </w:tcPr>
          <w:p>
            <w:pPr>
              <w:ind w:left="20"/>
              <w:spacing w:after="0"/>
              <w:rPr>
                <w:sz w:val="20"/>
                <w:szCs w:val="20"/>
                <w:color w:val="auto"/>
              </w:rPr>
            </w:pPr>
            <w:r>
              <w:rPr>
                <w:rFonts w:ascii="Arial" w:cs="Arial" w:eastAsia="Arial" w:hAnsi="Arial"/>
                <w:sz w:val="18"/>
                <w:szCs w:val="18"/>
                <w:color w:val="auto"/>
              </w:rPr>
              <w:t>– 53.38%</w:t>
            </w: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3.28% - 4.02%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4.23% - 4.60%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4.02%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4.60%</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2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20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estimate the fair value of the February 2022 PRSUs granted: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7"/>
              </w:rPr>
              <w:t>6.9</w:t>
            </w:r>
          </w:p>
        </w:tc>
        <w:tc>
          <w:tcPr>
            <w:tcW w:w="120" w:type="dxa"/>
            <w:vAlign w:val="bottom"/>
            <w:shd w:val="clear" w:color="auto" w:fill="CCEEFF"/>
          </w:tcPr>
          <w:p>
            <w:pPr>
              <w:spacing w:after="0"/>
              <w:rPr>
                <w:sz w:val="19"/>
                <w:szCs w:val="19"/>
                <w:color w:val="auto"/>
              </w:rPr>
            </w:pPr>
          </w:p>
        </w:tc>
      </w:tr>
      <w:tr>
        <w:trPr>
          <w:trHeight w:val="2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jc w:val="center"/>
              <w:ind w:left="310"/>
              <w:spacing w:after="0"/>
              <w:rPr>
                <w:sz w:val="20"/>
                <w:szCs w:val="20"/>
                <w:color w:val="auto"/>
              </w:rPr>
            </w:pPr>
            <w:r>
              <w:rPr>
                <w:rFonts w:ascii="Arial" w:cs="Arial" w:eastAsia="Arial" w:hAnsi="Arial"/>
                <w:sz w:val="18"/>
                <w:szCs w:val="18"/>
                <w:color w:val="auto"/>
                <w:w w:val="91"/>
              </w:rPr>
              <w:t>48.43%</w:t>
            </w:r>
          </w:p>
        </w:tc>
        <w:tc>
          <w:tcPr>
            <w:tcW w:w="120" w:type="dxa"/>
            <w:vAlign w:val="bottom"/>
          </w:tcPr>
          <w:p>
            <w:pPr>
              <w:spacing w:after="0"/>
              <w:rPr>
                <w:sz w:val="19"/>
                <w:szCs w:val="19"/>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1.89%</w:t>
            </w:r>
          </w:p>
        </w:tc>
        <w:tc>
          <w:tcPr>
            <w:tcW w:w="120" w:type="dxa"/>
            <w:vAlign w:val="bottom"/>
            <w:shd w:val="clear" w:color="auto" w:fill="CCEEFF"/>
          </w:tcPr>
          <w:p>
            <w:pPr>
              <w:spacing w:after="0"/>
              <w:rPr>
                <w:sz w:val="19"/>
                <w:szCs w:val="19"/>
                <w:color w:val="auto"/>
              </w:rPr>
            </w:pPr>
          </w:p>
        </w:tc>
      </w:tr>
      <w:tr>
        <w:trPr>
          <w:trHeight w:val="2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center"/>
              <w:ind w:left="310"/>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r>
      <w:tr>
        <w:trPr>
          <w:trHeight w:val="539"/>
        </w:trPr>
        <w:tc>
          <w:tcPr>
            <w:tcW w:w="140" w:type="dxa"/>
            <w:vAlign w:val="bottom"/>
          </w:tcPr>
          <w:p>
            <w:pPr>
              <w:spacing w:after="0"/>
              <w:rPr>
                <w:sz w:val="24"/>
                <w:szCs w:val="24"/>
                <w:color w:val="auto"/>
              </w:rPr>
            </w:pPr>
          </w:p>
        </w:tc>
        <w:tc>
          <w:tcPr>
            <w:tcW w:w="6960" w:type="dxa"/>
            <w:vAlign w:val="bottom"/>
            <w:gridSpan w:val="5"/>
          </w:tcPr>
          <w:p>
            <w:pPr>
              <w:ind w:left="520"/>
              <w:spacing w:after="0"/>
              <w:rPr>
                <w:sz w:val="20"/>
                <w:szCs w:val="20"/>
                <w:color w:val="auto"/>
              </w:rPr>
            </w:pPr>
            <w:r>
              <w:rPr>
                <w:rFonts w:ascii="Arial" w:cs="Arial" w:eastAsia="Arial" w:hAnsi="Arial"/>
                <w:sz w:val="18"/>
                <w:szCs w:val="18"/>
                <w:color w:val="auto"/>
                <w:w w:val="90"/>
              </w:rPr>
              <w:t>The following assumptions were used to estimate the fair value of ESPP purchase rights: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2"/>
        </w:trPr>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100" w:type="dxa"/>
            <w:vAlign w:val="bottom"/>
            <w:gridSpan w:val="4"/>
          </w:tcPr>
          <w:p>
            <w:pPr>
              <w:ind w:left="620"/>
              <w:spacing w:after="0"/>
              <w:rPr>
                <w:sz w:val="20"/>
                <w:szCs w:val="20"/>
                <w:color w:val="auto"/>
              </w:rPr>
            </w:pPr>
            <w:r>
              <w:rPr>
                <w:rFonts w:ascii="Arial" w:cs="Arial" w:eastAsia="Arial" w:hAnsi="Arial"/>
                <w:sz w:val="18"/>
                <w:szCs w:val="18"/>
                <w:b w:val="1"/>
                <w:bCs w:val="1"/>
                <w:color w:val="auto"/>
              </w:rPr>
              <w:t>Three Months Ended September 30,</w:t>
            </w:r>
          </w:p>
        </w:tc>
        <w:tc>
          <w:tcPr>
            <w:tcW w:w="4140" w:type="dxa"/>
            <w:vAlign w:val="bottom"/>
            <w:gridSpan w:val="4"/>
          </w:tcPr>
          <w:p>
            <w:pPr>
              <w:ind w:left="6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140" w:type="dxa"/>
            <w:vAlign w:val="bottom"/>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top w:val="single" w:sz="8" w:color="auto"/>
              <w:bottom w:val="single" w:sz="8" w:color="CCEEFF"/>
            </w:tcBorders>
          </w:tcPr>
          <w:p>
            <w:pPr>
              <w:spacing w:after="0"/>
              <w:rPr>
                <w:sz w:val="19"/>
                <w:szCs w:val="19"/>
                <w:color w:val="auto"/>
              </w:rPr>
            </w:pP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Borders>
              <w:bottom w:val="single" w:sz="8" w:color="CCEEFF"/>
            </w:tcBorders>
          </w:tcPr>
          <w:p>
            <w:pPr>
              <w:spacing w:after="0"/>
              <w:rPr>
                <w:sz w:val="19"/>
                <w:szCs w:val="19"/>
                <w:color w:val="auto"/>
              </w:rPr>
            </w:pP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top w:val="single" w:sz="8" w:color="auto"/>
              <w:bottom w:val="single" w:sz="8" w:color="CCEEFF"/>
            </w:tcBorders>
          </w:tcPr>
          <w:p>
            <w:pPr>
              <w:spacing w:after="0"/>
              <w:rPr>
                <w:sz w:val="19"/>
                <w:szCs w:val="19"/>
                <w:color w:val="auto"/>
              </w:rPr>
            </w:pP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179.35%</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131.05%</w:t>
            </w:r>
          </w:p>
        </w:tc>
        <w:tc>
          <w:tcPr>
            <w:tcW w:w="8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91.98% - 179.35%</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97.74% - 131.05%</w:t>
            </w:r>
          </w:p>
        </w:tc>
        <w:tc>
          <w:tcPr>
            <w:tcW w:w="12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3.13%</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5.55%</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0.72% - 3.13%</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4.97% - 5.55%</w:t>
            </w:r>
          </w:p>
        </w:tc>
        <w:tc>
          <w:tcPr>
            <w:tcW w:w="120" w:type="dxa"/>
            <w:vAlign w:val="bottom"/>
          </w:tcPr>
          <w:p>
            <w:pPr>
              <w:spacing w:after="0"/>
              <w:rPr>
                <w:sz w:val="19"/>
                <w:szCs w:val="19"/>
                <w:color w:val="auto"/>
              </w:rPr>
            </w:pPr>
          </w:p>
        </w:tc>
      </w:tr>
      <w:tr>
        <w:trPr>
          <w:trHeight w:val="230"/>
        </w:trPr>
        <w:tc>
          <w:tcPr>
            <w:tcW w:w="14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stock-based compensation in the following expense categories in its condensed consolidated statements of operations and comprehensive loss for employees and nonemployees:</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46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1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43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Customer operations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8,744</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21,726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92,725</w:t>
            </w:r>
          </w:p>
        </w:tc>
      </w:tr>
      <w:tr>
        <w:trPr>
          <w:trHeight w:val="23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other</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35,707</w:t>
            </w:r>
          </w:p>
        </w:tc>
      </w:tr>
      <w:tr>
        <w:trPr>
          <w:trHeight w:val="248"/>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36,656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92,035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142,273</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3"/>
          <w:szCs w:val="13"/>
          <w:b w:val="1"/>
          <w:bCs w:val="1"/>
          <w:color w:val="auto"/>
        </w:rPr>
        <w:t>Leases</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operating leases expire between 2027 and 2032 and are primarily for its corporate headquarters in San Mateo, California and Columbus, Ohio, as well as additional office space in Columbus, Ohio and Austin, Texas. Certain leases have rent abatement, escalating rent payment provisions, lease renewal options,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tenant allowances. Rent expense is recognized on a straight-line basis over the non-cancelable lease term, except when it is reasonably certain that the renewal option will be exercised. For leases where the Company is reasonably certain to exercise a renewal option, such option periods have been included in the determination of the Company’s ROU assets and lease liabilities on our condensed consolidated balance sheets.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condensed consolidated balance sheets.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ind w:left="660"/>
              <w:spacing w:after="0"/>
              <w:rPr>
                <w:sz w:val="20"/>
                <w:szCs w:val="20"/>
                <w:color w:val="auto"/>
              </w:rPr>
            </w:pPr>
            <w:r>
              <w:rPr>
                <w:rFonts w:ascii="Arial" w:cs="Arial" w:eastAsia="Arial" w:hAnsi="Arial"/>
                <w:sz w:val="18"/>
                <w:szCs w:val="18"/>
                <w:color w:val="auto"/>
              </w:rPr>
              <w:t>As of September 30, 2023, future minimum lease payments are as follows: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72"/>
        </w:trPr>
        <w:tc>
          <w:tcPr>
            <w:tcW w:w="96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Operating Leases</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17,054</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17,544</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18,055</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17,745</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34,815</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109,041</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Less: Tenant improvement receivables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(2,337)</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Present value adjustment</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93,354</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did not have any material finance leases in any period presented. The Company’s operating lease expense consists of rent and variable lease payments. Variable lease payments such as common area maintenance and parking fees, were included in operating expenses. Rent expense for the Company’s short-term leases was immaterial for the periods presented. Operating lease expense was as follows: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34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46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Variable lease payments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2,936</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and non-cash information related to the Company’s operating leases was as follows: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168"/>
        </w:trPr>
        <w:tc>
          <w:tcPr>
            <w:tcW w:w="46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4"/>
              </w:rPr>
              <w:t>Cash paid for amounts included in the measurement of lease</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spacing w:after="0"/>
              <w:rPr>
                <w:sz w:val="19"/>
                <w:szCs w:val="19"/>
                <w:color w:val="auto"/>
              </w:rPr>
            </w:pPr>
          </w:p>
        </w:tc>
        <w:tc>
          <w:tcPr>
            <w:tcW w:w="1640" w:type="dxa"/>
            <w:vAlign w:val="bottom"/>
          </w:tcPr>
          <w:p>
            <w:pPr>
              <w:ind w:left="26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96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6.66</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3.86%</w:t>
            </w:r>
          </w:p>
        </w:tc>
      </w:tr>
    </w:tbl>
    <w:p>
      <w:pPr>
        <w:spacing w:after="0" w:line="200" w:lineRule="exact"/>
        <w:rPr>
          <w:sz w:val="20"/>
          <w:szCs w:val="20"/>
          <w:color w:val="auto"/>
        </w:rPr>
      </w:pPr>
    </w:p>
    <w:p>
      <w:pPr>
        <w:spacing w:after="0" w:line="334"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2022 and September 30, 2023, the total loan purchase commitment included outstanding principal balance of $17.8 million and $40.2 million,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described below, the Company does not believe that it is presently a party to any litigation of which the outcome would individually, or taken together, have a material adverse effect on our business, operating results, cash flows, or financial condition. As of December 31, 2022 and September 30, 2023, no loss contingency has been recorded in connection with legal proceedings.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Indemnifications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Repurchases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the terms of certain loan-level representations and warranties that speak as of the time of origination or sale,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failure to comply with other contractual terms with the institutional investors, or a violation of the applicable federal, state, or local lending laws.</w:t>
      </w:r>
    </w:p>
    <w:p>
      <w:pPr>
        <w:spacing w:after="0" w:line="2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maximum potential amount of future payments associated under this obligation is the outstanding balances of the loans sold to the institutional investors, which at December 31, 2022 and September 30, 2023 is $15,551.1 million and $13,040.8 million, respectively. Actual payments made relating to the Company’s repurchase and indemnification obligations were immaterial.</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did not have material contingent liabilities related to future loan repurchase obligations as of December 31, 2022 and September 30, 2023. These amounts are included in accrued expenses and other liabilities on the Company’s condensed consolidated balance sheets.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May 13, 2022, a purported class action lawsuit was filed in the United States District Court, Northern District of California, captioned Ward v. Upstart Holdings, Inc., et al., Case No. 5:22-cv-02856-BLF (N.D. Cal.) against the Company, the Company’s Chief Executive Officer, and Chief Financial Officer alleging, among other things, that the defendants made false and/or misleading statements or omissions about the Company’s business, operations, and prospects in violation of Section 10(b) of the Securities Exchange Act of 1934, as amended (the “Exchange Act”) and Rule 10b-5 promulgated thereunder, as well as Section 20(a) of the Exchange Act. The Ward lawsuit claimed unspecified damages and legal fees.</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Between May 19, 2022 and June 22, 2022, two additional related purported class action lawsuits were filed in the United States District Court, Northern District of California, captioned Plymouth County Retirement Association v. Upstart Holdings, Inc., et al., Case No. 3:22-cv-02973-WHO (N.D. Cal.) and Zhang v. Upstart Holdings, Inc., et al., Case No. 3:22-cv-03668-JD (N.D. Cal.). On July 7, 2022, a related purported class action lawsuit was filed in the United States District Court, Southern District of Ohio, captioned Handelsbanken Fonder AB v. Upstart Holdings, Inc., et al., Case No. 2:22-cv-02706-SDM-EPD (S.D. Ohio). The Zhang, Plymouth County, and Handelsbanken Fonder actions named the same defendants and made similar allegations to those in the Ward action.</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11, 2022, plaintiffs in the Zhang and Plymouth County actions filed notices voluntarily dismissing their lawsuits without prejudice. On July 12, 2022, motions to appoint lead plaintiff and lead counsel were filed in both the Ward action and the Handelsbanken Fonder action. On July 26, 2022, plaintiff in the Ward action filed a notice voluntarily dismissing his lawsuit without prejudice, and on July 27, 2022, plaintiff in the Handelsbanken Fonder action filed a notice voluntarily dismissing its lawsuit without prejudice.</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July 26, 2022, an additional lawsuit was filed in United States District Court, Southern District of Ohio, captioned Crain v. Upstart Holdings, Inc. et al., Case No. 2:22-cv-02935-ALM-EPD (S.D. Ohio) against the Company, the Company’s Chief Executive Officer, and Chief Financial Officer. The Crain lawsuit makes allegations similar to those in the Handelsbanken Fonder action and alleges that the defendants made false and/or misleading statements or omissions about the Company’s business, operations, and prospects in violation of Section 10(b) of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Upstart defendants filed a motion to dismiss the consolidated amended complaint. On September 29, 2023, the Court issued an order, granting in part and denying in part the Upstart defendants’ motion. The Company believes the remaining claims in the Crain action are without merit and intends to defend itself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spacing w:after="0" w:line="22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12, 2022, in response to a joint motion by the parties, the Court consolidated the OConnor and Chung matters, appointed co-lead counsel, and stayed the consolidated case until resolution of the related Crain securities class action.</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Crain securities class action.</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Crain securities class action.</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5, 2023, a fifth derivative lawsuit was filed, in the Court of Chancery of the State of Delaware, captioned Okhai v. Girouard, et al., C.A. No. 2023-0401-SG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relief, restitution, and attorney’s fees and costs from the individual defendants. On August 3, 3023, in response to a motion to stay by the defendants in the Okhai action, the Court stayed the Okhai action until resolution of the motion to dismiss in the related Crain securities class action. Following the issuance of the September 29, 2023 order on the motion to dismiss in the related Crain securities class action, the parties agreed to a schedule for briefing a motion by defendants to continue the stay, though a hearing date has not yet been set.</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13, 2023, a sixth derivative lawsuit was filed, in the Court of Chancery of the State of Delaware, captioned Romanyshyn v. Girouard, et al., C.A. No. 2023-1029-NAC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207"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effective tax rates for the three and nine months ended September 30, 2022 and 2023,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500" w:type="dxa"/>
            <w:vAlign w:val="bottom"/>
            <w:gridSpan w:val="6"/>
          </w:tcPr>
          <w:p>
            <w:pPr>
              <w:ind w:left="32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1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43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(0.02)%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(0.02)%</w:t>
            </w:r>
          </w:p>
        </w:tc>
      </w:tr>
    </w:tbl>
    <w:p>
      <w:pPr>
        <w:spacing w:after="0" w:line="3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tax provision and the resulting effective tax rate for interim periods are determined based upon its estimated annual effective tax rate adjusted for the effect of discrete items arising during the period. The Company's effective tax rate for the three and nine months ended September 30, 2023 remained relatively consistent compared to the same periods in 2022 as the Company continues to maintain a full valuation allowance with residual current year state taxes. The effective tax rate differs from the U.S. statutory tax rate primarily due to the valuation allowance on the Company’s deferred tax assets as it is more likely than not that some or all of these deferred tax assets will not be realized.</w:t>
      </w:r>
    </w:p>
    <w:p>
      <w:pPr>
        <w:spacing w:after="0" w:line="200" w:lineRule="exact"/>
        <w:rPr>
          <w:sz w:val="20"/>
          <w:szCs w:val="20"/>
          <w:color w:val="auto"/>
        </w:rPr>
      </w:pPr>
    </w:p>
    <w:p>
      <w:pPr>
        <w:spacing w:after="0" w:line="215"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Net Loss Per Share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Basic net loss per common share is based on the weighted-average common shares outstanding during the relevant period. Diluted net loss per share is based on the weighted-average common shares outstanding during the relevant period adjusted for the dilutive effect of share-based awards and convertible debt.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periods in which the Company reports net losses, basic and diluted net loss per share are the same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0"/>
                <w:szCs w:val="20"/>
                <w:color w:val="auto"/>
              </w:rPr>
            </w:pPr>
          </w:p>
        </w:tc>
        <w:tc>
          <w:tcPr>
            <w:tcW w:w="30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(197,734)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Weighted-average common shares outstanding used to calculate</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w:t>
            </w: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81,672,099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84,404,966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83,236,131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83,158,146</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6" w:lineRule="exact"/>
              <w:rPr>
                <w:sz w:val="20"/>
                <w:szCs w:val="20"/>
                <w:color w:val="auto"/>
              </w:rPr>
            </w:pPr>
            <w:r>
              <w:rPr>
                <w:rFonts w:ascii="Arial" w:cs="Arial" w:eastAsia="Arial" w:hAnsi="Arial"/>
                <w:sz w:val="18"/>
                <w:szCs w:val="18"/>
                <w:color w:val="auto"/>
                <w:w w:val="89"/>
              </w:rPr>
              <w:t>Weighted-average common shares outstanding used to calculate</w:t>
            </w: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81,672,099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84,404,966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83,236,131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83,158,146</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net loss per share, diluted</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loss per share,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securities were excluded from the computation of diluted net loss per share for the periods presented, due to their anti-dilutive effect. These amounts represent the number of instruments outstanding at the end of each respective quarter: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36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32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23"/>
        </w:trPr>
        <w:tc>
          <w:tcPr>
            <w:tcW w:w="466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11,723,427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13,014,493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11,723,427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13,014,493</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Unvested RSUs</w:t>
            </w:r>
          </w:p>
        </w:tc>
        <w:tc>
          <w:tcPr>
            <w:tcW w:w="1580" w:type="dxa"/>
            <w:vAlign w:val="bottom"/>
          </w:tcPr>
          <w:p>
            <w:pPr>
              <w:jc w:val="right"/>
              <w:spacing w:after="0"/>
              <w:rPr>
                <w:sz w:val="20"/>
                <w:szCs w:val="20"/>
                <w:color w:val="auto"/>
              </w:rPr>
            </w:pPr>
            <w:r>
              <w:rPr>
                <w:rFonts w:ascii="Arial" w:cs="Arial" w:eastAsia="Arial" w:hAnsi="Arial"/>
                <w:sz w:val="18"/>
                <w:szCs w:val="18"/>
                <w:color w:val="auto"/>
              </w:rPr>
              <w:t>4,679,719</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6,391,568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4,679,719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6,391,568</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PRSUs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687,500</w:t>
            </w:r>
          </w:p>
        </w:tc>
        <w:tc>
          <w:tcPr>
            <w:tcW w:w="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Purchase rights committed under the ESPP</w:t>
            </w:r>
          </w:p>
        </w:tc>
        <w:tc>
          <w:tcPr>
            <w:tcW w:w="1580" w:type="dxa"/>
            <w:vAlign w:val="bottom"/>
          </w:tcPr>
          <w:p>
            <w:pPr>
              <w:jc w:val="right"/>
              <w:spacing w:after="0"/>
              <w:rPr>
                <w:sz w:val="20"/>
                <w:szCs w:val="20"/>
                <w:color w:val="auto"/>
              </w:rPr>
            </w:pPr>
            <w:r>
              <w:rPr>
                <w:rFonts w:ascii="Arial" w:cs="Arial" w:eastAsia="Arial" w:hAnsi="Arial"/>
                <w:sz w:val="18"/>
                <w:szCs w:val="18"/>
                <w:color w:val="auto"/>
              </w:rPr>
              <w:t>109,198</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191,677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109,198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191,677</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2,318,078</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2,318,078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2,318,078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2,318,078</w:t>
            </w: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19,517,922</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21,915,816</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19,517,922</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21,915,816</w:t>
            </w:r>
          </w:p>
        </w:tc>
      </w:tr>
      <w:tr>
        <w:trPr>
          <w:trHeight w:val="20"/>
        </w:trPr>
        <w:tc>
          <w:tcPr>
            <w:tcW w:w="4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Reorganization Expenses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31, 2023, the Company implemented a plan of reorganization (the “January 2023 Plan”). The January 2023 Plan was designed to reduce operating costs, streamline operations and return the Company to profitability. As part of the January 2023 Plan, the Company reduced its workforce by approximately 20%, or 365 employees, and suspended development of its small business loan product.</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nine months ended September 30, 2023, the Company incurred $15.5 million of reorganization expenses in relation to the January 2023 plan, which primarily consisted of severance charges related to employee cash compensation, benefits, and associated taxes. As of September 30, 2023, the Company has made all cash payments to impacted employees. The Company also recognized an impairment expense of $2.6 million for previously capitalized internally developed software costs. In addition to these charges, the Company recognized $2.9 million of one-time non-cash savings related to the reversal of previously expensed stock-based compensation associated with forfeited stock awards for the nine months ended September 30, 2023. During the three months ended September 30, 2023, the Company incurred no additional reorganization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Upstart applies artificial intelligence models and cloud applications to the process of underwriting consumer credit. By providing our lending partners with a proprietary AI-based origination platform, we help them originate credit with higher approval rates, lower loss rates and a high degree of automation. As our technology continues to improve and additional lending partners adopt our platform, consumers benefit from improved access to affordable and frictionless credit.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providing them with access to an AI lending marketplace that they can configure as they originate consumer loans under their own brand, according to their own business and regulatory requirements.</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Consumers can obtain Upstart-powered loans in one of two ways: either by referral from Upstart.com to one of our lending partners, or directly through our lending partners’ own websites, where our lending technology and experience is bank-branded. Our direct lending partner channel represents a small portion of our overall volume, however we believe this portion has significant long-term potential as we onboard new lending partners.</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lending partners can retain loans that align with their business and risk objectives. For loans that are not retained by our lending partners, we sell to a broad base of institutional investors that invest in Upstart-powered loans. In the nine months ended September 30, 2023, 34% of the loans funded through our platform were retained by originating lending partners, 53% of loans were purchased by institutional investors through our loan funding programs and the remaining 13% were funded through our balance sheet. Starting in 2022, we have increased the utilization of our balance sheet to fund and retain loans to fill gaps in investor demand and to aid in price discovery and to hold R&amp;D Loans on our balance sheet for research and development purposes, including to test and evaluate the accuracy of our AI models for these loans. R&amp;D Loans are primarily our auto refinance and auto retail loan products, personal loan products issued to new categories of borrowers, and other new loan products. R&amp;D Loans are not yet part of our established capital markets programs or other loan funding programs with institutional investors. The remainder of loans on our balance sheet represent core personal loans which Upstart would sell to institutional investors.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in order to address recent funding constraints for our personal loans, Upstart has utilized its balance sheet to support short-term funding requirements of loans that would otherwise be purchased and held by institutional investors or securitized. In the second and third quarters of 2023, we also secured multiple committed capital arrangements with institutional investors, which delivered a significant amount of loan funding to the Upstart marketplace. We continue our work on expanding committed capital arrangements for our marketplace. In the meantime, we expect to continue contributing our own capital towards funding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Economic Model</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Upstart’s revenues are primarily earned in exchange for the use of our platform and for borrower referral services provided to our lending partners through our lending marketplace. Fees for these services can be either fixed or based on a variable price per unit, depending on the contractual arrangement. Platform services result in loan originations by our lending partners using our platform and referral services result in a referral of a borrower obtaining a loan from our lending partners. These fees are combined for accounting purposes as they represent a single performance obligation. We do not charge the borrowers on our platform any referral, platform or other similar fees for our loan matching services.</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charge the holder of the loan (either a lending partner or institutional investor) a servicing fee based on the outstanding principal over the lifetime of the loan for ongoing servicing of the loan. In addition, we earn a smaller portion of our revenue from interest income for loans held on our balance sheet and gain or (loss) generated through our capital markets programs.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which fluctuates on a quarter by quarter basis. We continue to focus on improvements to our level of automation and Conversion Rate (as defined below) through our increasingly sophisticated risk models and our evolving channel mix which have contributed to improving our loan unit economics over time.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Improvements to Our AI Models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the credit performance of Upstart-powered loans can be impacted by a variety of macroeconomic and other factors, we consider credit performance to be one of the most important measures of the effectiveness of our AI models. We focus on credit performance compared to the expectations set by us at the time of origination. Since 2018 through the third quarter of 2021, all quarterly vintages of loans retained by our lending partners to date are currently forecasted to meet or exceed the target returns set at the time of loan origination. For loans purchased by institutional investors, all vintages from 2018 through 2020 are forecasted to deliver returns at or in excess of the targets such institutional investors were expecting to receive, while our 2021 through mid-2022 vintages have underperformed relative to target returns. Our 2023 vintages have recovered to target yields. This was driven by a combination of underlying macro effects stabilizing (as seen in the Upstart Macroeconomic Index (“UMI”)) and our increased conservatism in underwriting.</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ongoing improvements to our technology in this manner will allow us to further expand access and lower rates for creditworthy borrowers, which will continue to fuel our growth. Should the pace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improvements slow down or cease, or should we discover forms of model upgrades which improve accuracy at the expense of volume, our growth rates could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Environment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Loan funding provided by institutional investors started to become constrained in the second quarter of 2022 and has remained constrained, largely due to concerns about the macroeconomic environment. In response to inflationary pressure, the U.S. Federal Reserve has raised, and may continue to raise, interest rates, leading to more expensive loan offers across borrower categories. At the same time, macroeconomic uncertainty had generally made institutional investors more cautious and caused them to reduce the amount of capital available to fund Upstart-powered loans.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response to this challenging macroeconomic environment where many lenders and credit investors have significantly reduced or paused investments in Upstart-powered loans, we announced reductions in workforce in November 2022 (“November 2022 Plan”) and January 2023 (“January 2023 Plan”) that resulted in the termination of approximately 7% and 20% of our workforce, respectively. These steps were designed to reduce operating costs, streamline operations and return Upstart to profitability. As of September 30, 2023, we have completed both the November 2022 Plan and January 2023 Plan. Refer to </w:t>
      </w:r>
      <w:r>
        <w:rPr>
          <w:rFonts w:ascii="Arial" w:cs="Arial" w:eastAsia="Arial" w:hAnsi="Arial"/>
          <w:sz w:val="18"/>
          <w:szCs w:val="18"/>
          <w:i w:val="1"/>
          <w:iCs w:val="1"/>
          <w:color w:val="auto"/>
        </w:rPr>
        <w:t>“Note 15. Reorganization Expenses”</w:t>
      </w:r>
      <w:r>
        <w:rPr>
          <w:rFonts w:ascii="Arial" w:cs="Arial" w:eastAsia="Arial" w:hAnsi="Arial"/>
          <w:sz w:val="18"/>
          <w:szCs w:val="18"/>
          <w:color w:val="auto"/>
        </w:rPr>
        <w:t xml:space="preserve"> for more information.</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 several of our lending partners have paused or reduced loan originations in order to limit their exposure in the current macroeconomic environment. Further disruption in financial markets could impair our lending partners and result in further constrained funding, which would adversely impact our business, financial condition and operating results. In order to create greater stability for our business, in the second and third quarters of 2023, we secured several committed capital arrangements with institutional investors that contribute loan funding over longer durations. We continue our work on expanding committed capital arrangements and in the interim period, we have utilized and may continue to utilize our balance sheet to support loan funding. While our goal remains to operate as a capital-light marketplace for credit, we will continue to leverage our balance sheet in the short term as we evaluate opportunities to implement a committed capital structure.</w:t>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the COVID-19 pandemic and resulting government assistance programs had a significant impact on the U.S. economy and markets in which we operate. Starting in the second half of March 2020, the COVID-19 pandemic impacted origination volumes on our platform. The rapid rise in unemployment in the United States led to a reduction in originations by lending partners and a temporary pause in loan funding from institutional investors and capital markets. The level of government assistance that was made available to consumers starting in the second quarter of 2020 was unprecedented, driving significant reduction in loan default rates and resulting in strong credit performance of Upstart-powered loans from the second quarter of 2020 through the third quarter of 2021. Since then, most government assistance programs have expired, which has led to the credit risk of borrowers who benefited from these government assistance programs surpassing pre-pandemic levels and led to borrower default rates above historical norms.</w:t>
      </w:r>
    </w:p>
    <w:p>
      <w:pPr>
        <w:spacing w:after="0" w:line="19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measure the performance of our loans primarily by comparing actual loan defaults to defaults projected by our AI models upon loan origination. Projected performance is a critical component of our loan pricing, and the accuracy of loan default projections is determined by how close the actual return will be to the level expected by our lending partners and institutional investors. The expiration of the government assistance programs had the greatest impact on higher risk borrowers, resulting in a greater increase in default rates for these groups as compared to other less risky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AI models are adjusted to take into account macroeconomic conditions, which are based in part on different types of economic data, such as unemployment levels and personal savings rates, that we receive from third party sources. These adjustments impact interest rates for loans offered on our platform and, as a result, affect borrower acceptance rates of these loans. Recently, this resulted in higher interest rates for the loans being offered through our platform and lower borrower acceptance rates of such loans. But while these economic data help our AI models take into account the current macroeconomic environment, we focus on the ability of our AI models to separate high and low risk borrowers which demonstrates the resilience in the performance of our AI models and Upstart-powered loans during downward shifts in economic cycles relative to general consumer credit. If we do it successfully, it could strengthen our competitive positioning when we emerge from such downturns.</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Earlier this year, in order to respond to macroeconomic changes and provide relevant and up-to-date information to our lending partners, we introduced a new metric, UMI. UMI is designed to quantify the level of underlying macroeconomic risk, specific to our borrower base, relative to a benign (pre-2020) credit environment. A UMI of 1.0 reflects loan losses at this baseline rate. We subsequently launched an update to UMI which removes seasonal patterns to better describe the underlying macroeconomic effects. As of September 30, 2023, UMI was measured at approximately 1.64, meaning that current macroeconomic conditions contributed an incremental risk of approximately 64% to the repayment performance of an Upstart-powered loan, compared to the pre-2020 baseline.</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continuously monitor the direct and indirect impacts of the current macroeconomic conditions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Lending Partner and Market Adoption</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Lending partners play two key roles in Upstart’s ecosystem: funding loans and acquiring new customers. Traditional lenders, such as banks, tend to enjoy among the most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New lending partners also represent additional acquisition channels through which we can reach and source prospective new borrowers, as these lending partners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provide funding support beyond our lending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lending partners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20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believe that the recent bank failures in 2023 and disruption in the banking sector may limit our ability to attract new lending partners and may cause existing lending partners to reduce loan originations on our platform. In order to address recent funding constraints for our personal loans, Upstart has utilized its balance sheet to support short-term funding requirements of loans that would otherwise be purchased and held by institutional investors or securitized. In the second and third quarters of 2023, we secured several committed capital arrangements with institutional investors, which have delivered, and are expected to deliver, a significant amount of loan funding to the Upstart marketplace for the rest of this year and the beginning of next year.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Expansion and Innovation</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significant growth opportunities exist to apply our evolving AI technology to additional segments of credit, and we continue to invest in research and development of our products. In 2022, we introduced a new offering of personal loans for borrowers interested in small dollar loans, and in the third quarter of 2023, we launched a home equity lines of credit (HELOC) product on our platform. We may incur 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third quarter of 2020, we announced our entry into the auto lending market and in April 2021, we acquired Prodigy Software, Inc. or Prodigy, a leader in automotive commerce software solutions. Prodigy provided a modern multi-channel car buying experience, helping dealerships serve consumers with a holistic software solution that integrates legacy systems. The acquisition enabled the launch of Upstart Auto Retail software, a cloud-based solution that enables dealerships across the country, where the vast majority of auto loans are transacted, to provide consumers with access to Upstart-powered auto loans.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part of the January 2023 Plan, we suspended development work for small business loans to focus our resources on acceleration of further development of our personal loan and auto loan products.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Non-GAAP Financial Metrics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focus on several key operating and Non-GAAP financial metrics to measure the performance of our business and help determine strategic direction. The following presents our key operating and financial metrics: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1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37"/>
        </w:trPr>
        <w:tc>
          <w:tcPr>
            <w:tcW w:w="4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7"/>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Volume, Dollars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1,850,521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1,219,262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9,662,244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3,392,446</w:t>
            </w:r>
          </w:p>
        </w:tc>
      </w:tr>
      <w:tr>
        <w:trPr>
          <w:trHeight w:val="230"/>
        </w:trPr>
        <w:tc>
          <w:tcPr>
            <w:tcW w:w="4320" w:type="dxa"/>
            <w:vAlign w:val="bottom"/>
          </w:tcPr>
          <w:p>
            <w:pPr>
              <w:ind w:left="20"/>
              <w:spacing w:after="0" w:line="230" w:lineRule="exact"/>
              <w:rPr>
                <w:sz w:val="20"/>
                <w:szCs w:val="20"/>
                <w:color w:val="auto"/>
              </w:rPr>
            </w:pPr>
            <w:r>
              <w:rPr>
                <w:rFonts w:ascii="Arial" w:cs="Arial" w:eastAsia="Arial" w:hAnsi="Arial"/>
                <w:sz w:val="18"/>
                <w:szCs w:val="18"/>
                <w:color w:val="auto"/>
              </w:rPr>
              <w:t>Transaction Volume, Number of Loans</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188,519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114,464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975,194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307,995</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Rate</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Percentage of Loans Fully Automated</w:t>
            </w:r>
          </w:p>
        </w:tc>
        <w:tc>
          <w:tcPr>
            <w:tcW w:w="24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16"/>
        </w:trPr>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320" w:type="dxa"/>
            <w:vAlign w:val="bottom"/>
          </w:tcPr>
          <w:p>
            <w:pPr>
              <w:ind w:left="20"/>
              <w:spacing w:after="0" w:line="230" w:lineRule="exact"/>
              <w:rPr>
                <w:sz w:val="20"/>
                <w:szCs w:val="20"/>
                <w:color w:val="auto"/>
              </w:rPr>
            </w:pPr>
            <w:r>
              <w:rPr>
                <w:rFonts w:ascii="Arial" w:cs="Arial" w:eastAsia="Arial" w:hAnsi="Arial"/>
                <w:sz w:val="18"/>
                <w:szCs w:val="18"/>
                <w:color w:val="auto"/>
              </w:rPr>
              <w:t>Contribution Profit</w:t>
            </w:r>
            <w:r>
              <w:rPr>
                <w:rFonts w:ascii="Arial" w:cs="Arial" w:eastAsia="Arial" w:hAnsi="Arial"/>
                <w:sz w:val="23"/>
                <w:szCs w:val="23"/>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96,012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94,154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364,783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257,699</w:t>
            </w:r>
          </w:p>
        </w:tc>
      </w:tr>
      <w:tr>
        <w:trPr>
          <w:trHeight w:val="229"/>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i w:val="1"/>
                <w:iCs w:val="1"/>
                <w:color w:val="auto"/>
              </w:rPr>
              <w:t>Contribution Margin</w:t>
            </w:r>
            <w:r>
              <w:rPr>
                <w:rFonts w:ascii="Arial" w:cs="Arial" w:eastAsia="Arial" w:hAnsi="Arial"/>
                <w:sz w:val="23"/>
                <w:szCs w:val="23"/>
                <w:i w:val="1"/>
                <w:iCs w:val="1"/>
                <w:color w:val="auto"/>
                <w:vertAlign w:val="superscript"/>
              </w:rPr>
              <w:t>(2)</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30"/>
        </w:trPr>
        <w:tc>
          <w:tcPr>
            <w:tcW w:w="4320" w:type="dxa"/>
            <w:vAlign w:val="bottom"/>
          </w:tcPr>
          <w:p>
            <w:pPr>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(14,358)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53,744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(17,836)</w:t>
            </w:r>
          </w:p>
        </w:tc>
      </w:tr>
      <w:tr>
        <w:trPr>
          <w:trHeight w:val="230"/>
        </w:trPr>
        <w:tc>
          <w:tcPr>
            <w:tcW w:w="4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i w:val="1"/>
                <w:iCs w:val="1"/>
                <w:color w:val="auto"/>
              </w:rPr>
              <w:t>Adjusted EBITDA Margin</w:t>
            </w:r>
            <w:r>
              <w:rPr>
                <w:rFonts w:ascii="Arial" w:cs="Arial" w:eastAsia="Arial" w:hAnsi="Arial"/>
                <w:sz w:val="23"/>
                <w:szCs w:val="23"/>
                <w:i w:val="1"/>
                <w:iCs w:val="1"/>
                <w:color w:val="auto"/>
                <w:vertAlign w:val="superscript"/>
              </w:rPr>
              <w:t>(2)</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4320" w:type="dxa"/>
            <w:vAlign w:val="bottom"/>
          </w:tcPr>
          <w:p>
            <w:pPr>
              <w:ind w:left="20"/>
              <w:spacing w:after="0" w:line="230" w:lineRule="exact"/>
              <w:rPr>
                <w:sz w:val="20"/>
                <w:szCs w:val="20"/>
                <w:color w:val="auto"/>
              </w:rPr>
            </w:pPr>
            <w:r>
              <w:rPr>
                <w:rFonts w:ascii="Arial" w:cs="Arial" w:eastAsia="Arial" w:hAnsi="Arial"/>
                <w:sz w:val="18"/>
                <w:szCs w:val="18"/>
                <w:color w:val="auto"/>
              </w:rPr>
              <w:t>Adjusted Net Income (Loss)</w:t>
            </w:r>
            <w:r>
              <w:rPr>
                <w:rFonts w:ascii="Arial" w:cs="Arial" w:eastAsia="Arial" w:hAnsi="Arial"/>
                <w:sz w:val="23"/>
                <w:szCs w:val="23"/>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(19,266)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40,319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(37,207)</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(Loss) Per Share:</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320" w:type="dxa"/>
            <w:vAlign w:val="bottom"/>
          </w:tcPr>
          <w:p>
            <w:pPr>
              <w:ind w:left="240"/>
              <w:spacing w:after="0" w:line="230" w:lineRule="exact"/>
              <w:rPr>
                <w:sz w:val="20"/>
                <w:szCs w:val="20"/>
                <w:color w:val="auto"/>
              </w:rPr>
            </w:pPr>
            <w:r>
              <w:rPr>
                <w:rFonts w:ascii="Arial" w:cs="Arial" w:eastAsia="Arial" w:hAnsi="Arial"/>
                <w:sz w:val="18"/>
                <w:szCs w:val="18"/>
                <w:color w:val="auto"/>
              </w:rPr>
              <w:t>Basic</w:t>
            </w:r>
            <w:r>
              <w:rPr>
                <w:rFonts w:ascii="Arial" w:cs="Arial" w:eastAsia="Arial" w:hAnsi="Arial"/>
                <w:sz w:val="23"/>
                <w:szCs w:val="23"/>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3"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Transaction Volume, Number of Loans is shown in ones for the periods presented.</w:t>
      </w:r>
    </w:p>
    <w:p>
      <w:pPr>
        <w:spacing w:after="0" w:line="9" w:lineRule="exact"/>
        <w:rPr>
          <w:rFonts w:ascii="Arial" w:cs="Arial" w:eastAsia="Arial" w:hAnsi="Arial"/>
          <w:sz w:val="14"/>
          <w:szCs w:val="14"/>
          <w:color w:val="auto"/>
        </w:rPr>
      </w:pPr>
    </w:p>
    <w:p>
      <w:pPr>
        <w:ind w:left="500" w:hanging="492"/>
        <w:spacing w:after="0" w:line="283" w:lineRule="auto"/>
        <w:tabs>
          <w:tab w:leader="none" w:pos="49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 non-GAAP financial measure. See the section titled “</w:t>
      </w:r>
      <w:r>
        <w:rPr>
          <w:rFonts w:ascii="Arial" w:cs="Arial" w:eastAsia="Arial" w:hAnsi="Arial"/>
          <w:sz w:val="14"/>
          <w:szCs w:val="14"/>
          <w:i w:val="1"/>
          <w:iCs w:val="1"/>
          <w:color w:val="auto"/>
        </w:rPr>
        <w:t>Management’s Discussion and Analysis of Financial Condition and Results of Operations—Reconciliation of Non-GAAP Financial Measures</w:t>
      </w:r>
      <w:r>
        <w:rPr>
          <w:rFonts w:ascii="Arial" w:cs="Arial" w:eastAsia="Arial" w:hAnsi="Arial"/>
          <w:sz w:val="14"/>
          <w:szCs w:val="14"/>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Volume</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define Transaction Volume, Dollars as the total principal of loans transacted on our platform between a borrower and the originating lending partner during the period presented. We define Transaction Volume, Number of Loans as the number of loans facilitated on our platform between a borrower and the originating lending partner during the period presented. Transaction Volume is primarily driven by improvements in our AI models and technology, including our ability to streamline and automate the loan application and origination process.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can also be driven by borrower acceptance rates and their sensitivity to the interest rates offered through our platform. We believe these metrics are good proxies for our overall scale and reach as a marketplace. Transaction Volume, Dollars decreased by 34% and 65% in the three and nine months ended September 30, 2023, respectively, compared to the same period of 2022. Transaction Volume, Number of Loans decreased by 39% and 68%, in the three and nine months ended September 30, 2023, respectively, compared to the same period of 2022. This contraction was driven by a reduction in funding availability caused by macroeconomic uncertainty and by elevated consumer risk and cost of funds. These changing macroeconomic conditions also required adjustments to our models which resulted in our loans becoming more expensive and decreasing consumer demand.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Rate</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 changes in the rate of returns we target for our lending partners and institutional investors. External factors, including shifts in macroeconomic conditions, also impact our Conversion Rate. For example, as the U.S. Federal Reserve raises interest rates, the average interest rates charged to borrowers for Upstart-powered loans also increase, which results in decreases to our Conversion Rate. Our ability to continue to improve our Conversion Rate depends in part on our ability to continue to improve our AI models and Percentage of Loans Fully Automated and the mix of marketing channels in any given period. Our Conversion Rate decreased to 9.5% and 9.1% in the three and nine months ended September 30, 2023, respectively, from 9.7% and 14.9% in the same periods of 2022, primarily driven by lower approval rates following the significant increase in interest rates, which were in turn driven by elevated risk and cost of capital. The impact of these factors was partially offset by an increased portion of repeat borrowers on our platform.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Loans Fully Automated</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driver of our Contribution Margin and operating efficiency is the 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growth of the percentage of loans fully automated to subside in the near term. However, the expansion of our loan offerings may cause it to fluctuate from period to period depending on the loan offering mix and other external factors. Our Percentage of Loans Fully Automated increased to 88% and 87% for the three and nine months ended September 30, 2023, respectively, from 75% and 74% in the same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2022, driven primarily by increasing the accuracy of our models, by eliminating, or automating, previously manual processes, and by an increased portion of repeat borrowers on our platform.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derive Contribution Profit, we subtract from revenue from fees, net from our borrower acquisition costs as well as our borrower verification and servicing costs. To calculate Contribution Margin we divide Contribution Profit by revenue from fees, net.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calculation of Contribution Profit and Contribution Margin: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1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179,348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146,755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751,675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407,585</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line="223" w:lineRule="exact"/>
              <w:rPr>
                <w:sz w:val="20"/>
                <w:szCs w:val="20"/>
                <w:color w:val="auto"/>
              </w:rPr>
            </w:pPr>
            <w:r>
              <w:rPr>
                <w:rFonts w:ascii="Arial" w:cs="Arial" w:eastAsia="Arial" w:hAnsi="Arial"/>
                <w:sz w:val="18"/>
                <w:szCs w:val="18"/>
                <w:color w:val="auto"/>
              </w:rPr>
              <w:t>Borrower acquisition costs</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(46,014)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(23,598)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(263,113)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(62,359)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Borrower verification and servicing costs</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(37,322)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(29,003)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(123,779)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(87,527)</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direct expenses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(83,336)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(52,601)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(386,892)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(149,886)</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Contribution Profit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94,154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364,783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257,699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i w:val="1"/>
                <w:iCs w:val="1"/>
                <w:color w:val="auto"/>
              </w:rPr>
              <w:t>Contribution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Arial" w:cs="Arial" w:eastAsia="Arial" w:hAnsi="Arial"/>
                <w:sz w:val="18"/>
                <w:szCs w:val="18"/>
                <w:color w:val="auto"/>
              </w:rPr>
              <w:t>54 %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4" w:lineRule="exact"/>
              <w:rPr>
                <w:sz w:val="20"/>
                <w:szCs w:val="20"/>
                <w:color w:val="auto"/>
              </w:rPr>
            </w:pPr>
            <w:r>
              <w:rPr>
                <w:rFonts w:ascii="Arial" w:cs="Arial" w:eastAsia="Arial" w:hAnsi="Arial"/>
                <w:sz w:val="18"/>
                <w:szCs w:val="18"/>
                <w:color w:val="auto"/>
              </w:rPr>
              <w:t>64 %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Arial" w:cs="Arial" w:eastAsia="Arial" w:hAnsi="Arial"/>
                <w:sz w:val="18"/>
                <w:szCs w:val="18"/>
                <w:color w:val="auto"/>
              </w:rPr>
              <w:t>49 %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204" w:lineRule="exact"/>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303"/>
        </w:trPr>
        <w:tc>
          <w:tcPr>
            <w:tcW w:w="4360" w:type="dxa"/>
            <w:vAlign w:val="bottom"/>
          </w:tcPr>
          <w:p>
            <w:pPr>
              <w:spacing w:after="0"/>
              <w:rPr>
                <w:sz w:val="20"/>
                <w:szCs w:val="20"/>
                <w:color w:val="auto"/>
              </w:rPr>
            </w:pPr>
            <w:r>
              <w:rPr>
                <w:rFonts w:ascii="Arial" w:cs="Arial" w:eastAsia="Arial" w:hAnsi="Arial"/>
                <w:sz w:val="18"/>
                <w:szCs w:val="18"/>
                <w:color w:val="auto"/>
              </w:rPr>
              <w:t>_______</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52" w:lineRule="auto"/>
        <w:tabs>
          <w:tab w:leader="none" w:pos="4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associated with the January 2023 Plan.</w:t>
      </w:r>
    </w:p>
    <w:p>
      <w:pPr>
        <w:jc w:val="both"/>
        <w:ind w:left="500" w:hanging="492"/>
        <w:spacing w:after="0" w:line="272" w:lineRule="auto"/>
        <w:tabs>
          <w:tab w:leader="none" w:pos="4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 associated with the January 2023 Plan.</w:t>
      </w:r>
    </w:p>
    <w:p>
      <w:pPr>
        <w:spacing w:after="0" w:line="20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Management’s Discussion and Analysis of Financial Condition and Results of Operations—Reconciliation of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for a reconciliation of income from operations to Contribution Profit.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calculate Adjusted EBITDA as net loss adjusted to exclude stock-based compensation expense and certain payroll tax expenses, depreciation and amortization, expense on convertible notes, provision for income taxes,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Operations—Reconciliation of Non-GAAP Financial Measures</w:t>
      </w:r>
      <w:r>
        <w:rPr>
          <w:rFonts w:ascii="Arial" w:cs="Arial" w:eastAsia="Arial" w:hAnsi="Arial"/>
          <w:sz w:val="18"/>
          <w:szCs w:val="18"/>
          <w:color w:val="auto"/>
        </w:rPr>
        <w:t>” for a reconciliation of net loss to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and Adjusted EBITDA Margin.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Net Income (Loss) Per Share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define Adjusted Net Income (Loss) as net loss exclusive of stock-based compensation expense and certain payroll tax expenses and reorganization expenses. Adjusted Net Income (Loss) Per Share is calculated by dividing Adjusted Net Income (Loss) Per Share by the weighted-average common shares outstanding. See the section 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Reconciliation of Non-GAAP Financial Measures</w:t>
      </w:r>
      <w:r>
        <w:rPr>
          <w:rFonts w:ascii="Arial" w:cs="Arial" w:eastAsia="Arial" w:hAnsi="Arial"/>
          <w:sz w:val="18"/>
          <w:szCs w:val="18"/>
          <w:color w:val="auto"/>
        </w:rPr>
        <w:t>” for a reconciliation of net loss to Adjusted Net Income (Loss) and Adjusted Net Income (Loss)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Platform and Referral Fees, Net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lending partners monthly loan trailing fees based on the amount and timing of principal and interest payments made by borrowers of the underlying loans. Refer to “</w:t>
      </w:r>
      <w:r>
        <w:rPr>
          <w:rFonts w:ascii="Arial" w:cs="Arial" w:eastAsia="Arial" w:hAnsi="Arial"/>
          <w:sz w:val="16"/>
          <w:szCs w:val="16"/>
          <w:i w:val="1"/>
          <w:iCs w:val="1"/>
          <w:color w:val="auto"/>
        </w:rPr>
        <w:t>Note 2. Revenue</w:t>
      </w:r>
      <w:r>
        <w:rPr>
          <w:rFonts w:ascii="Arial" w:cs="Arial" w:eastAsia="Arial" w:hAnsi="Arial"/>
          <w:sz w:val="16"/>
          <w:szCs w:val="16"/>
          <w:color w:val="auto"/>
        </w:rPr>
        <w:t>” to our condensed consolidated financial statements in Part I, Item 1 of this Quarterly Report on Form 10-Q for more information about loan premium fees and trailing fees.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Servicing and Other Fees, Net</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loan-servicer for substantially all outstanding loans facilitated 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Interest income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and fair value adjustments, net also includes realized gain (loss) on the sale of loans. Interest income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Operations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and Product Development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Administrative and Other</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income, net primarily consists of dividend income earned on our unrestricted cash balances, government grants, and interest expense on our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5"/>
          </w:tcPr>
          <w:p>
            <w:pPr>
              <w:ind w:left="160"/>
              <w:spacing w:after="0"/>
              <w:rPr>
                <w:sz w:val="20"/>
                <w:szCs w:val="20"/>
                <w:color w:val="auto"/>
              </w:rPr>
            </w:pPr>
            <w:r>
              <w:rPr>
                <w:rFonts w:ascii="Arial" w:cs="Arial" w:eastAsia="Arial" w:hAnsi="Arial"/>
                <w:sz w:val="18"/>
                <w:szCs w:val="18"/>
                <w:b w:val="1"/>
                <w:bCs w:val="1"/>
                <w:color w:val="auto"/>
                <w:w w:val="96"/>
              </w:rPr>
              <w:t>Results of Operations</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7640" w:type="dxa"/>
            <w:vAlign w:val="bottom"/>
            <w:gridSpan w:val="11"/>
          </w:tcPr>
          <w:p>
            <w:pPr>
              <w:ind w:left="400"/>
              <w:spacing w:after="0"/>
              <w:rPr>
                <w:sz w:val="20"/>
                <w:szCs w:val="20"/>
                <w:color w:val="auto"/>
              </w:rPr>
            </w:pPr>
            <w:r>
              <w:rPr>
                <w:rFonts w:ascii="Arial" w:cs="Arial" w:eastAsia="Arial" w:hAnsi="Arial"/>
                <w:sz w:val="18"/>
                <w:szCs w:val="18"/>
                <w:color w:val="auto"/>
              </w:rPr>
              <w:t>The following table summarizes our historical consolidated statements of operations data:</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8"/>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Revenue from fees, net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179,348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146,755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751,675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407,585</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and fair value adjustments, net: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120" w:type="dxa"/>
            <w:vAlign w:val="bottom"/>
          </w:tcPr>
          <w:p>
            <w:pPr>
              <w:ind w:left="3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66,288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116,923</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29"/>
        </w:trPr>
        <w:tc>
          <w:tcPr>
            <w:tcW w:w="26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Fair value and other adjustments</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(130,430)</w:t>
            </w:r>
          </w:p>
        </w:tc>
        <w:tc>
          <w:tcPr>
            <w:tcW w:w="0" w:type="dxa"/>
            <w:vAlign w:val="bottom"/>
          </w:tcPr>
          <w:p>
            <w:pPr>
              <w:spacing w:after="0"/>
              <w:rPr>
                <w:sz w:val="1"/>
                <w:szCs w:val="1"/>
                <w:color w:val="auto"/>
              </w:rPr>
            </w:pPr>
          </w:p>
        </w:tc>
      </w:tr>
      <w:tr>
        <w:trPr>
          <w:trHeight w:val="223"/>
        </w:trPr>
        <w:tc>
          <w:tcPr>
            <w:tcW w:w="260" w:type="dxa"/>
            <w:vAlign w:val="bottom"/>
            <w:shd w:val="clear" w:color="auto" w:fill="CCEEFF"/>
          </w:tcPr>
          <w:p>
            <w:pPr>
              <w:spacing w:after="0"/>
              <w:rPr>
                <w:sz w:val="19"/>
                <w:szCs w:val="19"/>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and fair value adjustments, net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(34,335)</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157,233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134,557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695,531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373,250</w:t>
            </w:r>
          </w:p>
        </w:tc>
        <w:tc>
          <w:tcPr>
            <w:tcW w:w="0" w:type="dxa"/>
            <w:vAlign w:val="bottom"/>
          </w:tcPr>
          <w:p>
            <w:pPr>
              <w:spacing w:after="0"/>
              <w:rPr>
                <w:sz w:val="1"/>
                <w:szCs w:val="1"/>
                <w:color w:val="auto"/>
              </w:rPr>
            </w:pPr>
          </w:p>
        </w:tc>
      </w:tr>
      <w:tr>
        <w:trPr>
          <w:trHeight w:val="209"/>
        </w:trPr>
        <w:tc>
          <w:tcPr>
            <w:tcW w:w="43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56,362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88,371</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operations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114,301</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Engineering and product development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66,182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54,941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173,218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222,986</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administrative, and other</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156,616</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178,402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750,896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582,274</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(209,024)</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(197,690)</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(197,734)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3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120" w:type="dxa"/>
            <w:vAlign w:val="bottom"/>
          </w:tcPr>
          <w:p>
            <w:pPr>
              <w:ind w:left="220"/>
              <w:spacing w:after="0"/>
              <w:rPr>
                <w:sz w:val="20"/>
                <w:szCs w:val="20"/>
                <w:color w:val="auto"/>
              </w:rPr>
            </w:pPr>
            <w:r>
              <w:rPr>
                <w:rFonts w:ascii="Arial" w:cs="Arial" w:eastAsia="Arial" w:hAnsi="Arial"/>
                <w:sz w:val="14"/>
                <w:szCs w:val="14"/>
                <w:color w:val="auto"/>
              </w:rPr>
              <w:t>Includes stock-based compensation expense as follows: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2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8"/>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Customer operations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2,682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92,725</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General, administrative, and other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9,220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24,505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35,707</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92,035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142,273</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 forth our revenue from fees, net in the periods shown: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Platform and referral</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295,859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(322,349)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w w:val="92"/>
              </w:rPr>
              <w:t>Servicing and other fees,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(21,741)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133,467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55"/>
        </w:trPr>
        <w:tc>
          <w:tcPr>
            <w:tcW w:w="188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rPr>
              <w:t>Total revenue from</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179,348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146,755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751,675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407,585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fees, net</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from fees, net decreased $32.6 million, or 18%, in the three months ended September 30, 2023, compared to the same period in 2022, which included a decrease of $22.3 million in revenue from platform and referral fees, net and a decrease of $10.2 million in servicing fees, net. The decrease of the platform and referral fees, net was primarily driven by a 39% decrease in the Transaction Volume, Number of Loans from 188,519 in the three months ended September 30, 2022 to 114,464 in the same period in 2023, which was partially offset by an increase in prices of our services. The decrease in servicing fees was primarily due to a decrease in outstanding principal of serviced loans, as well as a decrease in net gain related to loan servicing rights upon loan sales.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from fees, net decreased $344.1 million, or 46%, in the nine months ended September 30, 2023, compared to the same period in 2022, which included a decrease of $322.3 million in revenue from platform and referral fees, net and a decrease of $21.7 million in servicing fees, net. The decrease of the platform and referral fees, net was primarily driven by a 68% decrease in the Transaction Volume, Number of Loans from 975,194 in the nine months ended September 30, 2022 to 307,995 in the same period in 2023, which was partially offset by an increase in prices of our services. The decrease in servicing fees was primarily due to a decrease in outstanding principal of serviced loans, as well as a decrease in net gain related to loan servicing rights upon loan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7"/>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9"/>
              </w:rPr>
              <w:t>Nine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96"/>
              </w:rPr>
              <w:t>Change</w:t>
            </w: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color w:val="auto"/>
              </w:rPr>
              <w:t>Operating entities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27,644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66,288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106,875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40,587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76"/>
        </w:trPr>
        <w:tc>
          <w:tcPr>
            <w:tcW w:w="2000" w:type="dxa"/>
            <w:vAlign w:val="bottom"/>
          </w:tcPr>
          <w:p>
            <w:pPr>
              <w:ind w:left="140"/>
              <w:spacing w:after="0" w:line="176" w:lineRule="exact"/>
              <w:rPr>
                <w:sz w:val="20"/>
                <w:szCs w:val="20"/>
                <w:color w:val="auto"/>
              </w:rPr>
            </w:pPr>
            <w:r>
              <w:rPr>
                <w:rFonts w:ascii="Arial" w:cs="Arial" w:eastAsia="Arial" w:hAnsi="Arial"/>
                <w:sz w:val="18"/>
                <w:szCs w:val="18"/>
                <w:color w:val="auto"/>
                <w:w w:val="98"/>
              </w:rPr>
              <w:t>Fair value adjustments,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14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(40,843)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securitization entities: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2000" w:type="dxa"/>
            <w:vAlign w:val="bottom"/>
          </w:tcPr>
          <w:p>
            <w:pPr>
              <w:ind w:left="140"/>
              <w:spacing w:after="0" w:line="176" w:lineRule="exact"/>
              <w:rPr>
                <w:sz w:val="20"/>
                <w:szCs w:val="20"/>
                <w:color w:val="auto"/>
              </w:rPr>
            </w:pPr>
            <w:r>
              <w:rPr>
                <w:rFonts w:ascii="Arial" w:cs="Arial" w:eastAsia="Arial" w:hAnsi="Arial"/>
                <w:sz w:val="18"/>
                <w:szCs w:val="18"/>
                <w:color w:val="auto"/>
                <w:w w:val="98"/>
              </w:rPr>
              <w:t>Fair value adjustments,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14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Company: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76"/>
        </w:trPr>
        <w:tc>
          <w:tcPr>
            <w:tcW w:w="2000" w:type="dxa"/>
            <w:vAlign w:val="bottom"/>
          </w:tcPr>
          <w:p>
            <w:pPr>
              <w:ind w:left="140"/>
              <w:spacing w:after="0" w:line="176" w:lineRule="exact"/>
              <w:rPr>
                <w:sz w:val="20"/>
                <w:szCs w:val="20"/>
                <w:color w:val="auto"/>
              </w:rPr>
            </w:pPr>
            <w:r>
              <w:rPr>
                <w:rFonts w:ascii="Arial" w:cs="Arial" w:eastAsia="Arial" w:hAnsi="Arial"/>
                <w:sz w:val="18"/>
                <w:szCs w:val="18"/>
                <w:color w:val="auto"/>
                <w:w w:val="98"/>
              </w:rPr>
              <w:t>Fair value adjustments,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(116,110)</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(14,320)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5"/>
        </w:trPr>
        <w:tc>
          <w:tcPr>
            <w:tcW w:w="2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Total interest income and</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(22,115)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(56,144)</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(34,335)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fair value adjustments, net</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Consist of balances recognized by entities participating in ongoing operating activities of the Company, excluding entities associated with the UPST 2023-2 consolidated securitization.</w:t>
      </w:r>
    </w:p>
    <w:p>
      <w:pPr>
        <w:spacing w:after="0" w:line="26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Interest income and fair value adjustments, net increased $9.9 million, or 45% in the three months ended September 30, 2023, compared to the same period in 2022. The net increase was driven by an increase in the outstanding principal balance of loans held on the condensed consolidated balance sheets resulting in a $15.5 million increase in interest income, including $10.0 million of interest income recognized by consolidated securitization entities and a $6.4 million increase in interest expense, including $3.8 million recognized by consolidated securitization entities.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Interest income and fair value adjustments, net increased $21.8 million, or 39% in the nine months ended September 30, 2023, compared to the same period in 2022. The increase was primarily driven by an increase in the outstanding principal balance of loans held on the condensed consolidated balance sheets resulting in a $50.6 million increase in interest income, including $10.0 million of interest income recognized by consolidated securitization entities and a $14.5 million increase in interest expense, including $3.8 million recognized by consolidated securitization entities. The increase of unfavorable fair value adjustments, net is primarily attributable to a $37.3 million net impact of increased loan charge-offs and the impact of mark-to-market fair value adjustments, including the adjustment related to the beneficial interests. This net impact was partially offset by a $23.0 million decrease in realized loss on loan sales during the nine months ended September 30, 2023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24"/>
        </w:trPr>
        <w:tc>
          <w:tcPr>
            <w:tcW w:w="2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5"/>
          </w:tcPr>
          <w:p>
            <w:pPr>
              <w:ind w:left="160"/>
              <w:spacing w:after="0" w:line="202" w:lineRule="exact"/>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7"/>
          </w:tcPr>
          <w:p>
            <w:pPr>
              <w:jc w:val="center"/>
              <w:ind w:right="80"/>
              <w:spacing w:after="0" w:line="202" w:lineRule="exact"/>
              <w:rPr>
                <w:sz w:val="20"/>
                <w:szCs w:val="20"/>
                <w:color w:val="auto"/>
              </w:rPr>
            </w:pPr>
            <w:r>
              <w:rPr>
                <w:rFonts w:ascii="Arial" w:cs="Arial" w:eastAsia="Arial" w:hAnsi="Arial"/>
                <w:sz w:val="18"/>
                <w:szCs w:val="18"/>
                <w:b w:val="1"/>
                <w:bCs w:val="1"/>
                <w:color w:val="auto"/>
                <w:w w:val="90"/>
              </w:rPr>
              <w:t>Nine Months Ended September</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43"/>
        </w:trPr>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gridSpan w:val="3"/>
          </w:tcPr>
          <w:p>
            <w:pPr>
              <w:ind w:left="720"/>
              <w:spacing w:after="0"/>
              <w:rPr>
                <w:sz w:val="20"/>
                <w:szCs w:val="20"/>
                <w:color w:val="auto"/>
              </w:rPr>
            </w:pPr>
            <w:r>
              <w:rPr>
                <w:rFonts w:ascii="Arial" w:cs="Arial" w:eastAsia="Arial" w:hAnsi="Arial"/>
                <w:sz w:val="18"/>
                <w:szCs w:val="18"/>
                <w:b w:val="1"/>
                <w:bCs w:val="1"/>
                <w:color w:val="auto"/>
                <w:w w:val="96"/>
              </w:rPr>
              <w:t>Change</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spacing w:after="0"/>
              <w:rPr>
                <w:sz w:val="21"/>
                <w:szCs w:val="21"/>
                <w:color w:val="auto"/>
              </w:rPr>
            </w:pPr>
          </w:p>
        </w:tc>
      </w:tr>
      <w:tr>
        <w:trPr>
          <w:trHeight w:val="263"/>
        </w:trPr>
        <w:tc>
          <w:tcPr>
            <w:tcW w:w="17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223"/>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  (23,320)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88,371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  (206,652)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2020" w:type="dxa"/>
            <w:vAlign w:val="bottom"/>
            <w:gridSpan w:val="2"/>
          </w:tcPr>
          <w:p>
            <w:pPr>
              <w:ind w:left="20"/>
              <w:spacing w:after="0"/>
              <w:rPr>
                <w:sz w:val="20"/>
                <w:szCs w:val="20"/>
                <w:color w:val="auto"/>
              </w:rPr>
            </w:pPr>
            <w:r>
              <w:rPr>
                <w:rFonts w:ascii="Arial" w:cs="Arial" w:eastAsia="Arial" w:hAnsi="Arial"/>
                <w:sz w:val="18"/>
                <w:szCs w:val="18"/>
                <w:i w:val="1"/>
                <w:iCs w:val="1"/>
                <w:color w:val="auto"/>
              </w:rPr>
              <w:t>% of revenue</w:t>
            </w: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25 %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i w:val="1"/>
                <w:iCs w:val="1"/>
                <w:color w:val="auto"/>
              </w:rPr>
              <w:t>42 %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and marketing expenses decreased by $23.3 million, or 41%, in the three months ended September 30, 2023 compared to the same period in 2022. The decrease was primarily due to a $22.4 million decrease in advertising and other traffic acquisition cost. As a percentage of total revenue, sales and marketing expenses decreased from 36% to 25%.</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and marketing expenses decreased by $206.7 million, or 70%, in the nine months ended September 30, 2023 compared to the same period in 2022. The decrease was primarily due to a $200.8 million decrease in advertising and other traffic acquisition cost. As a percentage of total revenue, sales and marketing expenses decreased from 42% to 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b w:val="1"/>
                <w:bCs w:val="1"/>
                <w:i w:val="1"/>
                <w:iCs w:val="1"/>
                <w:color w:val="auto"/>
              </w:rPr>
              <w:t>Customer Operations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Nine Months Ended September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1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1"/>
                <w:szCs w:val="21"/>
                <w:color w:val="auto"/>
              </w:rPr>
            </w:pPr>
          </w:p>
        </w:tc>
        <w:tc>
          <w:tcPr>
            <w:tcW w:w="1040" w:type="dxa"/>
            <w:vAlign w:val="bottom"/>
            <w:gridSpan w:val="3"/>
          </w:tcPr>
          <w:p>
            <w:pPr>
              <w:ind w:left="44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5"/>
              </w:rPr>
              <w:t>30,</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ind w:left="680"/>
              <w:spacing w:after="0"/>
              <w:rPr>
                <w:sz w:val="20"/>
                <w:szCs w:val="20"/>
                <w:color w:val="auto"/>
              </w:rPr>
            </w:pPr>
            <w:r>
              <w:rPr>
                <w:rFonts w:ascii="Arial" w:cs="Arial" w:eastAsia="Arial" w:hAnsi="Arial"/>
                <w:sz w:val="18"/>
                <w:szCs w:val="18"/>
                <w:b w:val="1"/>
                <w:bCs w:val="1"/>
                <w:color w:val="auto"/>
                <w:w w:val="87"/>
              </w:rPr>
              <w:t>Change</w:t>
            </w:r>
          </w:p>
        </w:tc>
        <w:tc>
          <w:tcPr>
            <w:tcW w:w="680" w:type="dxa"/>
            <w:vAlign w:val="bottom"/>
          </w:tcPr>
          <w:p>
            <w:pPr>
              <w:spacing w:after="0"/>
              <w:rPr>
                <w:sz w:val="21"/>
                <w:szCs w:val="21"/>
                <w:color w:val="auto"/>
              </w:rPr>
            </w:pPr>
          </w:p>
        </w:tc>
      </w:tr>
      <w:tr>
        <w:trPr>
          <w:trHeight w:val="263"/>
        </w:trPr>
        <w:tc>
          <w:tcPr>
            <w:tcW w:w="18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r>
      <w:tr>
        <w:trPr>
          <w:trHeight w:val="22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1"/>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114,301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  (30,206)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5"/>
              </w:rPr>
              <w:t>(21)%</w:t>
            </w: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i w:val="1"/>
                <w:iCs w:val="1"/>
                <w:color w:val="auto"/>
              </w:rPr>
              <w:t>21 %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31 %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firstLine="551"/>
        <w:spacing w:after="0" w:line="249" w:lineRule="auto"/>
        <w:rPr>
          <w:sz w:val="20"/>
          <w:szCs w:val="20"/>
          <w:color w:val="auto"/>
        </w:rPr>
      </w:pPr>
      <w:r>
        <w:rPr>
          <w:rFonts w:ascii="Arial" w:cs="Arial" w:eastAsia="Arial" w:hAnsi="Arial"/>
          <w:sz w:val="18"/>
          <w:szCs w:val="18"/>
          <w:color w:val="auto"/>
        </w:rPr>
        <w:t>Customer operations expenses decreased by $8.1 million, or 18%, in the three months ended September 30, 2023, compared to the same period in 2022. The decrease was primarily due to a $8.5 million decrease in payroll and other personnel-related expenses due to a decrease in headcount as well as decreased spending of $2.6 million on information verification and platform operations, partially offset by a $3.0 million increase in servicing expenses. As a percentage of total revenue, customer operations expenses decreased from 29% to 27%.</w:t>
      </w:r>
    </w:p>
    <w:p>
      <w:pPr>
        <w:spacing w:after="0" w:line="329" w:lineRule="exact"/>
        <w:rPr>
          <w:sz w:val="20"/>
          <w:szCs w:val="20"/>
          <w:color w:val="auto"/>
        </w:rPr>
      </w:pPr>
    </w:p>
    <w:p>
      <w:pPr>
        <w:jc w:val="both"/>
        <w:ind w:firstLine="551"/>
        <w:spacing w:after="0" w:line="249" w:lineRule="auto"/>
        <w:rPr>
          <w:sz w:val="20"/>
          <w:szCs w:val="20"/>
          <w:color w:val="auto"/>
        </w:rPr>
      </w:pPr>
      <w:r>
        <w:rPr>
          <w:rFonts w:ascii="Arial" w:cs="Arial" w:eastAsia="Arial" w:hAnsi="Arial"/>
          <w:sz w:val="18"/>
          <w:szCs w:val="18"/>
          <w:color w:val="auto"/>
        </w:rPr>
        <w:t>Customer operations expenses decreased by $30.2 million, or 21%, in the nine months ended September 30, 2023, compared to the same period in 2022. The decrease was primarily due to a $23.9 million decrease in payroll and other personnel-related expenses due to a decrease in headcount as well as decreased spending of $11.4 million on information verification and platform operations, partially offset by a $6.6 million increase in servicing expenses. As a percentage of total revenue, customer operations expenses increased from 21% to 31%.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6"/>
              </w:rPr>
              <w:t>Engineering and Product Development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8"/>
        </w:trPr>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Nine Months Ended September</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3"/>
        </w:trPr>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1"/>
                <w:szCs w:val="21"/>
                <w:color w:val="auto"/>
              </w:rPr>
            </w:pPr>
          </w:p>
        </w:tc>
        <w:tc>
          <w:tcPr>
            <w:tcW w:w="1100" w:type="dxa"/>
            <w:vAlign w:val="bottom"/>
            <w:gridSpan w:val="3"/>
          </w:tcPr>
          <w:p>
            <w:pPr>
              <w:ind w:left="50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30,</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ind w:left="420"/>
              <w:spacing w:after="0"/>
              <w:rPr>
                <w:sz w:val="20"/>
                <w:szCs w:val="20"/>
                <w:color w:val="auto"/>
              </w:rPr>
            </w:pPr>
            <w:r>
              <w:rPr>
                <w:rFonts w:ascii="Arial" w:cs="Arial" w:eastAsia="Arial" w:hAnsi="Arial"/>
                <w:sz w:val="18"/>
                <w:szCs w:val="18"/>
                <w:b w:val="1"/>
                <w:bCs w:val="1"/>
                <w:color w:val="auto"/>
                <w:w w:val="93"/>
              </w:rPr>
              <w:t>Change</w:t>
            </w:r>
          </w:p>
        </w:tc>
        <w:tc>
          <w:tcPr>
            <w:tcW w:w="620" w:type="dxa"/>
            <w:vAlign w:val="bottom"/>
          </w:tcPr>
          <w:p>
            <w:pPr>
              <w:spacing w:after="0"/>
              <w:rPr>
                <w:sz w:val="21"/>
                <w:szCs w:val="21"/>
                <w:color w:val="auto"/>
              </w:rPr>
            </w:pPr>
          </w:p>
        </w:tc>
      </w:tr>
      <w:tr>
        <w:trPr>
          <w:trHeight w:val="264"/>
        </w:trPr>
        <w:tc>
          <w:tcPr>
            <w:tcW w:w="19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r>
      <w:tr>
        <w:trPr>
          <w:trHeight w:val="155"/>
        </w:trPr>
        <w:tc>
          <w:tcPr>
            <w:tcW w:w="19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Engineering and product</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66,182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1"/>
              </w:rPr>
              <w:t>(17)%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173,218</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222,986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4"/>
              </w:rPr>
              <w:t>29%</w:t>
            </w: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42 %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41 %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i w:val="1"/>
                <w:iCs w:val="1"/>
                <w:color w:val="auto"/>
              </w:rPr>
              <w:t>25 %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Engineering and product development expenses decreased by $11.2 million, or 17%, for the three months ended September 30, 2023, compared to the same period in 2022. The decrease was primarily due to a $9.8 million</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decrease in payroll and other personnel-related expenses due to a decrease in headcount. As a percentage of total revenue, engineering and product development expenses decreased from 42% to 41%.</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Engineering and product development expenses increased by $49.8 million, or 29%, for the nine months ended September 30, 2023, compared to the same period in 2022. The increase was primarily due to an increase of $47.6 million in payroll and other personnel-related expenses driven by an expense related to the cancellation of PRSUs, and severance payments under the January 2023 Plan. Refer to </w:t>
      </w:r>
      <w:r>
        <w:rPr>
          <w:rFonts w:ascii="Arial" w:cs="Arial" w:eastAsia="Arial" w:hAnsi="Arial"/>
          <w:sz w:val="16"/>
          <w:szCs w:val="16"/>
          <w:i w:val="1"/>
          <w:iCs w:val="1"/>
          <w:color w:val="auto"/>
        </w:rPr>
        <w:t>“Note 10. Stockholders' Equity”</w:t>
      </w:r>
      <w:r>
        <w:rPr>
          <w:rFonts w:ascii="Arial" w:cs="Arial" w:eastAsia="Arial" w:hAnsi="Arial"/>
          <w:sz w:val="16"/>
          <w:szCs w:val="16"/>
          <w:color w:val="auto"/>
        </w:rPr>
        <w:t xml:space="preserve"> and </w:t>
      </w:r>
      <w:r>
        <w:rPr>
          <w:rFonts w:ascii="Arial" w:cs="Arial" w:eastAsia="Arial" w:hAnsi="Arial"/>
          <w:sz w:val="16"/>
          <w:szCs w:val="16"/>
          <w:i w:val="1"/>
          <w:iCs w:val="1"/>
          <w:color w:val="auto"/>
        </w:rPr>
        <w:t>“Note</w:t>
      </w:r>
    </w:p>
    <w:p>
      <w:pPr>
        <w:spacing w:after="0" w:line="2" w:lineRule="exact"/>
        <w:rPr>
          <w:sz w:val="20"/>
          <w:szCs w:val="20"/>
          <w:color w:val="auto"/>
        </w:rPr>
      </w:pPr>
    </w:p>
    <w:p>
      <w:pPr>
        <w:ind w:firstLine="8"/>
        <w:spacing w:after="0" w:line="260" w:lineRule="auto"/>
        <w:tabs>
          <w:tab w:leader="none" w:pos="297"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Reorganization Expenses</w:t>
      </w:r>
      <w:r>
        <w:rPr>
          <w:rFonts w:ascii="Arial" w:cs="Arial" w:eastAsia="Arial" w:hAnsi="Arial"/>
          <w:sz w:val="18"/>
          <w:szCs w:val="18"/>
          <w:color w:val="auto"/>
        </w:rPr>
        <w:t>” for further details on the PRSU cancellation and January 2023 Plan, respectively. As a percentage of total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and product development expenses increased from 25% to 60%.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General, Administrative, and Other</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86"/>
        </w:trPr>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90"/>
              </w:rPr>
              <w:t>Nine Months Ended September</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3"/>
        </w:trPr>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1"/>
                <w:szCs w:val="21"/>
                <w:color w:val="auto"/>
              </w:rPr>
            </w:pPr>
          </w:p>
        </w:tc>
        <w:tc>
          <w:tcPr>
            <w:tcW w:w="1080" w:type="dxa"/>
            <w:vAlign w:val="bottom"/>
            <w:gridSpan w:val="3"/>
          </w:tcPr>
          <w:p>
            <w:pPr>
              <w:ind w:left="42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30,</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3"/>
          </w:tcPr>
          <w:p>
            <w:pPr>
              <w:ind w:left="44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1"/>
                <w:szCs w:val="21"/>
                <w:color w:val="auto"/>
              </w:rPr>
            </w:pPr>
          </w:p>
        </w:tc>
      </w:tr>
      <w:tr>
        <w:trPr>
          <w:trHeight w:val="263"/>
        </w:trPr>
        <w:tc>
          <w:tcPr>
            <w:tcW w:w="19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156"/>
        </w:trPr>
        <w:tc>
          <w:tcPr>
            <w:tcW w:w="19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General, administrative,</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other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47,752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5,753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138,148</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156,616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30 %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40 %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i w:val="1"/>
                <w:iCs w:val="1"/>
                <w:color w:val="auto"/>
              </w:rPr>
              <w:t>20 %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42 %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administrative, and other expenses increased by $5.8 million, or 12%, in the three months ended September 30, 2023, compared to the same period in 2022. The increase was primarily due to an increase of $3.4 million in payroll and personnel-related costs, including an increase in stock-based compensation expense, and a $2.0 million increase in professional fees. As a percentage of total revenue, general, administrative, and other expenses increased from 30% to 40%.</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 administrative, and other expenses increased by $18.5 million, or 13%, in the nine months ended September 30, 2023, compared to the same period in 2022. The increase was primarily due to an increase of $19.8 million in payroll and personnel-related costs as a result of increased stock-based compensation expense and severance payments under the January 2023 Plan, an increase of $5.9 million in depreciation and amortization expense, and a $2.3 million increase in professional fees. The increase was partially offset by a decrease of $5.1 million in other personnel-related expenses driven by a decrease in headcount and a decrease of $3.2 million in office and administrative related expenses and insurance as well as decrease of $1.6 million of legal and compliance expenses. As a percentage of total revenue, general, administrative, and other expenses increased from 20% to 42%.</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86"/>
        </w:trPr>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3"/>
        </w:trPr>
        <w:tc>
          <w:tcPr>
            <w:tcW w:w="2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1"/>
                <w:szCs w:val="21"/>
                <w:color w:val="auto"/>
              </w:rPr>
            </w:pPr>
          </w:p>
        </w:tc>
        <w:tc>
          <w:tcPr>
            <w:tcW w:w="1060" w:type="dxa"/>
            <w:vAlign w:val="bottom"/>
            <w:gridSpan w:val="3"/>
          </w:tcPr>
          <w:p>
            <w:pPr>
              <w:ind w:left="420"/>
              <w:spacing w:after="0"/>
              <w:rPr>
                <w:sz w:val="20"/>
                <w:szCs w:val="20"/>
                <w:color w:val="auto"/>
              </w:rPr>
            </w:pPr>
            <w:r>
              <w:rPr>
                <w:rFonts w:ascii="Arial" w:cs="Arial" w:eastAsia="Arial" w:hAnsi="Arial"/>
                <w:sz w:val="18"/>
                <w:szCs w:val="18"/>
                <w:b w:val="1"/>
                <w:bCs w:val="1"/>
                <w:color w:val="auto"/>
                <w:w w:val="93"/>
              </w:rPr>
              <w:t>Change</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1"/>
                <w:szCs w:val="21"/>
                <w:color w:val="auto"/>
              </w:rPr>
            </w:pPr>
          </w:p>
        </w:tc>
        <w:tc>
          <w:tcPr>
            <w:tcW w:w="1040" w:type="dxa"/>
            <w:vAlign w:val="bottom"/>
            <w:gridSpan w:val="3"/>
          </w:tcPr>
          <w:p>
            <w:pPr>
              <w:ind w:left="440"/>
              <w:spacing w:after="0"/>
              <w:rPr>
                <w:sz w:val="20"/>
                <w:szCs w:val="20"/>
                <w:color w:val="auto"/>
              </w:rPr>
            </w:pPr>
            <w:r>
              <w:rPr>
                <w:rFonts w:ascii="Arial" w:cs="Arial" w:eastAsia="Arial" w:hAnsi="Arial"/>
                <w:sz w:val="18"/>
                <w:szCs w:val="18"/>
                <w:b w:val="1"/>
                <w:bCs w:val="1"/>
                <w:color w:val="auto"/>
                <w:w w:val="87"/>
              </w:rPr>
              <w:t>Change</w:t>
            </w:r>
          </w:p>
        </w:tc>
        <w:tc>
          <w:tcPr>
            <w:tcW w:w="700" w:type="dxa"/>
            <w:vAlign w:val="bottom"/>
          </w:tcPr>
          <w:p>
            <w:pPr>
              <w:spacing w:after="0"/>
              <w:rPr>
                <w:sz w:val="21"/>
                <w:szCs w:val="21"/>
                <w:color w:val="auto"/>
              </w:rPr>
            </w:pPr>
          </w:p>
        </w:tc>
      </w:tr>
      <w:tr>
        <w:trPr>
          <w:trHeight w:val="263"/>
        </w:trPr>
        <w:tc>
          <w:tcPr>
            <w:tcW w:w="2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2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462%</w:t>
            </w: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income, net increased by $1.7 million in the three months ended September 30, 2023 compared to the same period in 2022. The increase was primarily due to a $2.5 million increase in dividend income, partially offset by a $0.8 million decrease in miscellaneous other income, net during the three months ended September 30, 2023.</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income, net increased by $9.3 million in the nine months ended September 30, 2023 compared to the same period in 2022. The increase was due to an increase in dividend income of $10.2 million, partially offset by $0.8 million decrease in miscellaneous other income, net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supplement our condensed consolidated financial statements prepared and presented in accordance with GAAP, we use the non-GAAP financial measures of Contribution Profit, Contribution Margin, Adjusted EBITDA, Adjusted EBITDA Margin, and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address these limitations, we provide a reconciliation of Contribution Profit, Contribution Margin, Adjusted EBITDA, Adjusted EBITDA Margin, and Adjusted Net Income (Loss) and Adjusted Net Income (Loss) Per Share to loss from operations and net loss,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loss from operations to Contribution Profit and Contribution Margin. We define Operating Margin as our loss from operations divided by revenue from fees,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179,348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146,755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751,675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407,585</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(58,091)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(43,845)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(55,365)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(209,024)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Operating Margin</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w w:val="91"/>
              </w:rPr>
              <w:t>Sales and marketing, net of borrower acquisition costs</w:t>
            </w:r>
            <w:r>
              <w:rPr>
                <w:rFonts w:ascii="Arial" w:cs="Arial" w:eastAsia="Arial" w:hAnsi="Arial"/>
                <w:sz w:val="23"/>
                <w:szCs w:val="23"/>
                <w:color w:val="auto"/>
                <w:w w:val="91"/>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10,348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31,910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26,012</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Customer operations, net of borrower verification and</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servicing costs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7,706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20,728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26,774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Engineering and product development</w:t>
            </w:r>
          </w:p>
        </w:tc>
        <w:tc>
          <w:tcPr>
            <w:tcW w:w="22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66,182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54,941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173,218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222,986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47,752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138,148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156,616</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fair value adjustments, net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22,115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12,198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56,144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34,335</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Contribution Profit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96,012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94,154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364,783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257,699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i w:val="1"/>
                <w:iCs w:val="1"/>
                <w:color w:val="auto"/>
              </w:rPr>
              <w:t>Contribution Margin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line="204" w:lineRule="exact"/>
              <w:rPr>
                <w:sz w:val="20"/>
                <w:szCs w:val="20"/>
                <w:color w:val="auto"/>
              </w:rPr>
            </w:pPr>
            <w:r>
              <w:rPr>
                <w:rFonts w:ascii="Arial" w:cs="Arial" w:eastAsia="Arial" w:hAnsi="Arial"/>
                <w:sz w:val="18"/>
                <w:szCs w:val="18"/>
                <w:color w:val="auto"/>
              </w:rPr>
              <w:t>54 %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line="204" w:lineRule="exact"/>
              <w:rPr>
                <w:sz w:val="20"/>
                <w:szCs w:val="20"/>
                <w:color w:val="auto"/>
              </w:rPr>
            </w:pPr>
            <w:r>
              <w:rPr>
                <w:rFonts w:ascii="Arial" w:cs="Arial" w:eastAsia="Arial" w:hAnsi="Arial"/>
                <w:sz w:val="18"/>
                <w:szCs w:val="18"/>
                <w:color w:val="auto"/>
              </w:rPr>
              <w:t>64 %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line="204" w:lineRule="exact"/>
              <w:rPr>
                <w:sz w:val="20"/>
                <w:szCs w:val="20"/>
                <w:color w:val="auto"/>
              </w:rPr>
            </w:pPr>
            <w:r>
              <w:rPr>
                <w:rFonts w:ascii="Arial" w:cs="Arial" w:eastAsia="Arial" w:hAnsi="Arial"/>
                <w:sz w:val="18"/>
                <w:szCs w:val="18"/>
                <w:color w:val="auto"/>
              </w:rPr>
              <w:t>49 %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303"/>
        </w:trPr>
        <w:tc>
          <w:tcPr>
            <w:tcW w:w="4160" w:type="dxa"/>
            <w:vAlign w:val="bottom"/>
          </w:tcPr>
          <w:p>
            <w:pPr>
              <w:spacing w:after="0"/>
              <w:rPr>
                <w:sz w:val="20"/>
                <w:szCs w:val="20"/>
                <w:color w:val="auto"/>
              </w:rPr>
            </w:pPr>
            <w:r>
              <w:rPr>
                <w:rFonts w:ascii="Arial" w:cs="Arial" w:eastAsia="Arial" w:hAnsi="Arial"/>
                <w:sz w:val="18"/>
                <w:szCs w:val="18"/>
                <w:color w:val="auto"/>
              </w:rPr>
              <w:t>_________</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54" w:lineRule="auto"/>
        <w:tabs>
          <w:tab w:leader="none" w:pos="492" w:val="left"/>
        </w:tabs>
        <w:numPr>
          <w:ilvl w:val="0"/>
          <w:numId w:val="28"/>
        </w:numPr>
        <w:rPr>
          <w:rFonts w:ascii="Arial" w:cs="Arial" w:eastAsia="Arial" w:hAnsi="Arial"/>
          <w:sz w:val="14"/>
          <w:szCs w:val="14"/>
          <w:color w:val="auto"/>
        </w:rPr>
      </w:pPr>
      <w:r>
        <w:rPr>
          <w:rFonts w:ascii="Arial" w:cs="Arial" w:eastAsia="Arial" w:hAnsi="Arial"/>
          <w:sz w:val="14"/>
          <w:szCs w:val="14"/>
          <w:color w:val="auto"/>
        </w:rPr>
        <w:t>Borrower acquisition costs were $46.0 million and $23.6 million for the three months ended September 30, 2022 and 2023, respectively, and were $263.1 million and $62.4 million for the nine months ended September 30, 2022 and 2023,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associated with the January 2023 Plan.</w:t>
      </w:r>
    </w:p>
    <w:p>
      <w:pPr>
        <w:spacing w:after="0" w:line="1" w:lineRule="exact"/>
        <w:rPr>
          <w:rFonts w:ascii="Arial" w:cs="Arial" w:eastAsia="Arial" w:hAnsi="Arial"/>
          <w:sz w:val="14"/>
          <w:szCs w:val="14"/>
          <w:color w:val="auto"/>
        </w:rPr>
      </w:pPr>
    </w:p>
    <w:p>
      <w:pPr>
        <w:jc w:val="both"/>
        <w:ind w:left="500" w:hanging="492"/>
        <w:spacing w:after="0" w:line="262" w:lineRule="auto"/>
        <w:tabs>
          <w:tab w:leader="none" w:pos="492" w:val="left"/>
        </w:tabs>
        <w:numPr>
          <w:ilvl w:val="0"/>
          <w:numId w:val="28"/>
        </w:numPr>
        <w:rPr>
          <w:rFonts w:ascii="Arial" w:cs="Arial" w:eastAsia="Arial" w:hAnsi="Arial"/>
          <w:sz w:val="14"/>
          <w:szCs w:val="14"/>
          <w:color w:val="auto"/>
        </w:rPr>
      </w:pPr>
      <w:r>
        <w:rPr>
          <w:rFonts w:ascii="Arial" w:cs="Arial" w:eastAsia="Arial" w:hAnsi="Arial"/>
          <w:sz w:val="14"/>
          <w:szCs w:val="14"/>
          <w:color w:val="auto"/>
        </w:rPr>
        <w:t>Borrower verification and servicing costs were $37.3 million and $29.0 million for the three months ended September 30, 2022 and 2023, respectively, and were $123.8 million and $87.5 million for the nine months ended September 30, 2022 and 2023,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 associated with the January 2023 Plan.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62" w:lineRule="exact"/>
        <w:rPr>
          <w:sz w:val="20"/>
          <w:szCs w:val="20"/>
          <w:color w:val="auto"/>
        </w:rPr>
      </w:pPr>
    </w:p>
    <w:p>
      <w:pPr>
        <w:jc w:val="both"/>
        <w:ind w:left="980" w:hanging="324"/>
        <w:spacing w:after="0" w:line="248"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87"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and Adjusted EBITDA Margin eliminate the impact of certain items such as stock-based compensation expense and certain payroll tax expense, warrant expense, acquisition-related costs, and reorganization expenses that may obscure trends in the underlying performance of our business; and</w:t>
      </w:r>
    </w:p>
    <w:p>
      <w:pPr>
        <w:spacing w:after="0" w:line="87" w:lineRule="exact"/>
        <w:rPr>
          <w:rFonts w:ascii="Arial" w:cs="Arial" w:eastAsia="Arial" w:hAnsi="Arial"/>
          <w:sz w:val="18"/>
          <w:szCs w:val="18"/>
          <w:color w:val="auto"/>
        </w:rPr>
      </w:pPr>
    </w:p>
    <w:p>
      <w:pPr>
        <w:ind w:left="980" w:hanging="324"/>
        <w:spacing w:after="0" w:line="291" w:lineRule="auto"/>
        <w:tabs>
          <w:tab w:leader="none" w:pos="9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17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38" w:lineRule="exact"/>
        <w:rPr>
          <w:sz w:val="20"/>
          <w:szCs w:val="20"/>
          <w:color w:val="auto"/>
        </w:rPr>
      </w:pPr>
    </w:p>
    <w:p>
      <w:pPr>
        <w:jc w:val="both"/>
        <w:ind w:left="980" w:hanging="324"/>
        <w:spacing w:after="0" w:line="256"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80" w:hanging="324"/>
        <w:spacing w:after="0" w:line="245"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w:t>
      </w:r>
    </w:p>
    <w:p>
      <w:pPr>
        <w:spacing w:after="0" w:line="91"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87"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22"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loss and Net Loss Margin to Adjusted EBITDA Margin. We define Net Loss Margin as net loss divided by total revenue.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2"/>
                <w:szCs w:val="22"/>
                <w:color w:val="auto"/>
              </w:rPr>
            </w:pPr>
          </w:p>
        </w:tc>
        <w:tc>
          <w:tcPr>
            <w:tcW w:w="32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41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157,233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134,557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695,531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373,250</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(56,223)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(40,315)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(53,402)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(197,734)</w:t>
            </w: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Loss Margin</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Stock-based compensation and certain payroll tax</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1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36,957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36,446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93,721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144,991</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3,724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9,859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15,800</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Reorganization expenses</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15,536</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Expense on convertible notes</w:t>
            </w:r>
          </w:p>
        </w:tc>
        <w:tc>
          <w:tcPr>
            <w:tcW w:w="22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3,511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3,527</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(14,358)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53,744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(17,836)</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Adjusted EBITDA Margin</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hanging="492"/>
        <w:spacing w:after="0" w:line="275" w:lineRule="auto"/>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Net Income (Loss) Per Share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define Adjusted Net Income (Loss) as net loss exclusive of stock-based compensation expense and certain payroll tax expense and reorganization expenses. Adjusted Net Income (Loss) Per Share is calculated by dividing Adjusted Net Income (Loss) Per Share by the weighted-average common shares outstanding. We believe Adjusted Net Income (Loss) and Adjusted Net Income (Loss) Per Share are useful measures for investors in evaluating our ability to generate earnings, more readily compare between past and future periods, and provide comparability of our performance with the performance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1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3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(197,734)</w:t>
            </w: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Adjusted to exclude the following:</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76"/>
        </w:trPr>
        <w:tc>
          <w:tcPr>
            <w:tcW w:w="39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Stock-based compensation and certain payroll tax</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3960" w:type="dxa"/>
            <w:vAlign w:val="bottom"/>
            <w:shd w:val="clear" w:color="auto" w:fill="CCEEFF"/>
          </w:tcPr>
          <w:p>
            <w:pPr>
              <w:ind w:left="220"/>
              <w:spacing w:after="0" w:line="243"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144,991</w:t>
            </w:r>
          </w:p>
        </w:tc>
      </w:tr>
      <w:tr>
        <w:trPr>
          <w:trHeight w:val="229"/>
        </w:trPr>
        <w:tc>
          <w:tcPr>
            <w:tcW w:w="3960" w:type="dxa"/>
            <w:vAlign w:val="bottom"/>
          </w:tcPr>
          <w:p>
            <w:pPr>
              <w:ind w:left="220"/>
              <w:spacing w:after="0"/>
              <w:rPr>
                <w:sz w:val="20"/>
                <w:szCs w:val="20"/>
                <w:color w:val="auto"/>
              </w:rPr>
            </w:pPr>
            <w:r>
              <w:rPr>
                <w:rFonts w:ascii="Arial" w:cs="Arial" w:eastAsia="Arial" w:hAnsi="Arial"/>
                <w:sz w:val="18"/>
                <w:szCs w:val="18"/>
                <w:color w:val="auto"/>
              </w:rPr>
              <w:t>Reorganization expenses</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15,536</w:t>
            </w:r>
          </w:p>
        </w:tc>
      </w:tr>
      <w:tr>
        <w:trPr>
          <w:trHeight w:val="223"/>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(37,207)</w:t>
            </w: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Net loss per share: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(0.69)</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Share: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396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81,672,099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84,404,966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83,236,131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83,158,146</w:t>
            </w: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81,672,099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84,404,966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92,991,590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83,158,146</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hanging="492"/>
        <w:spacing w:after="0" w:line="255" w:lineRule="auto"/>
        <w:tabs>
          <w:tab w:leader="none" w:pos="492" w:val="left"/>
        </w:tabs>
        <w:numPr>
          <w:ilvl w:val="0"/>
          <w:numId w:val="33"/>
        </w:numPr>
        <w:rPr>
          <w:rFonts w:ascii="Arial" w:cs="Arial" w:eastAsia="Arial" w:hAnsi="Arial"/>
          <w:sz w:val="14"/>
          <w:szCs w:val="14"/>
          <w:color w:val="auto"/>
        </w:rPr>
      </w:pPr>
      <w:r>
        <w:rPr>
          <w:rFonts w:ascii="Arial" w:cs="Arial" w:eastAsia="Arial" w:hAnsi="Arial"/>
          <w:sz w:val="14"/>
          <w:szCs w:val="14"/>
          <w:color w:val="auto"/>
        </w:rPr>
        <w:t>Payroll tax expenses includes the amount of employer payroll tax-related expense on employee stock transactions, as the amount is dependent on our stock price and other factors that are beyond our control and do not correlate to the operation of our business.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Since inception, we have financed our operations, corporate investments, and capital expenditures primarily through the sale of convertible preferred stock, convertible promissory notes, term loans and draws on our revolving credit facilities, and cash generated from operations.</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September 30, 2023, our primary source of liquidity was cash of $516.6 million. We also held $5.0 million of investments in certificates of deposit with maturities greater than three months as of September 30, 2023. Certificates of deposit provide a secondary source of liquidity since they can be converted into cash in a timely manner. Changes in the balance of cash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or the warehouse trusts and corporate cash.</w:t>
      </w: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convertible senior notes have a principal balance of $661.3 million and bear interest at a rate of 0.25% per year, payable semiannually in arrears on February 15 and August 15 of each year. The Notes mature on August 15, 2026 unless earlier converted, redeemed, or repurchased in accordance with their terms. Refer to “</w:t>
      </w:r>
      <w:r>
        <w:rPr>
          <w:rFonts w:ascii="Arial" w:cs="Arial" w:eastAsia="Arial" w:hAnsi="Arial"/>
          <w:sz w:val="17"/>
          <w:szCs w:val="17"/>
          <w:i w:val="1"/>
          <w:iCs w:val="1"/>
          <w:color w:val="auto"/>
        </w:rPr>
        <w:t>Note 9. Borrowings</w:t>
      </w:r>
      <w:r>
        <w:rPr>
          <w:rFonts w:ascii="Arial" w:cs="Arial" w:eastAsia="Arial" w:hAnsi="Arial"/>
          <w:sz w:val="17"/>
          <w:szCs w:val="17"/>
          <w:color w:val="auto"/>
        </w:rPr>
        <w:t>” in Part I, Item 1 of this Quarterly Report on Form 10-Q for further details on our Notes.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ULT Warehouse Credit Facility, which matures in June 2026, allows us to borrow up to $175.0 million to purchase unsecured personal loans. Our UAWT Warehouse Credit Facility, which matures in June 2025, allows us to borrow up to $200.0 million to purchase secured auto loans. As of September 30, 2023, we have drawn an aggregate of $351.2 million on our warehouse credit facilities. Refer to “</w:t>
      </w:r>
      <w:r>
        <w:rPr>
          <w:rFonts w:ascii="Arial" w:cs="Arial" w:eastAsia="Arial" w:hAnsi="Arial"/>
          <w:sz w:val="18"/>
          <w:szCs w:val="18"/>
          <w:i w:val="1"/>
          <w:iCs w:val="1"/>
          <w:color w:val="auto"/>
        </w:rPr>
        <w:t>Note 9. Borrowings</w:t>
      </w:r>
      <w:r>
        <w:rPr>
          <w:rFonts w:ascii="Arial" w:cs="Arial" w:eastAsia="Arial" w:hAnsi="Arial"/>
          <w:sz w:val="18"/>
          <w:szCs w:val="18"/>
          <w:color w:val="auto"/>
        </w:rPr>
        <w:t>” in Part I, Item 1 of this Quarterly Report on Form 10-Q for further details on our warehouse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lease office facilities under operating lease agreements which expire between 2027 and 2032. Our cash requirements related to these lease agreements are $109.0 million, of which $16.6 million is expected to be paid within the next 12 months. Refer to “</w:t>
      </w:r>
      <w:r>
        <w:rPr>
          <w:rFonts w:ascii="Arial" w:cs="Arial" w:eastAsia="Arial" w:hAnsi="Arial"/>
          <w:sz w:val="18"/>
          <w:szCs w:val="18"/>
          <w:i w:val="1"/>
          <w:iCs w:val="1"/>
          <w:color w:val="auto"/>
        </w:rPr>
        <w:t>Note 11. Leases</w:t>
      </w:r>
      <w:r>
        <w:rPr>
          <w:rFonts w:ascii="Arial" w:cs="Arial" w:eastAsia="Arial" w:hAnsi="Arial"/>
          <w:sz w:val="18"/>
          <w:szCs w:val="18"/>
          <w:color w:val="auto"/>
        </w:rPr>
        <w:t>” in Part I, Item 1 of this Quarterly Report on Form 10-Q for further details on our operating lease obligations.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committed to purchase loans from certain lending partners at the conclusion of the required holding period, which is generally equal to three business days. As of September 30, 2023, the total loan purchase commitment was $40.2 million. See “</w:t>
      </w:r>
      <w:r>
        <w:rPr>
          <w:rFonts w:ascii="Arial" w:cs="Arial" w:eastAsia="Arial" w:hAnsi="Arial"/>
          <w:sz w:val="18"/>
          <w:szCs w:val="18"/>
          <w:i w:val="1"/>
          <w:iCs w:val="1"/>
          <w:color w:val="auto"/>
        </w:rPr>
        <w:t>Note 12. Commitments and Contingencies</w:t>
      </w:r>
      <w:r>
        <w:rPr>
          <w:rFonts w:ascii="Arial" w:cs="Arial" w:eastAsia="Arial" w:hAnsi="Arial"/>
          <w:sz w:val="18"/>
          <w:szCs w:val="18"/>
          <w:color w:val="auto"/>
        </w:rPr>
        <w:t>” in Part I, Item 1 of this Quarterly Report on Form 10-Q for further details on our loan purchase obligations.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our committed capital arrangements, we have agreed to risk sharing arrangements whereby we are obligated to put a certain amount of our capital at risk in relation to the credit performance of the loans. As of September 30, 2023, the amount of our capital at risk is $66.1 million. Refer to “</w:t>
      </w:r>
      <w:r>
        <w:rPr>
          <w:rFonts w:ascii="Arial" w:cs="Arial" w:eastAsia="Arial" w:hAnsi="Arial"/>
          <w:sz w:val="18"/>
          <w:szCs w:val="18"/>
          <w:i w:val="1"/>
          <w:iCs w:val="1"/>
          <w:color w:val="auto"/>
        </w:rPr>
        <w:t>Note 5. Beneficial Interests</w:t>
      </w:r>
      <w:r>
        <w:rPr>
          <w:rFonts w:ascii="Arial" w:cs="Arial" w:eastAsia="Arial" w:hAnsi="Arial"/>
          <w:sz w:val="18"/>
          <w:szCs w:val="18"/>
          <w:color w:val="auto"/>
        </w:rPr>
        <w:t>” for additional information.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2023, the potential value of these risk sharing arrangements, to be realized over time, ranges between $0 to $138.9 million, depending on the actual future performance of the loans sold under these arrangements. The estimated value of our risk sharing arrangements is $73.1 million, which represents the undiscounted value of the capital at risk and is based on the actual and expected future performance of the underlying loans.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our cash requirements for the next 12 months for the committed capital arrangements are expected to be $37.2 million.</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While we believe that our cash on hand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7880" w:type="dxa"/>
            <w:vAlign w:val="bottom"/>
          </w:tcPr>
          <w:p>
            <w:pPr>
              <w:ind w:left="660"/>
              <w:spacing w:after="0"/>
              <w:rPr>
                <w:sz w:val="20"/>
                <w:szCs w:val="20"/>
                <w:color w:val="auto"/>
              </w:rPr>
            </w:pPr>
            <w:r>
              <w:rPr>
                <w:rFonts w:ascii="Arial" w:cs="Arial" w:eastAsia="Arial" w:hAnsi="Arial"/>
                <w:sz w:val="18"/>
                <w:szCs w:val="18"/>
                <w:color w:val="auto"/>
              </w:rPr>
              <w:t>The following table summarizes our cash flows during the periods indicated:</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13"/>
        </w:trPr>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7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7"/>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(16,781)</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Arial" w:cs="Arial" w:eastAsia="Arial" w:hAnsi="Arial"/>
                <w:sz w:val="18"/>
                <w:szCs w:val="18"/>
                <w:color w:val="auto"/>
                <w:w w:val="92"/>
              </w:rPr>
              <w:t>(88,562)</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8"/>
              </w:rPr>
              <w:t>187,904</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main sources of cash provided by operating activities are our revenue from fees earned under contracts with lending partners and institutional investors and interest income we receive for loans held on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used in operating activities was $16.8 million for the nine months ended September 30, 2023, which primarily consisted of adjustments for non-cash items of $299.0 million, net loss of $197.7 million, and $118.0 million in net changes in operating assets and liabilities. The increase in non-cash adjustments was primarily related to $151.3 million of changes in fair value of financial instruments held on the Company’s balance sheet and $142.3 million of stock-based compensation. The decrease in net changes in operating assets and liabilities was primarily related to $201.4 million in net purchases of loans held-for-sale, a $44.9 million decrease in amounts payable to investors, a $13.5 million decrease in accrued expenses and other liabilities, and a $11.7 decrease in accounts payable partially offset by $139.6 million in principal payments received for loans held-for-sale and $12.3 million in principal payments received for loans held in consolidated securitization.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$88.6 million for the nine months ended September 30, 2023 as a result of $121.3 million purchases of loans held-for-investment, $39.5 million acquisition of beneficial interests, and $9.1 million of capitalized software costs, partially offset by $78.3 million in principal payments received for loans held-for-investment and $3.6 million of principal payments received for notes receivable and repayments of residual certificates.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$187.9 million for the nine months ended September 30, 2023 as a result of $514.8 million repayments of borrowings, and $10.0 million in payments for securitization notes partially offset by $529.5 million proceeds from borrowings, $165.3 million proceeds from the issuance of securitization notes, $9.5 million proceeds from exercise of stock options, and $8.4 million in proceeds from issuance of common stock under ESPP.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Retained Loan Portfolio</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September 30, 2023, we held $972.3 million of loans on our condensed consolidated balance sheet. $447.3 million of these loans were originated for research and development purposes, primarily in support of our auto lending products and expansion of our unsecured personal loan product to new categories of borrowers. We also held $328.5 million of core personal loans which would otherwise be immediately purchased by institutional investors and $196.5 million of core personal loans held by the consolidated securitization.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retained loans to institutional investors over time in the form of secondary sales or securitizations.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and sponsored and co-sponsored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Arial" w:cs="Arial" w:eastAsia="Arial" w:hAnsi="Arial"/>
          <w:sz w:val="17"/>
          <w:szCs w:val="17"/>
          <w:i w:val="1"/>
          <w:iCs w:val="1"/>
          <w:color w:val="auto"/>
        </w:rPr>
        <w:t>Note 3.</w:t>
      </w:r>
      <w:r>
        <w:rPr>
          <w:rFonts w:ascii="Arial" w:cs="Arial" w:eastAsia="Arial" w:hAnsi="Arial"/>
          <w:sz w:val="17"/>
          <w:szCs w:val="17"/>
          <w:color w:val="auto"/>
        </w:rPr>
        <w:t xml:space="preserve"> </w:t>
      </w:r>
      <w:r>
        <w:rPr>
          <w:rFonts w:ascii="Arial" w:cs="Arial" w:eastAsia="Arial" w:hAnsi="Arial"/>
          <w:sz w:val="17"/>
          <w:szCs w:val="17"/>
          <w:i w:val="1"/>
          <w:iCs w:val="1"/>
          <w:color w:val="auto"/>
        </w:rPr>
        <w:t>Variable Interest Entities</w:t>
      </w:r>
      <w:r>
        <w:rPr>
          <w:rFonts w:ascii="Arial" w:cs="Arial" w:eastAsia="Arial" w:hAnsi="Arial"/>
          <w:sz w:val="17"/>
          <w:szCs w:val="17"/>
          <w:color w:val="auto"/>
        </w:rPr>
        <w:t>”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1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critical accounting policies are described in Part II, Item 7, “</w:t>
      </w:r>
      <w:r>
        <w:rPr>
          <w:rFonts w:ascii="Arial" w:cs="Arial" w:eastAsia="Arial" w:hAnsi="Arial"/>
          <w:sz w:val="17"/>
          <w:szCs w:val="17"/>
          <w:i w:val="1"/>
          <w:iCs w:val="1"/>
          <w:color w:val="auto"/>
        </w:rPr>
        <w:t>Critical Accounting Policies and Estimates</w:t>
      </w:r>
      <w:r>
        <w:rPr>
          <w:rFonts w:ascii="Arial" w:cs="Arial" w:eastAsia="Arial" w:hAnsi="Arial"/>
          <w:sz w:val="17"/>
          <w:szCs w:val="17"/>
          <w:color w:val="auto"/>
        </w:rPr>
        <w:t>” in our Annual Report on Form 10-K for the year ended December 31, 2022. There have been no material changes to these policies for the nine months ended September 30, 2023.</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 Description of Business and Significant Accounting Policies”</w:t>
      </w:r>
      <w:r>
        <w:rPr>
          <w:rFonts w:ascii="Arial" w:cs="Arial" w:eastAsia="Arial" w:hAnsi="Arial"/>
          <w:sz w:val="18"/>
          <w:szCs w:val="18"/>
          <w:color w:val="auto"/>
        </w:rPr>
        <w:t xml:space="preserve"> in Part I, Item 1 of this Quarterly Report on Form 10-Q for recently adopted accounting pronouncements and recently issued accounting pronouncements not yet adopted when applicable.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current credit facilities and term loans. Our inability or failure to manage market risks could harm our business, financial condition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 Rate Risk</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December 31, 2022 and September 30, 2023, we were exposed to market discount rate risk on $1,010.4 million and $775.8 million, respectively, of loans held on our condensed consolidated balance sheets, excluding loans held in consolidated securitization. The fair value of these loans is estimated using a discounted cash flow methodology, where the discount rate represents an estimate of the required rate of return by market participants. The changes in the discount rates for loans retained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$12.0 million and $23.7 million decrease, respectively, in the fair value of loans held on our condensed consolidated balance sheet as of December 31, 2022 and a $9.2 million and $18.2 million decrease, respectively, as of September 30, 2023.</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Loans held in the consolidated securitization are included in loans, at fair value on the condensed consolidated balance sheets. The fair value of these loans is determined by the sum of the fair value of the related securitization notes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would result in a $2.7 million and $5.3 million decrease, respectively, in the fair value of loans held in the consolidated securitization on the condensed consolidated balance sheet as of September 30, 2023. As of September 30, 2023, we were also exposed to market discount rate risk on payable to securitization note holders of $153.8 million. A hypothetical 100 basis point and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basis point increase in the discount rate would result in a $2.2 million and $4.3 million decrease, respectively, in the fair value of payable to securitization note holders on the condensed consolidated balance sheet as of September 30, 2023.</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2023, we were also exposed to market discount rate risk on other financial instruments, including $37.0 million of beneficial interests. Beneficial interests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$0.9 million and $1.7 million decrease, respectively, in the fair value of beneficial interests held on our consolidated balance sheet as of September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Credit risk refers to the risk of loss of the loans on our condensed consolidated balance sheets arising from individual borrower default due to inability or unwillingness to meet their financial obligations. The performance of certain financial instruments, including loans, beneficial interests, securitization notes and residual certificates, and payable to securitization note holders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values of these loans, beneficial interests, securitization notes and residual certificates, and payable to securitization note holders are estimated based on a discounted cash flow model which involves the use of significant unobservable inputs and assumptions. These instruments are sensitive to changes in credit risk.</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December 31, 2022 and September 30, 2023, we were exposed to credit risk on $1,010.4 million and $775.8 million, respectively, of loans held on our condensed consolidated balance sheet excluding loans held in consolidated securitization. Loans bear fixed interest rates and are carried on our condensed consolidated balance sheets at fair value. As of December 31, 2022, a hypothetical 10% and 20% increase in credit risk would result in a $11.9 million and $23.9 million decrease, and as of September 30, 2023, a hypothetical 10% and 20% increase in credit risk would result in a $9.7 million and $19.5 million decrease in the fair value of loans held on our condensed consolidated balance sheets, respectively.</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Loans held in the consolidated securitization are included in loans, at fair value on the condensed consolidated balance sheets. The fair value of these loans is determined by the sum of the fair value of the related securitization notes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100 and 200 basis point increase in the credit risk would result in a $2.8 million and $5.4 million decrease, respectively, in the fair value of loans held in consolidated securitization on the condensed consolidated balance sheet as of September 30, 2023.</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exposed to credit risk on $37.0 million of beneficial interests held on the condensed consolidated balance sheet as of September 30, 2023. A hypothetical 10% and 20% increase in credit risk spread would result in a $10.0 million and $15.8 million decrease, respectively, in the fair value of beneficial interests held on our consolidated balance sheet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spacing w:after="0" w:line="20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December 31, 2022 and September 30, 2023, we held $532.5 million and $615.0 million, respectively, related to cash and restricted cash in business checking accounts and interest-bearing deposit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and restricted cash in reputable institutions.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customer bankruptcies and charge-offs, and decreasing recoveries, all of which could have a material adverse effect on our business. We expect these outcomes would generally invert in an environment of decreasing interest rates.</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An increase or decrease in interest rates may also impact our exposure to interest rate risk on our warehouse credit facilities. As of December 31, 2022 and September 30, 2023, we were exposed to interest rate risk on $336.5 million and $351.2 million, respectively, under our warehouse credit facilities, which bear floating interest rates. Changes in interest rates may impact our cost of borrowing. During the nine months ended September 30, 2023 we entered into interest rate cap agreements in connection with our warehouse credit facilities with an aggregate notional amount of $316.0 million. The interest rate caps provide protection to the credit facilities against exposure to changes in cash flows to the extent the 1-month SOFR exceeds the strike rate. The UAWT interest rate cap matures in April 2029 and the ULT interest rate cap matures June 2025. Refer to </w:t>
      </w:r>
      <w:r>
        <w:rPr>
          <w:rFonts w:ascii="Arial" w:cs="Arial" w:eastAsia="Arial" w:hAnsi="Arial"/>
          <w:sz w:val="18"/>
          <w:szCs w:val="18"/>
          <w:i w:val="1"/>
          <w:iCs w:val="1"/>
          <w:color w:val="auto"/>
        </w:rPr>
        <w:t>“Note 4. Derivative Financial Instruments”</w:t>
      </w:r>
      <w:r>
        <w:rPr>
          <w:rFonts w:ascii="Arial" w:cs="Arial" w:eastAsia="Arial" w:hAnsi="Arial"/>
          <w:sz w:val="18"/>
          <w:szCs w:val="18"/>
          <w:color w:val="auto"/>
        </w:rPr>
        <w:t xml:space="preserve"> for further details.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Risk</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non-marketable equity securities are subject to a wide variety of market-related risks that could substantially reduce or increase the carrying value of our investments.</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loss upon recognition of such adjustments or impairments.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December 31, 2022 and September 30, 2023, the carrying value of our non-marketable equity securities, which do not have readily determinable fair values, totaled $41.3 million.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September 30, 2023,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September 30, 2023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a description of our material pending legal proceedings, please see “</w:t>
      </w:r>
      <w:r>
        <w:rPr>
          <w:rFonts w:ascii="Arial" w:cs="Arial" w:eastAsia="Arial" w:hAnsi="Arial"/>
          <w:sz w:val="17"/>
          <w:szCs w:val="17"/>
          <w:i w:val="1"/>
          <w:iCs w:val="1"/>
          <w:color w:val="auto"/>
        </w:rPr>
        <w:t>Note 12. Commitments and Contingencies</w:t>
      </w:r>
      <w:r>
        <w:rPr>
          <w:rFonts w:ascii="Arial" w:cs="Arial" w:eastAsia="Arial" w:hAnsi="Arial"/>
          <w:sz w:val="17"/>
          <w:szCs w:val="17"/>
          <w:color w:val="auto"/>
        </w:rPr>
        <w:t>” in Part I, Item 1 of this Quarterly Report on Form 10-Q and “</w:t>
      </w:r>
      <w:r>
        <w:rPr>
          <w:rFonts w:ascii="Arial" w:cs="Arial" w:eastAsia="Arial" w:hAnsi="Arial"/>
          <w:sz w:val="17"/>
          <w:szCs w:val="17"/>
          <w:i w:val="1"/>
          <w:iCs w:val="1"/>
          <w:color w:val="auto"/>
        </w:rPr>
        <w:t>Risk Factors</w:t>
      </w:r>
      <w:r>
        <w:rPr>
          <w:rFonts w:ascii="Arial" w:cs="Arial" w:eastAsia="Arial" w:hAnsi="Arial"/>
          <w:sz w:val="17"/>
          <w:szCs w:val="17"/>
          <w:color w:val="auto"/>
        </w:rPr>
        <w:t>” in Part II, Item 1A of this Quarterly Report on Form 10-Q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 FACTORS</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material risks that may affect our business, financial condition or results of operations include, but are not limited to, those relating to the following:</w:t>
      </w:r>
    </w:p>
    <w:p>
      <w:pPr>
        <w:spacing w:after="0" w:line="62" w:lineRule="exact"/>
        <w:rPr>
          <w:sz w:val="20"/>
          <w:szCs w:val="20"/>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experienced rapid growth in the past and have a relatively limited operating history, which may result in increased risks, uncertainties, expenses and difficulties, and makes it difficult to evaluate our future prospects.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business has been and will continue to be adversely affected by economic conditions and other factors that we cannot control, including the recent bank failures and resulting disruption in the banking sector.</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are unable to maintain diverse, consistent and robust loan funding programs with institutional investors, our growth prospects, business, financial condition and results of operations could be adversely affected.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our existing lending partners cease or limit operations with us or if we are unable to attract and onboard new lending partners, our business, financial condition and results of operations will be adversely affected.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incurred net losses, and we may not be able to achieve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revenue growth rate and financial performance in prior periods may not be indicative of future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quarterly results are likely to fluctuate and as a result may adversely affect the trading price of our common stock.</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15" w:lineRule="exact"/>
        <w:rPr>
          <w:rFonts w:ascii="Arial" w:cs="Arial" w:eastAsia="Arial" w:hAnsi="Arial"/>
          <w:sz w:val="16"/>
          <w:szCs w:val="16"/>
          <w:color w:val="auto"/>
        </w:rPr>
      </w:pPr>
    </w:p>
    <w:p>
      <w:pPr>
        <w:ind w:left="660" w:right="20" w:hanging="328"/>
        <w:spacing w:after="0" w:line="30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spacing w:after="0" w:line="38"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securitizations, committed capital arrangements,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or committed capital arrangements in the future. This may result in the reduced supply of loan funding capital or require us to seek more costly financing for our marketplace.</w:t>
      </w:r>
    </w:p>
    <w:p>
      <w:pPr>
        <w:spacing w:after="0" w:line="7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Cross River Bank and one other lending partner account for a substantial portion of the total number of loans facilitated by our platform and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sales and onboarding process of new lending partners could take longer than expected, leading to fluctuations or variability in expected revenues and results of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 single loan product, and we are thus particularly susceptible to fluctuations in the unsecured personal loan market. We also do not currently offer a broad suite of products that lending partners may find desirable.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fail to effectively manage our growth, our business, financial condition and results of operations could be adversely affected.</w:t>
      </w:r>
    </w:p>
    <w:p>
      <w:pPr>
        <w:spacing w:after="0" w:line="11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5"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reputation and brand are important to our success, and if we are unable to continue developing our reputation and brand, our ability to retain existing and attract new lending partners, our ability to attract borrowers to our platform, our ability to maintain a diverse funding marketplace and our ability to maintain and improve our relationship with regulators of our industry could be adversely affected.</w:t>
      </w:r>
    </w:p>
    <w:p>
      <w:pPr>
        <w:spacing w:after="0" w:line="57"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fail to achieve the expected cost savings and related benefits from our reduction in workforce initiated in November 2022 and January 2023.</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experienced rapid growth in the past and have a relatively limited operating history, which may result in increased risks, uncertainties, expenses and difficulties, and makes it difficult to evaluate our future prospects.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founded in 2012 and have experienced rapid growth in the past.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1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and increase the volume of loans facilitated through our AI lending marketplace;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new and maintain existing lending partnerships;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successfully maintain a diversified loan funding strategy, including lending partnerships, whole loan sales and securitization transactions that enhance loan liquidity for the lending partners that use our marketplace, and committed capital sources;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successfully fund a sufficient quantity of our borrower loan demand with low cost lending partner funding to help keep interest rates offered to borrowers competitive;</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maintain competitive interest rates offered to borrowers on our platform, while enabling our lending partners and institutional investors to achieve an adequate return over their cost of funds, whether through their own balance sheets or through our loan funding programs;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successfully build our brand and protect our reputation from negative publicity;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the effectiveness of our marketing strategies, including our direct consumer marketing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to expand the number of potential borrowers;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successfully adjust our proprietary AI models, products and services in a timely manner in response to changing macroeconomic conditions and fluctuations in the credit market;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 with and successfully adapt to complex and evolving regulatory environments;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protect against increasingly sophisticated fraudulent borrowing and online theft;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new markets and introduce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effectively secure and maintain the confidentiality of the information received, accessed, stored, provided and used across our systems;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successfully obtain and maintain corporate funding and liquidity to support growth and for general corporate purposes;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realize the anticipated benefits of our acquisitions of or investments in complementary businesses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attract, integrate and retain qualified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successfully implement the reductions in workforce and achieve the anticipated cost reductions;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effectively manage and expand the capabilities of our operations teams, outsourcing relationships and other business operations.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not able to timely and effectively address these risks and difficulties as well as those described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our business and results of operations may be harmed.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has been and will continue to be adversely affected by economic conditions and other factors that we cannot control.</w:t>
      </w:r>
    </w:p>
    <w:p>
      <w:pPr>
        <w:spacing w:after="0" w:line="2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Uncertainty and negative trends in general economic conditions, including significant tightening of credit markets and periods of rising and/or high interest rates, historically have created a difficult operating environment for our industry. Many factors, including factors that are beyond our control, will impact our business, financial condition and results of operations by affecting the supply of capital by our lending partners and institutional investors to fund loans or the demand by borrowers to incur loan obligations or their ability or willingness to repay their loans. These factors include, but are not limited to, interest rates, inflation, unemployment levels, personal savings rates, the 2023 bank failures and resulting disruption in the banking sector, lower consumer confidence, reduced consumer discretionary spending, conditions in the housing market, immigration policies, gas prices, energy costs, government shutdowns, trade wars and delays in tax refunds, as well as events such as natural disasters, acts of war, geopolitical conflicts, terrorism, catastrophes and pandemics.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United States has recently experienced historically high levels of inflation. According to the U.S. Department of Labor, the annual inflation rate for the United States was approximately 3.7% as of September 2023. In response to high levels of inflation and recession fears, the U.S. Federal Reserve has raised, and may continue to raise, interest rates and implement fiscal policy interventions. Even if these interventions lower inflation, they may also reduce economic growth rates, create a recession, increase unemployment rates, contribute to bank failures and further disrupt the banking sector. Continuing economic uncertainty and the magnitude and duration of the resulting fluctuations in business activity cannot currently be estimated and has had several effects on our business and results of operations, including, among other things:</w:t>
      </w:r>
    </w:p>
    <w:p>
      <w:pPr>
        <w:spacing w:after="0" w:line="20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reduction in the availability of loan funding and liquidity from institutional investors and the capital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acceptance rates from borrowers;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reductions in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decreases in origination volumes on our platform;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the use of our balance sheet to fund Upstart-powered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the adoption of our AI platform by new lending partners;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for increased delinquencies and default rates for new and existing Upstart-powered loans.</w:t>
      </w:r>
    </w:p>
    <w:p>
      <w:pPr>
        <w:spacing w:after="0" w:line="23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periods of economic slowdown or recession, our current and potential institutional investors in our loan funding programs have reduced and may continue to reduce the number of loans or interest in loans they purchase or demand terms that are less favorable to us to compensate for any increased risks. For example, increasing interest rates caused, and may in the future cause, our lending partners and institutional investors in our loan funding programs to limit the amount of funding they wanted to provide on our platform for loans to borrowers, which reduced the volume of Upstart-powered loans we completed and therefore negatively impacted our revenue. In response to this constrained loan funding, we have increased, and may continue to increase, the use of our balance sheet to fund loans originated through our platform. This increase in the use of our balance sheet has diverted capital resources, increased our exposure to the changes in the fair value of such loans, and could result in losses if such loans held on our balance sheet default or we sell those loans at a loss. We have also secured multiple committed capital arrangements with institutional investors, which terms include risk sharing arrangements. See “</w:t>
      </w:r>
      <w:r>
        <w:rPr>
          <w:rFonts w:ascii="Arial" w:cs="Arial" w:eastAsia="Arial" w:hAnsi="Arial"/>
          <w:sz w:val="16"/>
          <w:szCs w:val="16"/>
          <w:i w:val="1"/>
          <w:iCs w:val="1"/>
          <w:color w:val="auto"/>
        </w:rPr>
        <w:t>Note 5. Beneficial Interests</w:t>
      </w:r>
      <w:r>
        <w:rPr>
          <w:rFonts w:ascii="Arial" w:cs="Arial" w:eastAsia="Arial" w:hAnsi="Arial"/>
          <w:sz w:val="16"/>
          <w:szCs w:val="16"/>
          <w:color w:val="auto"/>
        </w:rPr>
        <w:t>” for further information. A further reduction in the volume of the loans and loan financing products we sell would negatively impact our ability to maintain or increase the number of loans facilitated through our marketplace.</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Furthermore, many new consumers on the Upstart platform have poor, limited or no credit history. Accordingly, such borrowers have historically been, and may in the future be, disproportionately affected by adverse macroeconomic conditions, such as the disruption and uncertainty caused by the COVID-19 pandemic or a recession. For example, nearly all personal loans presently facilitated through our platform are issued with fixed interest rates. As interest rates rise, potential borrowers could seek to defer loans as they wait for interest rates to stabilize. As a result of these circumstances, borrowers may be discouraged from engaging with our platform and as a result, reduce the volume of Upstart-powered loans. Additionally, increased interest rates may adversely impact the spending levels of individual borrowers and their ability and willingness to borrow money. Higher interest rates often lead to higher payment obligations, which may reduce the ability of individual borrowers to remain current on their obligations and therefore, lead to increased delinquencies, defaults, customer bankruptcies and charge-offs, and decreasing recoveries, all of which could have a material adverse effect on our business. In addition, major medical expenses, unemployment, divorce, death or other issues that affect borrowers could affect a borrower’s willingness or ability to make payments on their loans. Recently, default rates on loans facilitated through our marketplace have increased. Increases in default rates increase our costs to service these loans without a corresponding increase in our servicing fees or other related fees. In addition, if we experience higher than expected default rates on loans held on our balance sheet, the value of those loans may decline. Higher default rates by borrowers may lead to lower demand by our lending partners and institutional investors to fund loans facilitated through our marketplace, which would adversely affect our business, financial condition and results of operations. Any sustained decline in demand for loans or loan financing products, or any increase in delinquencies, defaults or foreclosures that result from economic downturns, may harm our ability to maintain robust loan funding programs, which would adversely affect our business, financial condition and results of operations.</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 to monitor the ongoing economic conditions to assess possible implications to our business and to take appropriate actions in an effort to mitigate the adverse consequences of uncertainty or negative trends. However, there can be no assurances that initiatives we undertake will be sufficient or successful. If there is an economic downturn that affects our current and prospective borrowers or our lending partners and institutional investors, or if we are unable to address and mitigate the risks associated with any of the foregoing, our business, financial condition and results of operations could be adversely affected.</w:t>
      </w: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maintain diverse, consistent and robust loan funding programs with institutional investors, our growth prospects,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business depends on sourcing and maintaining diverse, consistent and robust loan funding programs to fund Upstart-powered loans that are not retained by our lending partners. In the nine months ended September 30, 2023, 34% of the loans funded through our platform were retained by our lending partners, and 53% of loans were purchased by institutional investors through our loan funding programs. Our loan funding programs include whole loan sales and pass-through certificate issuances to institutional investors, asset-backed securitization transactions, committed capital arrangements, and utilization of warehouse credit facilities. The availability and capacity of our loan funding sources depend on many factors that are outside of our control, such as capital markets and interest rate volatility, economic conditions and regulatory reforms. We cannot be sure that the existing funding sources will continue to be available, or any new funding source will become available, on reasonable terms or at all.</w:t>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recently experienced reductions in capital from certain funding sources due to concerns about the current macroeconomic environment, including rapidly rising interest rates, risk of increased loan default rates, recessionary concerns, and 2023 bank failures and resulting disruption in the banking sector. Such reductions in capital have resulted in, and could continue to result in, declines in revenue and transaction volume. In addition, we have utilized, and expect to continue utilizing, our balance sheet to support funding of loans that would otherwise be held by institutional investors. The increase in the percentage of loans held on our balance sheet has diverted capital resources, increased our exposure to the changes in the fair value of such loans and could result in losses if such loans held on our balance sheet default. Increases in the percentage of loans held on our balance sheet could further have these impacts and could adversely affect our business, financial condition and results of operations. In the event of continued reductions in capital, we may not be able to maintain the current loan volume without incurring substantially higher funding costs, which could adversely affect our business, financial condition and results of operations.</w:t>
      </w: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order to provide more stability in our loan funding programs, we recently secured committed capital arrangements with institutional investors, which are expected to deliver a significant amount of loan funding to the Upstart marketplace for the rest of this year and the beginning of next year. While we expect these arrangements to provide us with a more robust capital supply, the funding terms include risk sharing arrangements. In particular, we have agreed to compensate, subject to a limit, the committed capital investors if credit losses on the loans sold to them deviate from expectations. As of September 30, 2023, our capital at risk, which represents the maximum exposure to losses, under these arrangements was $66.1 million. The potential amount of our capital, to be realized over time, ranges between $0 to $138.9 million, depending on the actual future performance of the loans sold under these arrangements. See “</w:t>
      </w:r>
      <w:r>
        <w:rPr>
          <w:rFonts w:ascii="Arial" w:cs="Arial" w:eastAsia="Arial" w:hAnsi="Arial"/>
          <w:sz w:val="16"/>
          <w:szCs w:val="16"/>
          <w:i w:val="1"/>
          <w:iCs w:val="1"/>
          <w:color w:val="auto"/>
        </w:rPr>
        <w:t>Note 5. Beneficial Interests</w:t>
      </w:r>
      <w:r>
        <w:rPr>
          <w:rFonts w:ascii="Arial" w:cs="Arial" w:eastAsia="Arial" w:hAnsi="Arial"/>
          <w:sz w:val="16"/>
          <w:szCs w:val="16"/>
          <w:color w:val="auto"/>
        </w:rPr>
        <w:t>” for more information. These types of terms could negatively impact our financial results. We may also experience declines in revenue and loan volume if the existing committed capital investors do not provide funding on the agreed upon terms or we fail to secure additional committed capital arrangements in the future on reasonable terms or at all.</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events of default or breaches of financial, performance or other covenants, or worse than expected performance of certain pools of loans underpinning our pass-through certificate transactions, asset-backed securitizations or other debt facilities, could limit our access to funding from institutional investors. The funding arrangements that we enter into during a high interest rate environment, such as the committed capital arrangements, may become more costly during periods with lower interest rates if such arrangements remain through a full economic cycle.</w:t>
      </w:r>
    </w:p>
    <w:p>
      <w:pPr>
        <w:spacing w:after="0" w:line="19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our existing lending partners cease or limit operations with us or if we are unable to attract and onboard new lending partners, our business, financial condition and results of operations will be adversely affected.</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success depends in significant part on the participation of our lending partners in our marketplace. In the nine months ended September 30, 2023, 109% of our total revenue was generated from platform, referral and servicing fees that we receive from our lending partners. Our lending partners may suspend, limit or cease their participation in our marketplace for a number of reasons. For example, several of our lending partners have recently paused or reduced loan origination in order to limit their exposure to consumer loans in the current macroeconomic environment. In addition, the recent bank failures in 2023 and resulting disruption in the banking sector may limit our ability to attract new lending partners and may cause existing lending partners to reduce loan originations on our platform. If our lending partners continue to suspend, limit or cease their operations or otherwise terminate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relationships with us, the number of loans facilitated through our platform will decrease and our revenue will be adversely affected. Moreover, our sales and onboarding process with new lending partners can be long and unpredictable. If we are unable to timely onboard our lending partners, or if our lending partners are not willing to work with us to complete a timely onboarding process, our results of operations could be adversely affected.</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have entered into separate agreements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In June 2022, the Consumer Financial Protection Bureau, or CFPB, Deputy Director indicated that relationships between banks and nonbank lenders, such as our lending partnerships, will be an area of increased regulatory focus for the agency in the near future. Previously, we received a no-action letter regarding the use of our Al model to underwrite and price unsecured closed-end loans. Our no-action letter was terminated upon our request in June 2022 to prevent delays from seeking regulatory approval of updates to our AI models. As a result, we can provide no assurance that the CFPB or any other federal or state regulator will not take supervisory or enforcement action against us in the future. The Office of the Comptroller of the Currency, or OCC, the prudential regulator for national banks operating in the United States, recently announced that it will be prioritizing the review of third-party relationships between banks and financial technology companies like us as part of the agency’s bank supervisory priorities for the upcoming calendar year. The threat of increased scrutiny from the CFPB, the OCC and other regulators of our lending partners has caused and could continue to cause some of our lending partners to pause, limit or cease their participation in our lending marketplace or to not renew their agreements with us. If additional lending partners stop working with us, suspend, limit or cease their operations or otherwise terminate their relationship with us, the number of loans facilitated through our platform will decrease and our revenue will be adversely affected. Moreover, we could in the future have disagreements or disputes with any of our lending partners, which could negatively impact or threaten our relationship with them. In our agreements with lending partners, we make certain representations and warranties and covenants concerning our compliance with specific policies of a lending partner, our compliance with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our lending partners may retain loans for their own customer base and balance sheet. In general, lending partners can fund loans at lower rates due to the lower cost of funds available to them from their deposit base than is otherwise available in the broader institutional investment markets. Accordingly, loans retained by the lending partners generally carry lower interest rates for borrowers, which leads to better conversion rates and faster growth for our platform. Separately, as our number of lending partners grows, such lending partners will increasingly source new prospective borrowers from their own existing customer base and provide an incremental channel to attract borrowers. If we are unable to attract new lending partners or if we are unable to maintain or expand the number of loans held on their balance sheets, our financial performance would suffer.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net losses, and we may not be able to achieve profitability in the future.</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nine months ended September 30, 2023, we incurred a net loss of $197.7 million. We intend to continue to expend significant funds to continue to develop and improve our proprietary AI models, spend on marketing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expect to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from being profitable. If we are unable to successfully address these risks and challenges as we encounter them, our business, financial condition and results of operations could be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growth rate and financial performance in prior periods may not be indicative of future performance.</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grew rapidly in the past, and our historical revenue growth rate and financial performance may not be indicative of our future performance. Our revenue for any previous quarterly or annual periods should not be relied upon as any indication of our revenue or revenue growth in future periods. In fact, our revenue declined during the nine months ended September 30, 2023. Our revenue may continue to decline in future periods for a number of reasons, which may include: adverse macroeconomic conditions, changing interest rates, slowing demand for or reduced funding through our lending marketplace offerings and services, sales of loans held on our balance sheet at a loss, increasing competition, credit market volatility, increasing regulatory costs and challenges and our failure to capitalize on growth opportunities.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our growth in the past has been driven in large part by our AI models and our continued improvements to our AI models. Future incremental improvements to our AI models may not lead to the same level of growth as in past periods.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such as auto loans, may cause fluctuations of such percentage from period to period depending on the loan offering mix. As a result of these factors, our revenue growth rates may further decline, and our financial performance may continue to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quarterly results of operations, including the levels of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spacing w:after="0" w:line="63" w:lineRule="exact"/>
        <w:rPr>
          <w:sz w:val="20"/>
          <w:szCs w:val="20"/>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conditions, including economic slowdowns, recessions, interest rate changes, inflation, tightening of credit markets, 2023 bank failures and resulting disruption in the banking sector;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cost of borrowing money and access to loan funding 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new lending partners and institutional investors of our loan funding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lending partners and institutional investors of our loan funding programs;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or increase loan volumes, and improve loan mix and the channels through which the loans, lending partners and loan funding are sourced;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effective relationships with loan aggregators from which prospective borrowers access our website;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improvements to our AI models that negatively impact transaction volume, such as lower approval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identify and prevent fraudulent activity and the impact of fraud prevention measures;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fair value of assets and liabilities on our balance sheet;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success of new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effectiveness of our direct marketing and other marketing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maintaining and expanding our business, operations and infrastructure, including acquiring new and maintaining existing lending partners and institutional investors and attracting borrowers to our platform;</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and extent of loans facilitated on our platform that are subject to loan modifications and/or temporary assistance due to disasters or emergencies;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and extent of prepayments of loans facilitated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 or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involvement in litigation or regulatory enforcement efforts (or the threat thereof) or those that impact our industry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length of the onboarding process related to acquisitions of new lending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 or the development of competitive products by larger well-funded incumbents.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government stimulus programs provided to individuals in response to the COVID-19 pandemic have obscured this seasonality in our overall financial results, we expect our results of operations to continue to be affected by such seasonality in the future because the COVID-19 government stimulus programs have ended. Such seasonality and other fluctuations in our quarterly results may also adversely affect and, increase the volatility of, the trading price of our common stock.</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ability to attract potential borrowers to our platform and increase the number of Upstart-powered loans depend in large part on our ability to effectively evaluate a borrower’s creditworthiness and likelihood of default and, based on that evaluation, offer competitively priced loans and higher approval rates. Our overall operating efficiency and margins further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lending partners and institutional investors to our lending marketplace, increase the number of Upstart-powered loans or maintain or increase the average size of loans facilitated on our platform.</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Additionally, errors or inaccuracies in our AI models could result in any person exposed to the credit risk of Upstart-powered loans, whether it be us, our lending partners or institutional investors in our loan funding programs, experiencing higher than expected losses or lower than desired returns, which could impair our ability to retain existing or attract new lending partners and institutional investors to participate in our loan funding programs, reduce the number, or limit the types, of loans lending partners and institutional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Continuing to improve the accuracy of our AI models is central to our business strategy. However, such improvements could negatively impact transaction volume, such as by lowering approval rates. For example, in the third quarter of 2021, we made changes to our AI models in response to an increase in fraudulent activity on our platform. These changes, while effective at preventing fraudulent loans from being transacted, have resulted, and may in the future result in, a decrease in our Conversion Rate. While we believe that continuing to improve the accuracy of our AI models is key to our long-term success, those improvements could, from time to time, lead us to reevaluate the risks associated with certain borrowers, which could in turn result in lower approval rates or higher interest rates for any borrowers identified as a higher risk, either of which could negatively impact our growth and results of operations in the short term.</w:t>
      </w:r>
    </w:p>
    <w:p>
      <w:pPr>
        <w:spacing w:after="0" w:line="21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performance of loans facilitated by our platform is significantly dependent on the effectiveness of our proprietary AI models used to evaluate a borrower’s credit profile and likelihood of default. While our AI models are continually adjusted to account for certain macroeconomic conditions, the bulk of the data gathered and the development of our AI models have largely occurred during a period of sustained economic growth or during the COVID-19 pandemic when extraordinary government stimulus impacted the economy. Our AI models have not been extensively tested during other adverse economic cycles. There is no assurance that our AI models can accurately predict loan performance during periods of adverse economic conditions. If our AI models are unable to accurately reflect the credit risk of loans under such economic conditions, our lending partners, institutional investors in our loan funding programs and we may experience greater than expected losses on such loans, which would harm our reputation and erode the trust we have built with our lending partners and institutional investors in our loan funding programs. For example, in response to the COVID-19 pandemic, the federal government quickly implemented stimulus measures. The subsequent discontinuation of those stimulus measures has increased, and may continue to increase, the delinquency and default rates of borrowers of Upstart-powered loans, which has increased uncertainty about the effectiveness of our AI models among lending partners, institutional investors and others. In addition, we consider credit performance to be one of the most important measures of the effectiveness of our AI models and focus on credit performance compared to the expectations of our lending partners or institutional investors at the time of origination. For loans purchased by institutional investors, our 2021 through mid-2022 vintages have underperformed relative to target returns. Moreover, the fair value of the loans on our balance sheet has declined in the quarter ended September 30, 2023 and may decline in future down-cycle economic conditions. Any of these factors could adversely affect our business, financial condition and results of operations.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UMI is our effort to quantify the level of macroeconomic risks in terms of the losses or defaults within Upstart-powered loan portfolios. UMI is at an early stage of its development and does not have a long history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track record. Since it is a new initiative, UMI remains unproven and, therefore, may not perform as expected. We intend to continue our research and development efforts to improve UMI, and we expect that such efforts could result in changes or revisions to current or past UMI values. Any significant changes or revisions could harm our reputation and credibility with our lending partners and institutional investors, which in turn could adversely affect our business, financial condition and results of operations.</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Furthermore, the correlation between UMI and the level of macroeconomic risks in terms of losses or defaults within Upstart-powered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This outcome could adversely affect our reputation and credibility with our lending partners and institutional investors and thus, negatively impact our business, financial condition and results of operations.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UMI is based on our analysis of the losses within Upstart-powered loan portfolios and is specific to our borrower base. UMI is not intended to measure the macroeconomic risks in terms of losses of loan portfolios or asset classes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 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Upstart-powered loans that our lending partners and institutional investors are willing to fund. Any failure to manage the foregoing risks could adversely affect our ability to maintain a diverse and robust loan funding program, which in turn would negatively impact our business, financial condition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Our securitizations, committed capital arrangements,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or committed capital arrangements in the future. This may result in the reduced supply of loan funding capital or require us to seek more costly financing for our marketplace.</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facilitated securitizations, and may in the future facilitate additional securitizations, of certain Upstart-powered loans to allow certain of our lending partners, whole loan purchasers, pass-through certificate buyers and ourselves to liquidate such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and/or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pass-through certificates buyers and certain lending partners who contribute loans to the transactions receive cash and/or securities representing debt and/or equity interests in such SPE, which are the proceeds from the sale of the securities. When we sponsor securitizations, we are required under Regulation RR to retain at least five percent of the credit risk in such transactions for a specific period of time, depending on the type of asset that is securitized. We also may choose to retain additional securities, such as notes or certificates, issued in asset-backed securitization transactions we sponsor or facilitate. The certificates represent residual equity interests in the SPEs and are subordinated to the notes and thus are exposed to greater credit risk.</w:t>
      </w: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periods of market volatility and economic uncertainty brought on by the COVID-19 pandemic in 2020, rapidly rising interest and inflation rates and recessionary concerns in 2022 and the bank failures in 2023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resulting disruption of the banking sector, the securitization market has been constrained. As a result, we have experienced less demand for the asset-backed securities secured by Upstart-powered loans. In 2023, we acted as a retaining sponsor to asset-backed securitizations and, in one instance, retained not only the securities required for risk retention purposes under Regulation RR, but also additional residual equity interests, exposing us to greater credit risk. The securities we retain may lose value, including becoming worthless. In the future, we may retain securities issued as part of our securitizations beyond risk retention requirements again. In addition, other matters, such as capital and leverage requirements applicable to banks and other regulated financial institutions holding asset-backed securities or increasing competition from other issuers of asset-backed securities, could negatively impact our business by decreasing institutional investor demand for securities issued through our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may be materially adversely affected.</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gain on sale and related servicing fees generated by our whole loan sales, and the servicing fees based on sales of asset-backed securities, also represent a material portion of our earnings. We cannot assure you that our loan purchasers will continue to purchase loans or securities (either through whole loan sales or asset-backed securities) or that they will continue to purchase loans in transactions that generate the same spreads and/or fees that we have historically obtained. During the nine months ended September 30, 2023, we sold loans that had been originated in an earlier, lower interest rate environment. We recognized losses on these sales which reduced our revenue. As we hold more loans on our balance sheet, or hold these loans for longer periods and interest rates rise, our business, financial condition and results of operation could be adversely affected, including further reductions in revenue. Factors that may affect loan purchaser demand for loans include:</w:t>
      </w:r>
    </w:p>
    <w:p>
      <w:pPr>
        <w:spacing w:after="0" w:line="69" w:lineRule="exact"/>
        <w:rPr>
          <w:sz w:val="20"/>
          <w:szCs w:val="20"/>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competition in the whole loan sales markets where we compete with loan originators who can sell either larger loan portfolios or loans that have characteristics, pricing and terms that may be perceived to be more desirable to certain loan purchasers or institutional investors than those offered in Upstart-powered loans that comprise our whole loan sales;</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servicing fees and other expenses may reduce overall net return on purchased pools of loans;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actual or perceived credit performance and loan grade and term mix of the portfolios of loans offered for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loan purchasers’ sector and company investment diversification requirements and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yielding investment opportunities at a risk profile deemed similar to our sold loan portfolios;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borrower prepayment behavior within the underlying pools;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investment practices related to maintaining net asset value, mark-to-market and similar metrics surrounding pools of purchased loans; and</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loan purchasers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Potential institutional investors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increased, institutional loan investors reduced the prices they were willing to pay to purchase certain loans we held which had been originated during an earlier, lower interest rate environment,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connection with our committed capital arrangements, we have agreed to compensate, subject to a limit, the committed capital investors if credit losses on the loans sold to them deviate from expectations. As of September 30, 2023, our capital at risk, which represents the maximum exposure to losses, under these arrangements was $66.1 million. The potential amount of our capital, to be realized over time, ranges between $0 to $138.9 million, depending on the actual future performance of the loans sold under these arrangements. See “</w:t>
      </w:r>
      <w:r>
        <w:rPr>
          <w:rFonts w:ascii="Arial" w:cs="Arial" w:eastAsia="Arial" w:hAnsi="Arial"/>
          <w:sz w:val="16"/>
          <w:szCs w:val="16"/>
          <w:i w:val="1"/>
          <w:iCs w:val="1"/>
          <w:color w:val="auto"/>
        </w:rPr>
        <w:t>Note 5. Beneficial Interests</w:t>
      </w:r>
      <w:r>
        <w:rPr>
          <w:rFonts w:ascii="Arial" w:cs="Arial" w:eastAsia="Arial" w:hAnsi="Arial"/>
          <w:sz w:val="16"/>
          <w:szCs w:val="16"/>
          <w:color w:val="auto"/>
        </w:rPr>
        <w:t>” for more information. These types of terms could negatively impact our financial results. We may also experience declines in revenue and loan volume if the existing committed capital investors do not provide funding on the agreed upon terms or we fail to secure additional committed capital arrangements on reasonable terms or at all.</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also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which could adversely affect our business, financial condition and results of operations.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Cross River Bank and one other lending partner account for a substantial portion of the total number of loans facilitated by our platform and our revenue.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Cross River Bank, or CRB, a New Jersey-chartered community bank, originates a majority of the loans on our platform. In the nine months ended September 30, 2022 and 2023, CRB originated 52% and 38%, respectively, of the Transaction Volume, Number of Loans. CRB also accounts for a large portion of our revenues. In the nine months ended September 30, 2022 and 2023, fees received from CRB accounted for 47% and 30%, respectively, of our total revenue. CRB retains a proportion of the loans they originate on their own balance sheet, and sells the remainder of the loans to us, which we in turn sell to institutional investors, sell to our warehouse trust special purpose entities or retain on our balance sheet. Our most recent commercial arrangement with CRB began on January 1, 2019 and has a term of four years with an automatic renewal provision for an additional two years following the initial four-year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originate and/or retain on its balance sheet. We or CRB may terminate our arrangement immediately upon a material breach by the other party and failure to cure such breach within a cure period, if any representations or warranties are found to be false and such error is not cured within a cure period, bankruptcy or insolvency of either party, receipt of an order or judgment by a governmental entity, a material adverse effect, or a change of control whereby such party involved in such change of control provides 90 days’ notice to the other and payment of a termination fee of $450,000. If we are unable to continue to increase the number of other lending partners on our platform or if CRB or one of our other lending partners were to suspend, limit or cease their operations or otherwise terminate their relationship with us, our business, financial condition and results of operations would be adversely affected.</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both the nine months ended September 30, 2022 and 2023, one other lending partner originated 36% and 35% of the Transaction Volume, Number of Loans. In the nine months ended September 30, 2022 and 2023, the fees received from this lending partner accounted for 29% and 31% of our total revenue, respectively.</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sales and onboarding process of new lending partners could take longer than expected, leading to fluctuations or variability in expected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lending model often involves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partners will begin using our platform and the volume of fees we will receive, which can lead to fluctuations in our revenues and results of operations.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duration and extent to which the resulting macroeconomic consequences of the COVID-19 pandemic and related government assistance programs will impact our future results of operations and overall financial performance remains uncertain.</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global macroeconomic effects of the COVID-19 pandemic and related government assistance programs and their impacts on our business may persist for an indefinite period. The federal government’s stimulus measures taken in response to the COVID-19 pandemic have contributed to higher inflation, resulting in higher interest rates. The subsequent termination of these government stimulus measures reduced the ability of some individual borrowers to remain current on their obligations which we believe led to increased delinquencies, defaults, customer bankruptcies and charge-offs and decreasing recoveries for loans facilitated through the Upstart marketplace. The continued rise in default rates, delinquencies, customer bankruptcies or charge-offs have led, and may continue to lead, to lower demand by our lending partners to originate, and institutional investors to fund, loans facilitated through our marketplace, which would have an adverse effect on our business. If we are unable to improve our AI platform to account for the resulting macroeconomic impacts of the COVID-19 pandemic and of the related creation and discontinuation of the government assistance programs, or if our AI platform is unable to more successfully predict the creditworthiness of potential borrowers compared to other lenders, then our business, financial condition and results of operations could be adversely affected.</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magnitude and duration of the fluctuations in business activity caused by the macroeconomic consequences of the COVID-19 pandemic and related government assistance programs cannot currently be estimated with any degree of certainty and has had several effects on our business and results of operations, including, among other things:</w:t>
      </w:r>
    </w:p>
    <w:p>
      <w:pPr>
        <w:spacing w:after="0" w:line="21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decreases in origination volumes on our platform;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for increased losses for new and existing Upstart-powered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acceptance rates from borrowers;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reduction in the availability of loan funding and liquidity from institutional investors and the capital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restricted sales operations and marketing efforts, and a reduction in the effectiveness of such efforts in some cases.</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legal and regulatory environment surrounding our AI lending marketplace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Since we launched our AI lending marketplace, we have been proactively working with the federal government and regulatory bodies to ensure that our AI lending marketplace and other services are in compliance with applicable laws and regulations. For example, after significant collaboration with the Consumer Financial Protection Bureau, or CFPB, the CFPB issued Upstart the first no-action letter in 2017, which provided that the CFPB would not take supervisory or enforcement action against Upstart for a violation of the Equal Credit Opportunity Act (ECOA). Upon its expiration, we received a second no-action letter regarding the use of our Al model to underwrite and price unsecured closed-end loans. In June 2022, the second no-action letter was terminated upon our request. Our requested termination was driven by a need to keep our models accurate and updated during a period of significant economic change. As a result, we can provide no assurance that the CFPB or any other federal or state regulator will not take supervisory or enforcement action against us in the future.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marketplace, any of which could adversely affect our business, financial condition and results of operations.</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Recent financial, political and other events, including the 2023 bank failures and the resulting disruption in the banking sector,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April 2022, the CFPB announced that it intends to examine nonbank financial companies that pose risks to consumers, and in November 2022, the Treasury Department issued a report encouraging the CFPB to increase its supervisory activity with respect to larger nonbank lenders. In July 2023, the CFPB Director Chopra announced that the agency had already begun supervision of at least three nonbank fintech companies. If the CFPB decides to subject us to its supervisory process, it could significantly increase the level of regulatory scrutiny of our business practices. In addition, the Biden Administration recently announced a government-wide effort to eliminate “junk fees” which could subject our business practices to even further scrutiny. The CFPB’s action on junk fees thus far has largely focused on fees associated with deposit products, such as “surprise” overdraft fees and not-sufficient-funds fees, that are not within scope of Upstart’s products or services. However, what constitutes a “junk fee” remains undefined. The CFPB has called out other fees, such as pay-to-pay fees charged by debt collectors, and is actively soliciting consumer input on fee practices associated with other consumer financial products or services, signaling that the “junk fee” initiative is likely to continue to broaden in scope. While Upstart believes that the costs it charges are reasonable under the circumstances and does not charge any fees that have been scrutinized by the CFPB thus far, we expect that we would still be subject to some additional scrutiny should the “junk fee” initiative expands to include fees directly associated with consumer lending products.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Moreover, the CFPB has issued several interpretive statements and guidance documents that could impact our business practices including, but not limited to, a May 2022 statement on compliance obligations under ECOA for companies that rely on complex algorithms when making credit decisions. The CFPB also issued an interpretive rule expanding states’ authority to enforce requirements of federal consumer financial laws, including ECOA. State regulators have also increased the level of regulatory scrutiny on financial technology companies. For example, the State of Maryland initiated an enforcement action against a financial technology company and its bank partner for unlicensed lending within the state. Moreover, as noted above, the OCC has also indicated that it intends to use its supervisory authority to review bank third-party relationships with financial technology companies including a review of third-party business practices that could pose a risk of potential consumer harm that could impact the safety and soundness of the banks subject to agency supervision. Should the agency examine any of our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partners, such examinations would, more than likely, involve a review of our business practices to determine whether they pose a risk to the safety and soundness of those lending partners.</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been subject to governmental inquiries as well. See the risk factor titled “—</w:t>
      </w:r>
      <w:r>
        <w:rPr>
          <w:rFonts w:ascii="Arial" w:cs="Arial" w:eastAsia="Arial" w:hAnsi="Arial"/>
          <w:sz w:val="16"/>
          <w:szCs w:val="16"/>
          <w:i w:val="1"/>
          <w:iCs w:val="1"/>
          <w:color w:val="auto"/>
        </w:rPr>
        <w:t>We have been in the past and may in the future be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federal and state regulatory inquiries regarding our business</w:t>
      </w:r>
      <w:r>
        <w:rPr>
          <w:rFonts w:ascii="Arial" w:cs="Arial" w:eastAsia="Arial" w:hAnsi="Arial"/>
          <w:sz w:val="16"/>
          <w:szCs w:val="16"/>
          <w:color w:val="auto"/>
        </w:rPr>
        <w:t>” for more information. Any government investigations or inquiries, whether or not accurate</w:t>
      </w:r>
      <w:r>
        <w:rPr>
          <w:rFonts w:ascii="Arial" w:cs="Arial" w:eastAsia="Arial" w:hAnsi="Arial"/>
          <w:sz w:val="16"/>
          <w:szCs w:val="16"/>
          <w:i w:val="1"/>
          <w:iCs w:val="1"/>
          <w:color w:val="auto"/>
        </w:rPr>
        <w:t xml:space="preserve"> </w:t>
      </w:r>
      <w:r>
        <w:rPr>
          <w:rFonts w:ascii="Arial" w:cs="Arial" w:eastAsia="Arial" w:hAnsi="Arial"/>
          <w:sz w:val="16"/>
          <w:szCs w:val="16"/>
          <w:color w:val="auto"/>
        </w:rPr>
        <w:t>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Substantially all of our revenue is derived from a single loan product, and we are thus particularly susceptible to fluctuations in the unsecured personal loan market. We also do not currently offer a broad suite of products that lending partners may find desirable.</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expanded the type of loan products offered on our platform to include auto loans and continue to invest in developing new loan products, the vast majority of loan originations currently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lending partners may in the future seek partnerships with competitors that are able to offer them a broader array of credit products. Over time, in order to preserve and expand our relationships with our existing lending partners, and enter into new lending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effectively manage our growth, our business, financial condition and results of operations could be adversely affected.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Over the last several years, we experienced rapid growth in our business. Our rapid growth during that time placed significant demands on our management, processes and operational, technological and financial resources. More recently, economic headwinds in 2022 led to us announcing reductions in our workforce in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January 2023 which were intended to help us achieve a more cost-efficient organization. These fluctuations in the momentum of our business challenge our ability to manage our growth 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As part of that effort and from time to time, we rely on temporary independent contractor programs to scale our operations team. Failure to effectively implement and manage such programs could result in misclassification or other employment related claims or inquiries by governmental agencies. Continued fluctuations in the momentum of our business will strain our ability to develop and improve our operational, technological, financial and management controls, enhance our reporting systems and procedures, recruit, train and retain highly skilled personnel and maintain user satisfaction. For example, there are certain aspects of our information technology and our operations, such as servicing activities, that have required, and still require, manual processes which are prone to errors and that we have not yet fully automated with new technologies. Some of foregoing factors, like the manual processes, have negatively affected, and could continue to negatively affect, our business, financial condition and results of operations. See also the risk factor titled “</w:t>
      </w:r>
      <w:r>
        <w:rPr>
          <w:rFonts w:ascii="Arial" w:cs="Arial" w:eastAsia="Arial" w:hAnsi="Arial"/>
          <w:sz w:val="17"/>
          <w:szCs w:val="17"/>
          <w:i w:val="1"/>
          <w:iCs w:val="1"/>
          <w:color w:val="auto"/>
        </w:rPr>
        <w:t>—We depend on our key personnel and other highly skilled personnel, and if we fail to attract, retain and motivate our personnel,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financial condition and results of operations could be adversely affected.”</w:t>
      </w:r>
    </w:p>
    <w:p>
      <w:pPr>
        <w:spacing w:after="0" w:line="202"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introduced auto loan, small dollar loan, and home equity lines of credit products and are continuing to invest in developing these products and other new loan products and service offerings.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our small business loan product when we decided to suspend its development in January 2023 due to the adverse macroeconomic conditions affecting our business at that time. If the profile of borrowers using any new products and services is different from that of those currently served by our existing loan products, our AI models may not be able to accurately evaluate the credit risk of such borrowers, and our lending partners and institutional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reputation and brand are important to our success, and if we are unable to continue developing our reputation and brand, our ability to retain existing and attract new lending partners, our ability to attract borrowers to our platform, our ability to maintain a diverse funding marketplace and our ability to maintain and improve our relationship with regulators of our industry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maintaining a strong brand and trustworthy reputation is critical to our success and our ability to attract borrowers to our platform, attract new lending partners, maintain a diverse funding marketplace and sustain good relations with regulators. Factors that affect our brand and reputation include: perceptions of artificial intelligence, our industry and our company, including the quality and reliability of our AI lending marketplace; the accuracy of our AI models; characterizations of our company as a traditional lending company due to the amount of loans held on our balance sheet; perceptions regarding the application of artificial intelligence to consumer lending specifically and that algorithmic lending is inherently biased;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20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high-rate, small-dollar lending programs. Bank regulators have even required banks to exit third-party programs that the regulators determined involved unsafe and unsound practices. The payday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high-rate,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lending partners to reduce their origination volumes or terminate their arrangements with us, impede our ability to attract new lending partners or delay the onboarding of lending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2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marketplace if there is enough negative perception surrounding such practices. We may also become subject to lawsuits, including class action lawsuits, or other challenges such as government enforcement or arbitration, against our lending partners or us for loans originated by our lending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Artificial intelligence and related technologies are subject to public debate and heightened regulatory scrutiny. The CFPB Director recently indicated that artificial intelligence remains a regulatory hot topic for the agency including the use of complex credit scoring models as part of the loan underwriting process. The agency has taken several steps to increase regulatory scrutiny of financial technology companies that rely on artificial intelligence. In April 2023, the FTC, DOJ, CFPB, and EEOC released a joint statement on artificial intelligence demonstrating their interest in monitoring the development and use of automated systems and enforcement of their respective laws and regulations. Any negative publicity or negative public perception of artificial intelligence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lending marketplace, may harm our ability to attract prospective borrowers to our platform, retain existing and attract new lending partners and achieve regulatory acceptance of our business.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models and requesting that the 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models, including, but not limited to, its use of educational variables, and to engage a neutral third-party firm to perform periodic fair lending assessments over a two-year period. In accordance with the terms of the agreement, we engaged Relman Colfax LLC, or Relman, as a neutral third-party firm, and provided data to conduct fair lending testing of our underwriting models. The fair lending testing was designed to assess lending outcomes from our underwriting models to determine if the models caused or resulted in a disparate impact on any protected class, and if so, whether there were less discriminatory alternative practices while maintaining the models’ predictiveness. Most recently, in September 2022, Relman published its third public report that summarized its findings, recommendations and best practices, as well as any aspects of our AI models that raise particular fair lending concerns or implicate novel insights on educational equity that serve the public interest. While we have input on Relman’s reports and the agreement provides that Relman and the parties to the agreement will collaborate to reach agreement on any recommendations, we may disagree with Relman, the LDF or the SBPC regarding the contents of the reports or particular recommendations that were made, the manner in which they should be implemented, if at all, or whether they would maintain the predictiveness of our AI models or meet any other legitimate business needs of Upstart. If we do not implement Relman’s recommendations, the LDF and/or the SBPC could terminate the agreement with us. If Relman’s reports are viewed negatively for any reason, or Relman terminates its agreement with us and/or the agreement with the LDF and/or the SBPC is terminated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or the SBPC, including the reports published by Relman, could lead to additional regulatory scrutiny for our lending partners.</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been subject to other governmental inquiries on this topic. See the risk factor titled “</w:t>
      </w:r>
      <w:r>
        <w:rPr>
          <w:rFonts w:ascii="Arial" w:cs="Arial" w:eastAsia="Arial" w:hAnsi="Arial"/>
          <w:sz w:val="18"/>
          <w:szCs w:val="18"/>
          <w:i w:val="1"/>
          <w:iCs w:val="1"/>
          <w:color w:val="auto"/>
        </w:rPr>
        <w:t>—We have been in the past and may in the future be</w:t>
      </w:r>
      <w:r>
        <w:rPr>
          <w:rFonts w:ascii="Arial" w:cs="Arial" w:eastAsia="Arial" w:hAnsi="Arial"/>
          <w:sz w:val="18"/>
          <w:szCs w:val="18"/>
          <w:color w:val="auto"/>
        </w:rPr>
        <w:t xml:space="preserve"> </w:t>
      </w:r>
      <w:r>
        <w:rPr>
          <w:rFonts w:ascii="Arial" w:cs="Arial" w:eastAsia="Arial" w:hAnsi="Arial"/>
          <w:sz w:val="18"/>
          <w:szCs w:val="18"/>
          <w:i w:val="1"/>
          <w:iCs w:val="1"/>
          <w:color w:val="auto"/>
        </w:rPr>
        <w:t>subject to federal and state regulatory inquiries regarding our business</w:t>
      </w:r>
      <w:r>
        <w:rPr>
          <w:rFonts w:ascii="Arial" w:cs="Arial" w:eastAsia="Arial" w:hAnsi="Arial"/>
          <w:sz w:val="18"/>
          <w:szCs w:val="18"/>
          <w:color w:val="auto"/>
        </w:rPr>
        <w:t>” for more information. Negative public perception, actions by advocacy groups or</w:t>
      </w:r>
      <w:r>
        <w:rPr>
          <w:rFonts w:ascii="Arial" w:cs="Arial" w:eastAsia="Arial" w:hAnsi="Arial"/>
          <w:sz w:val="18"/>
          <w:szCs w:val="18"/>
          <w:i w:val="1"/>
          <w:iCs w:val="1"/>
          <w:color w:val="auto"/>
        </w:rPr>
        <w:t xml:space="preserve"> </w:t>
      </w:r>
      <w:r>
        <w:rPr>
          <w:rFonts w:ascii="Arial" w:cs="Arial" w:eastAsia="Arial" w:hAnsi="Arial"/>
          <w:sz w:val="18"/>
          <w:szCs w:val="18"/>
          <w:color w:val="auto"/>
        </w:rPr>
        <w:t>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Misconduct and errors by our employees, former employees, vendors, or service providers could harm our reputation and subject us to significant legal liability.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If any of our employees, vendors or service providers engage in illegal, improper, or suspicious activity or other misconduct, we could suffer serious harm to our reputation, financial condition, relationships with lending partners and borrowers, and our ability to attract new lending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lending partners, approval rates, model efficiency, speed and simplicity of loan origination, ease-of-use, marketing expertise, service levels, products and services, technological capabilities and integration, borrower experience, brand and reputation, and terms available to our loan funding institutional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institutional investor bases than we have, greater capacity to fund loans through their balance sheets, and more extensive product and service offerings than we have.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business is heavily concentrated in U.S. consumer credit, and therefore our results are more susceptible to fluctuations in that market than a more diversified company.</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19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we cover certain fraud losses of our lending partners and institutional investors in our loan funding programs. For example, in the third quarter of 2021 and the first quarter of 2022, we experienced temporary increases in fraudulent activity. Fraud rates could also increase in a down-cycle economy. We are also subject to risk of fraudulent activity associated with our own employees.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In addition, our lending partners, institutional investors in our loan funding programs or we may not be able to recover amounts disbursed on loans made in connection with inaccurate statements, omissions of fact or fraud, which could erode the trust in our brand and negatively impact our ability to attract new lending partners and institutional investors in our loan funding programs.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fail to achieve the expected cost savings and related benefits from our reduction in workforce initiated in November 2022 and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November 2022, we announced a plan to reduce our workforce on our Operations Onboarding team to enable us to help achieve a more cost-efficient organization, which resulted in reducing headcount by 7%. In January 2023, we announced another plan to reduce our workforce by 20% to reduce operating costs, streamline operations and return Upstart to profitability.</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fail to effectively execute on, or achieve the stated goals of, the reductions in workforce. Our plans may also change as we continue to refocus on reducing operating costs, streamlining operations and returning our business to profitability. These actions may take more time than we currently estimate and we may not be able to achieve the cost-efficiencies sought. In addition, the reduction in workforce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goals.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success significantly depends on the continued service of our senior management team, including Dave Girouard, our Co-Founder and Chief Executive Officer, and Paul Gu, our Co-Founder and Chief Technology Officer, and other highly skilled personnel. Our success also depends on our ability to identify, hire, develop, motivate and retain highly qualified personnel for all areas of our organization.</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Competition for highly skilled personnel, including engineering and data analytics personnel, is extremely intense,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we have reduced our workforce in November 2022 and January 2023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conditions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and incidents compromising borrowers’ confidential information that we store may harm our reputation, adversely affect our results of operations and expose us to liability.</w:t>
      </w:r>
    </w:p>
    <w:p>
      <w:pPr>
        <w:spacing w:after="0" w:line="1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lending partners, loan institutional investors, or by malicious third parties. While we continuously refine our security controls to address the evolving threat landscape,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These risks may be heightened in connection with geopolitical conflicts.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Digital First working environment could increase the risks of security breaches and incidents. Significant disruptions of our, our lending partners and third-party vendors’ and/or other business partners’ information technology systems or other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or incident, whether actual or perceived, would harm our reputation and ability to attract new borrowers to our platform.</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face indirect technology, cybersecurity and operational risks relating to the borrowers, lending partners, institutional investors, vendors and other third parties with whom we do business or upon whom we rely on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Like other financial services firms, we have been and continue to be the subject of actual or attempted unauthorized access, mishandling or misuse of information, computer viruses or malware, and cyber-attacks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could obtain confidential information, destroy data, disrupt or degrade service, sabotage systems or cause other damage, distributed denial of service attacks, data breaches and other infiltration, exfiltration or other similar events.</w:t>
      </w:r>
    </w:p>
    <w:p>
      <w:pPr>
        <w:spacing w:after="0" w:line="19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lending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lending partners and other third parties to lose trust in us or we could be subject to claims by our lending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conducted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vast majority of Upstart-powered loans are not secured by any collateral, guaranteed or insured by any third party or backed by any governmental authority. As a result, we are limited in our ability to collect on such loans on behalf of our lending partners and institutional investors of our loan funding programs if a borrower is unwilling or unable to repay them. The ability to collect on the loans is dependent on the borrower’s continuing financial stability, and consequently, collections can be adversely affected by a number of factors, including, but not limited to, unemployment, divorce, death, illness, bankruptcy or the economic or social factors beyond a borrower’s personal circumstances. In addition, the application of various federal and state laws, including federal and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platform, reduce income received from the loans facilitated through our platform, or negatively affect our business, financial condition and results of operations.</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began conducting first-party collection activities in the fourth quarter of 2022. We have no prior experience conducting first-party or in-house collection activities, and we cannot be certain that we will be able to effectively manage risks associated with such activities. In addition to first-party collection activities, we partner with third-party collection agencies for loans we service. If such third-party collection agencies do not perform as expected under our agreements with them or if we or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we and the collection agents are proactive and consistent in contacting a borrower to bring a delinquent balance current and ultimately avoid the related loan becoming charged off. If we or the collection agents are unable to maintain a high quality of service, or fulfill the servicing obligations at all due to resource constraints, it could result in increased delinquencies and charge-offs on the loans, which could decrease fees payable to us, cause our lending partners to decrease the volume of Upstart-powered loans kept on their balance sheets, erode trust in our lending marketplace or increase the costs of our loan funding programs. If we fail to successfully address any of the foregoing risks associated with our collection activities, our business, financial condition and results of operations could be adversely affected.</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the loan servicer for most loans facilitated through our platform, including those loans that are part of our loan funding programs, such as asset-backed securitization, pass-through certificate transactions and whole loan sales. Loan servicing is a highly manual process and an intensely regulated activity. Errors in our servicing activities, including payment collection and charge-off processes, or failures to comply with our servicing obligations, have in the past and could in the future affect our internal and external reporting of the loans that we service, adversely affect our business and reputation and expose us to liability to borrowers, lending partners or institutional investors in our loan funding programs.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are subject to change.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20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auto loans issued through our lending platform are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lending partners to decrease the volume of Upstart-powered auto loans kept on their balance sheets, erode trust in our lending marketplace and increase the costs of our loan funding programs.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negatively impacted. We may also become subject to regulatory scrutiny and potential litigation based on the conduct of our repossession vendors.</w:t>
      </w:r>
    </w:p>
    <w:p>
      <w:pPr>
        <w:spacing w:after="0" w:line="2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connection with our loan funding programs, we make representations and warranties concerning the loans sold, and if such representations and warranties are not accurate when made, we could be required to repurchase the applicable loans.</w:t>
      </w:r>
    </w:p>
    <w:p>
      <w:pPr>
        <w:spacing w:after="0" w:line="19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our loan funding programs, including asset-backed securitizations, pass-through certificate transactions, warehouse credit facilities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in our loan funding programs. If those representations and warranties were not accurate when made and are not timely cured or incurable, we may be required to repurchase the underlying loans. Failure to repurchase such loans could constitute a default, an event of default or termination event under the agreements governing our various loan funding programs and could require us to indemnify certain financing parties. Through September 30, 2023, the number of repurchased Upstart-powered loans as a result of inaccurate representations and warranties represents less than 2%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4"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lending partners and institutional investors in our loan funding programs would be adversely affected and our ability to attract new lending partners and institutional investors in our loan funding programs would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Promoting awareness of our AI lending marketplace is important to our ability to grow our business, attract new lending partners, increase the number of potential borrowers on our platform and attract institutional investors to participate in our loan funding programs. We believe that the importance of brand recognition will increase as competition in the consumer lending industry expands. However, because our lending partners are increasingly adopting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location or any location in the organic rankings or paid search results when certain search terms are used by the consumer.</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brand promotion activities may not yield increased revenues. If we fail to successfully build trust in our AI lending marketplace and the performance and predictability of Upstart-powered loans, we may lose existing lending partners and institutional investors in our loan funding programs to our competitors or be unable to attract new lending partners and institutional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For example, we are a defendant in a number of securities class action and other related lawsuits. See the “</w:t>
      </w:r>
      <w:r>
        <w:rPr>
          <w:rFonts w:ascii="Arial" w:cs="Arial" w:eastAsia="Arial" w:hAnsi="Arial"/>
          <w:sz w:val="17"/>
          <w:szCs w:val="17"/>
          <w:i w:val="1"/>
          <w:iCs w:val="1"/>
          <w:color w:val="auto"/>
        </w:rPr>
        <w:t>Legal</w:t>
      </w:r>
      <w:r>
        <w:rPr>
          <w:rFonts w:ascii="Arial" w:cs="Arial" w:eastAsia="Arial" w:hAnsi="Arial"/>
          <w:sz w:val="17"/>
          <w:szCs w:val="17"/>
          <w:color w:val="auto"/>
        </w:rPr>
        <w:t>” section under “</w:t>
      </w:r>
      <w:r>
        <w:rPr>
          <w:rFonts w:ascii="Arial" w:cs="Arial" w:eastAsia="Arial" w:hAnsi="Arial"/>
          <w:sz w:val="17"/>
          <w:szCs w:val="17"/>
          <w:i w:val="1"/>
          <w:iCs w:val="1"/>
          <w:color w:val="auto"/>
        </w:rPr>
        <w:t>Note 12. Commitments and Contingencies</w:t>
      </w:r>
      <w:r>
        <w:rPr>
          <w:rFonts w:ascii="Arial" w:cs="Arial" w:eastAsia="Arial" w:hAnsi="Arial"/>
          <w:sz w:val="17"/>
          <w:szCs w:val="17"/>
          <w:color w:val="auto"/>
        </w:rPr>
        <w:t>” and the risk factor titled “—</w:t>
      </w:r>
      <w:r>
        <w:rPr>
          <w:rFonts w:ascii="Arial" w:cs="Arial" w:eastAsia="Arial" w:hAnsi="Arial"/>
          <w:sz w:val="17"/>
          <w:szCs w:val="17"/>
          <w:i w:val="1"/>
          <w:iCs w:val="1"/>
          <w:color w:val="auto"/>
        </w:rPr>
        <w:t>The trading price of our common stock may be volatile, and you</w:t>
      </w:r>
      <w:r>
        <w:rPr>
          <w:rFonts w:ascii="Arial" w:cs="Arial" w:eastAsia="Arial" w:hAnsi="Arial"/>
          <w:sz w:val="17"/>
          <w:szCs w:val="17"/>
          <w:color w:val="auto"/>
        </w:rPr>
        <w:t xml:space="preserve"> </w:t>
      </w:r>
      <w:r>
        <w:rPr>
          <w:rFonts w:ascii="Arial" w:cs="Arial" w:eastAsia="Arial" w:hAnsi="Arial"/>
          <w:sz w:val="17"/>
          <w:szCs w:val="17"/>
          <w:i w:val="1"/>
          <w:iCs w:val="1"/>
          <w:color w:val="auto"/>
        </w:rPr>
        <w:t>could lose all or part of your investment</w:t>
      </w:r>
      <w:r>
        <w:rPr>
          <w:rFonts w:ascii="Arial" w:cs="Arial" w:eastAsia="Arial" w:hAnsi="Arial"/>
          <w:sz w:val="17"/>
          <w:szCs w:val="17"/>
          <w:color w:val="auto"/>
        </w:rPr>
        <w:t>” for more information.</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through the lending marketplace. See the risk factor titled “—</w:t>
      </w:r>
      <w:r>
        <w:rPr>
          <w:rFonts w:ascii="Arial" w:cs="Arial" w:eastAsia="Arial" w:hAnsi="Arial"/>
          <w:sz w:val="16"/>
          <w:szCs w:val="16"/>
          <w:i w:val="1"/>
          <w:iCs w:val="1"/>
          <w:color w:val="auto"/>
        </w:rPr>
        <w:t>If loans facilitated through our platform for one or more lending partners were subject to successful challenge that the lending partner was</w:t>
      </w:r>
      <w:r>
        <w:rPr>
          <w:rFonts w:ascii="Arial" w:cs="Arial" w:eastAsia="Arial" w:hAnsi="Arial"/>
          <w:sz w:val="16"/>
          <w:szCs w:val="16"/>
          <w:color w:val="auto"/>
        </w:rPr>
        <w:t xml:space="preserve"> </w:t>
      </w:r>
      <w:r>
        <w:rPr>
          <w:rFonts w:ascii="Arial" w:cs="Arial" w:eastAsia="Arial" w:hAnsi="Arial"/>
          <w:sz w:val="16"/>
          <w:szCs w:val="16"/>
          <w:i w:val="1"/>
          <w:iCs w:val="1"/>
          <w:color w:val="auto"/>
        </w:rPr>
        <w:t>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r>
        <w:rPr>
          <w:rFonts w:ascii="Arial" w:cs="Arial" w:eastAsia="Arial" w:hAnsi="Arial"/>
          <w:sz w:val="16"/>
          <w:szCs w:val="16"/>
          <w:color w:val="auto"/>
        </w:rPr>
        <w:t>” for more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loans originated by lending partners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 the risk factor titled “—</w:t>
      </w:r>
      <w:r>
        <w:rPr>
          <w:rFonts w:ascii="Arial" w:cs="Arial" w:eastAsia="Arial" w:hAnsi="Arial"/>
          <w:sz w:val="16"/>
          <w:szCs w:val="16"/>
          <w:i w:val="1"/>
          <w:iCs w:val="1"/>
          <w:color w:val="auto"/>
        </w:rPr>
        <w:t>If loans originated by our lending partners were found to violate the laws of one or</w:t>
      </w:r>
      <w:r>
        <w:rPr>
          <w:rFonts w:ascii="Arial" w:cs="Arial" w:eastAsia="Arial" w:hAnsi="Arial"/>
          <w:sz w:val="16"/>
          <w:szCs w:val="16"/>
          <w:color w:val="auto"/>
        </w:rPr>
        <w:t xml:space="preserve"> </w:t>
      </w:r>
      <w:r>
        <w:rPr>
          <w:rFonts w:ascii="Arial" w:cs="Arial" w:eastAsia="Arial" w:hAnsi="Arial"/>
          <w:sz w:val="16"/>
          <w:szCs w:val="16"/>
          <w:i w:val="1"/>
          <w:iCs w:val="1"/>
          <w:color w:val="auto"/>
        </w:rPr>
        <w:t>more states, whether at origination or after sale by the lending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6"/>
          <w:szCs w:val="16"/>
          <w:color w:val="auto"/>
        </w:rPr>
        <w:t>” for more information. In addition, the recent inquiries related to our model’s use of</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 variables in assessing credit risk could prompt potential litigation and government enforcement claims based on perceived violations of ECOA. See the risk factor titled “—</w:t>
      </w:r>
      <w:r>
        <w:rPr>
          <w:rFonts w:ascii="Arial" w:cs="Arial" w:eastAsia="Arial" w:hAnsi="Arial"/>
          <w:sz w:val="16"/>
          <w:szCs w:val="16"/>
          <w:i w:val="1"/>
          <w:iCs w:val="1"/>
          <w:color w:val="auto"/>
        </w:rPr>
        <w:t>We have been in the past and may in the future be subject to federal and state regulatory inquiries regarding our business</w:t>
      </w:r>
      <w:r>
        <w:rPr>
          <w:rFonts w:ascii="Arial" w:cs="Arial" w:eastAsia="Arial" w:hAnsi="Arial"/>
          <w:sz w:val="16"/>
          <w:szCs w:val="16"/>
          <w:color w:val="auto"/>
        </w:rPr>
        <w:t>” for more information. If we were subject to such litigation or enforcement,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have a limited history of operating with a Digital First workforce, and the long-term impact on our business, financial condition and results of operations is uncertain.</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our announcement of a Digital First work model in June 2021, remote work with less time in the office has been the primary experience for most of our employees. Our workforce is currently distributed across the U.S., and we expect this distribution to continue. We have a limited history of operating with a Digital First workforce.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spacing w:after="0" w:line="21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20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4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utilization of our financial resources for acquisitions or investments that may fail to realize the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coordination of technology, product development and sales and marketing functions and integration of administrative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transition of the acquired company’s borrowers to our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attracting financing;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write-offs of loans or intangibles or other assets acquired in such transactions that may have an adverse effect on our results of operations in a given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assumption of contractual obligations that contain terms that are not beneficial to us, require us to license or waive intellectual property or increase our risk for liability;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21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w:t>
      </w: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One of our headquarters is located in the San Francisco Bay Area, a region that is prone to seismic activity and has experienced and may continue to experience, climate-related events and at an increasing rate. Examples include but are not limited to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other headquarters in Columbus, Ohio is a region at higher risk for extreme winter weather, including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acts of war and other armed conflicts, disruptions in global trade, travel restrictions and quarantines, terrorism and other civil, political and geopolitical conflicts,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1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fair value determinations, stock-based compensation, consolidation of variable interest entities, provision for income taxes, net of valuation allowance for deferred tax assets, and the evaluation for impairment of goodwill and acquired intangible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w:t>
      </w:r>
    </w:p>
    <w:p>
      <w:pPr>
        <w:spacing w:after="0" w:line="2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maintain cash deposits in excess of federally insured limits. Adverse developments affecting financial institutions, including bank failures, could adversely affect our liquidity and financial performance.</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regularly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20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RISKS RELATED TO OUR INTELLECTUAL PROPERTY AND PLATFORM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patents issued and three patent applications pending, we have limited patent protection and our patent application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significant disruption in our AI lending platform could prevent us from processing loan applicants and servicing loans, reduce the effectiveness of our AI models and result in a loss of lending partners or borrowers.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cloud storage services and national consumer reporting agencies.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platform, we obtain borrowers’ data from national consumer reporting agencies, such as TransUnion, and rely on their services in order to process loan applications. Any interference or disruption of our technology and underlying infrastructure or our use of third-party services could adversely affect our relationships with our lending partners and institutional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platform and internal systems rely on software that is highly technical, and if our software contains undetected errors, our business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aspects of our business processes include open source software, and any failure to comply with the terms of one or more of these open source licenses could negatively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open source licenses contain requirements that we make source code available at no cost for modifications or derivative works we create based upon the type of open source software we use.</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 significant number of consumers that apply for a loan on Upstart.com learn about and access Upstart.com through the website of a loan aggregator, typically with a hyperlink from such loan aggregator’s website to a landing page on our website. While we are planning to move towards more direct acquisition channels, we anticipate that we will continue to depend in significant part on relationships with loan aggregators to maintain and grow our business. For example, a significant amount of our loan originations was derived from traffic from one of our partners, Credit Karma. Our most recent agreement with Credit Karma provides that either party may terminate our arrangement immediately upon a material breach of any provision of the agreement or at any time, with or without cause, by providing no less than 30 days’ notice. Our agreements with the loan aggregators do not require loan aggregators, including Credit Karma, to display offers from lenders on Upstart.com nor prohibit them from working with our competitors or from offering competing services. In this regard, Credit Karma has been directing, and may continue to direct, more customer traffic to a program that hosts and aggregates the credit models of other loan providers directly on its platform for the purpose of giving credit offers. If traffic from Credit Karma or other loan aggregators decreases in the future as a result of this program or for other reasons, our loan originations and results of operations would be adversely affected. There is also no assurance that Credit Karma or other loan aggregators will continue its contract with us on commercially reasonable terms or at all. Furthermore, on December 3, 2020, Credit Karma was acquired by Intuit Inc. It is possible Intuit may not continue our agreement on commercially reasonable terms or at all, which would adversely affect our business.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disputes with them, which could adversely affect our brand and reputation. If we cannot successfully enter into and maintain effective strategic relationships with loan aggregators, our business could be adversely affected.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1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lending partners, we receive licenses to use data collected from loan applicants and borrowers. If we are unable to access and use data collected from applicants and borrowers, data received from credit bureaus, repayment data collected as part of our loan servicing activities, or any other data for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21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if any data used to train and improve our AI models is inaccurate or otherwise unreliable, or access to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lending partners and institutional investors to our marketplace or increase the number of Upstart-powered loans and adversely affect our business, financial condition and results of operations.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CFPB and each of the prudential bank regulators that supervise our lending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lending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 Furthermore, in July 2021, the prudential bank regulators issued a proposal to significantly revise bank oversight of service providers, which could impact the way in which we are monitored or reviewed where we provide services to those banks.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loans originated by our lending partners were found to violate the laws of one or more states, whether at origination or after sale by the lending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lending partners rely on certain authority under federal law to export the interest rate requirements of the state where each lending partner is located to borrowers in all other states. Further, certain of our lending partners and institutional investors rely on the ability of subsequent holders to continue charging such rate and fee structures and enforce other contractual terms agreed to by our lending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 Furthermore, other states have enacted additional limitations on interest rates and fees, such as the March 2021 Illinois law that capped interest rates on loans at an “all-in” 36% APR.</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Madden v. Midland Funding, LLC, 786 F.3d 246 (2d Cir. 2015), cert. denied, 136 S.Ct. 2505 (June 27, 2016), for example, the United States Court of Appeals for the Second Circuit held that the non-bank purchaser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institutional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issued a rule pertaining to the “true lender” issue, which was challenged by state attorneys general in a complaint filed January 5, 2021, and subsequently repealed through the Congressional Review Act on June 30,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 On February 8, 2022, the court ruled in favor of the OCC and FDIC holding that the agencies did not exceed their statutory authorities when promulgating their “valid when made” rules.</w:t>
      </w:r>
    </w:p>
    <w:p>
      <w:pPr>
        <w:spacing w:after="0" w:line="2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Other states, such as Hawaii, Connecticut and Nebraska, have followed suit, and more states may also institute similar statutory “true lender” tests. The statutory “true lender” tests may increase the risk of true lender litigation in certain jurisdictions and impact how the tests are applied by courts and regulators in determining the true lender. They may also result in increased usury and licensing risk. Other states may take different paths to promulgate similar “true lender” restrictions, and if not through a legislative path, impacted parties may have little to no advance notice of new restrictions and compliance obligations.</w:t>
      </w:r>
    </w:p>
    <w:p>
      <w:pPr>
        <w:spacing w:after="0" w:line="20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a borrower or any state agency were to successfully bring a claim against us, our lending partners, our securitization vehicles and/or the trustees of such vehicles or our institutional investors for a state usury law or fee restriction violation and the rate or fee at issue on the loan was impermissible under applicable state law, we, our lending partners, securitization vehicles and/or trustees or institutional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Additionally, effective July 1, 2024, Colorado updated its Uniform Consumer Credit Code invoking its right under the Depository Institutions Deregulation and Monetary Control Act to opt out of a provision that allows state-chartered banks to preempt state interest rates applicable to consumer credit transactions. This will affect the bank partnership model as out-of-state state banks and credit unions will be required to follow Colorado’s interest rate and fee restrictions on consumer loans to Colorado residents if the loans are deemed to be made in Colorado.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If loans facilitated through our platform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Upstart-powered loans are originated in reliance on the fact that our lending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lending partners, many state consumer financial regulatory requirements, including usury restrictions (other than the restrictions of the state in which a lending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9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 This case has since been remanded to the Superior Court of the District of Columbia. A similar complaint against online lender Opportunity Financial, LLC was filed in early 2021, alleging that it rather than a bank originated these loans and the loans were therefore in violation of Washington, DC usury laws. The parties settled this case in November 2021. Also in April 2021, the Maryland Office of the Commissioner of Financial Regulation also alleged in the context of a civil suit that a state-chartered bank and its fintech partners engaged in a bank partnership program that violated various state licensing and credit statutes. The case is pending before the Office of the Commissioner of Financial Regulation for administrative adjudication.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CRB (Case No. 21-CV-985). Furthermore, in April 2022, the California Department of Financial Protection and Innovation filed a complaint in Los Angeles Superior Court alleging that Opportunity Financial, LLC is the “true lender” of several loans to California residents that exceeded the applicable California usury limit for small dollar loans. There is an ongoing risk that government agencies and private plaintiffs will seek to challenge these types of relationships.</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lending partners, securitization vehicles and similarly situated parties could become subject to challenges like that presented by the Colorado settlement and, if so, we could face penalties and/or Upstart-powered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may be void, voidable or otherwise impaired in a manner that may have adverse effects on our operations (directly, or as a result of adverse impact on our relationships with our lending partners, institutional investors or other commercial counterparties). However, we have taken steps to confirm that our business model conforms with the requirements of the Colorado safe harbor. We have also taken additional steps to facilitate compliance with that above-described law enacted in Maine.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It is also possible that other state agencies or regulators could make similar assertions. If a court, or a state or federal enforcement agency, were to deem Upstart, rather than our lending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lending partners, institutional investors or other commercial counterparties).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or cash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 number of participants in the consumer financial services industry have been the subject of putative class action lawsuits, state attorney general actions and other state regulatory actions, federal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or facilitate compliance with a variety of federal, state, and local laws, including those related to consumer protection and loan financings.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and has appointed consumer-oriented regulators at federal agencies such as the CFPB and the OCC. It is possible that regulators in the presidential administration could promulgate rulemakings and bring enforcement actions that materially impact our business and the business of our lending partners. These regulators may augment requirements that apply to loans facilitated by our platform, or impose new programs and restrictions, and could otherwise revise or create new regulatory requirements that apply to us (or our lending partners), impacting our business, operations, and profitability.</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state laws generally regulate interest rates and other charges and require certain disclosures. In addition, other federal and state laws may apply to the origination, servicing and collection of loans originated on our platform, and the purchase and sale of whole loans or asset-backed securitizations. In particular, certain laws, regulations and rules we or our lending partners are subject to include:</w:t>
      </w:r>
    </w:p>
    <w:p>
      <w:pPr>
        <w:spacing w:after="0" w:line="76" w:lineRule="exact"/>
        <w:rPr>
          <w:sz w:val="20"/>
          <w:szCs w:val="20"/>
          <w:color w:val="auto"/>
        </w:rPr>
      </w:pPr>
    </w:p>
    <w:p>
      <w:pPr>
        <w:jc w:val="both"/>
        <w:ind w:left="660" w:hanging="328"/>
        <w:spacing w:after="0" w:line="279"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660" w:hanging="328"/>
        <w:spacing w:after="0" w:line="286"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5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2" w:lineRule="exact"/>
        <w:rPr>
          <w:rFonts w:ascii="Arial" w:cs="Arial" w:eastAsia="Arial" w:hAnsi="Arial"/>
          <w:sz w:val="18"/>
          <w:szCs w:val="18"/>
          <w:color w:val="auto"/>
        </w:rPr>
      </w:pPr>
    </w:p>
    <w:p>
      <w:pPr>
        <w:ind w:left="660" w:right="160" w:hanging="328"/>
        <w:spacing w:after="0" w:line="24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75"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spacing w:after="0" w:line="6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57"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Telephone Consumer Protection Act and the regulations promulgated thereunder, which impose various consumer consent requirements and other restrictions in connection with telemarketing activity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communication with consumers by phone, fax or text message, and which provide guidelines designed to safeguard consumer privacy in connection with such communications;</w:t>
      </w:r>
    </w:p>
    <w:p>
      <w:pPr>
        <w:spacing w:after="0" w:line="62" w:lineRule="exact"/>
        <w:rPr>
          <w:sz w:val="20"/>
          <w:szCs w:val="20"/>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62"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 to Financial Privacy Act and similar state laws enacted to provide the financial records of financial institution customers a reasonable amount of privacy from government scrutiny;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Bank Secrecy Act and the USA PATRIOT Act, which relate to compliance with anti-money laundering, borrower due diligence and record-keeping policies and procedures;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state-specific and local laws and regulations.</w:t>
      </w:r>
    </w:p>
    <w:p>
      <w:pPr>
        <w:spacing w:after="0" w:line="2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may not always have been, and may not always be, in compliance with these and other applicable laws, regulations and rules. And while compliance with these requirements is a business priority for us, it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lending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in March 2021, Illinois enacted a law to cap interest rates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 applicable, we seek to comply with state broker, credit service organization, small loan, finance lender, servicing, collection, money transmitter and similar statutes. Nevertheless, if we are found to not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Internet-based loan origination processes may give rise to greater risks than paper-based processes and may not always be allowed under state law.</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auto loans issued through our auto lending marketplace,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through our auto lending marketplace.</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platform could be rendered void or unenforceable in whole or in part, any of which could have a material adverse effect on our business.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supervises banks, thrifts and credit unions with assets over $10 billion and examines certain of our lending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In April 2022, the CFPB announced that it intends to examine nonbank financial companies that pose risks to consumers. If the CFPB decides to subject us to its supervisory process, it could significantly increase the level of regulatory scrutiny of our business practices. See the risk factor titled “—Our business is subject to a wide range of laws and regulations, many of which are evolving, and failure or perceived failure to comply with such laws and regulations could harm our business, financial condition and results of operations” for more information.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evolving views regarding the use of alternative variables and machine learning in assessing credit risk could result in the CFPB taking</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actions that result in requirements to alter or cease offering affected financial products and services, making them less attractive and restricting our ability to offer them. See the risk factor titled “—</w:t>
      </w:r>
      <w:r>
        <w:rPr>
          <w:rFonts w:ascii="Arial" w:cs="Arial" w:eastAsia="Arial" w:hAnsi="Arial"/>
          <w:sz w:val="17"/>
          <w:szCs w:val="17"/>
          <w:i w:val="1"/>
          <w:iCs w:val="1"/>
          <w:color w:val="auto"/>
        </w:rPr>
        <w:t>Our reputation and brand are important to our success, and if we are unable to continue developing 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reputation and brand, our ability to retain existing and attract new bank partners, our ability to attract borrowers to our platform, our ability to maintain a diverse funding marketplace and our ability to maintain and improve our relationship with regulators of our industry could be adversely affected” </w:t>
      </w:r>
      <w:r>
        <w:rPr>
          <w:rFonts w:ascii="Arial" w:cs="Arial" w:eastAsia="Arial" w:hAnsi="Arial"/>
          <w:sz w:val="17"/>
          <w:szCs w:val="17"/>
          <w:color w:val="auto"/>
        </w:rPr>
        <w:t>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The CFPB could also implement rules that restrict our effectiveness in servicing our financial products and services.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2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current presidential administration has appointed and is expected to continue to appoint consumer-oriented regulators at federal agencies such as the CFPB, Federal Trade Commission, the OCC and the FDIC and the government’s focus on enforcement of federal consumer protection laws is expected to increase. It is possible that these regulators could promulgate rulemakings and bring enforcement actions that materially impact our business and the business of our lending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been in the past and may in the future be subject to federal and state regulatory inquiries regarding our business.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 loans for our lending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were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Upon Upstart’s request, such no-action letter was terminated in June 2022. While the termination of the no-action letter removes the obligation to regularly share updates with the CFPB,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in our loan funding programs.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beginning March 29, 2024. Following the enactment of the CCPA, in March 2021, Virginia enacted the Virginia Consumer Data Protection Act of 2021, or VCDPA; in June 2021 Colorado enacted the Colorado Privacy Act, or CPA; in March 2022, Utah, enacted the Utah Consumer Privacy Act, or UCPA; in May 2022, Connecticut enacted a similar law, An Act Concerning Personal Data Privacy and Online Monitoring, or CTDPA; and in March 2023, Iowa enacted an Act Relating to Consumer Data Protection, or ICDPA. The VCDPA went into effect on January 1, 2023, and the CPA and CTDPA both go into effect on July 31, 2023. The UCPA will go into effect December 31, 2023. The ICDPA will go into effect January 1, 2025. In June 2023, Texas enacted the Texas Data Privacy and Security Act, which will go into effect January 1, 2024. In September 2023, Delaware enacted the Delaware Personal Data Privacy Act which becomes effective January 1, 2025. Additionally, other U.S. states are proposing and enacting laws and regulations that impose obligations similar to the CCPA or that otherwise involve significant obligations and restrictions.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Many privacy and data security laws, such as the CCPA, apply to biometric data. However, some states have passed or are considering legislation that are biometric specific. For instance, in Illinois, the Biometric Information Privacy Act (“BIPA”) specifically governs the collection, possession, and disclosure of biometric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 the regulatory framework for artificial intelligence and machine learning technology evolves, our business, financial condition and results of operations may be adversely affected.</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For example, on March 29, 2021, the federal financial regulators issued a request for information to enable them to better understand how artificial intelligence and machine learning are utilized in financial services, and the information and views obtained could serve as a basis for future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Company Act, our ability to conduct business could be materially adversely affected.</w:t>
      </w:r>
    </w:p>
    <w:p>
      <w:pPr>
        <w:spacing w:after="0" w:line="2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lending partners.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exemptive order ceases to apply to our business, and we are not able to rely on other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administrative or judicial proceedings that might result in censure, fine, civil penalties, cease-and-desist orders or other adverse consequences, as well as private rights of action, any of which could materially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Advisers Act, our ability to conduct business could be materially adversely affected.</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our transactions with institutional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transactions in our loan funding programs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expense associated with making our offerings, which would adversely affect our business, financial condition and results of operations.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required to register with the SEC or under state securities laws as a broker-dealer, our ability to conduct business could be materially adversely affected.</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anti-terrorism financing, anti-corruption and economic sanctions laws could have adverse consequences for us.</w:t>
      </w:r>
    </w:p>
    <w:p>
      <w:pPr>
        <w:spacing w:after="0" w:line="2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securitizations are subject to regulation under federal law, and failure to comply with those laws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0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RISKS RELATED TO INDEBTEDNESS</w:t>
      </w:r>
    </w:p>
    <w:p>
      <w:pPr>
        <w:spacing w:after="0" w:line="252"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rely on borrowings under our warehouse credit facilities to fund certain aspects of our operations, and any inability to meet our obligations as they come due or to comply with various covenants or representations contained in our warehouse credit facilities could harm our business.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through our warehouse trust special purpose entities, have entered into warehouse credit facilities to partially finance the purchase of loans from certain lending partners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our warehouse credit facility for unsecured personal loans (the “ULT Warehouse Credit Facility”), we may borrow from an aggregate of $175.0 million financing capacity, until the earlier of June 2025 and an accelerated amortization event. Any outstanding principal, together with any accrued and unpaid interest, are due and payable by the warehouse trust special purpose entity in June 2026. As of September 30, 2023, the amount borrowed under the ULT Warehouse Credit Facility was $170.3 million, and $236.8 million of aggregated fair value of loans purchased were pledged as collateral. Under our warehouse facility for auto loans (the “UAWT Warehouse Credit Facility”), we may borrow up to $200 million until June 14, 2024, and any outstanding principal, together with any accrued and unpaid interest, are due and payable by the warehouse trust special purpose entity twelve months after the determined amortization date. As of September 30, 2023, the amount borrowed under the UAWT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Warehouse Credit Facility was $180.9 million, and $308.3 million of aggregated fair value of loans purchased were pledged as collateral.</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warehouse credit facilities impose operating and financial covenants on the applicable warehouse trust special purpose entity, and under certain events of default, the applicable lender could require that all or a portion of 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lending partners’ ability or willingness to originate new loans, which in turn would have an adverse effect on our business, results of operations and financial condition.</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loan liquidity to our lending partners and whole loan purchasers. As a result, our lack of parent debt rating and any further downgrades to the ratings of our asset-backed securities could negatively impact our business, financial condition and results of operations.</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continue to make investments to support our business growth and may require additional funds to respond to business challenges, including the need to develop new loan products, enhance our AI models,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August 2021, we issued $661.3 million aggregate principal amount of 0.25% convertible senior notes due 2026, or Notes (including the exercise in full of the initial purchasers’ option to purchase an additional $86.3 million aggregate principal of additional Notes). Holders of the Notes may require us to purchase all or a portion of their Notes upon the occurrence of a fundamental change before the maturity date at a 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surrendered therefor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or pay cash with respect to Notes being converted or at maturity of the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the indenture for the Notes may deter or prevent a business combination that may be favorable to you.</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1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RISKS RELATED TO TAXES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use our deferred tax assets to offset future taxable income may be subject to certain limitations, which may have a material impact on our result of operations.</w:t>
      </w:r>
    </w:p>
    <w:p>
      <w:pPr>
        <w:spacing w:after="0" w:line="19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September 30, 2023, a valuation allowance has been recorded to recognize only deferred tax assets that are more likely than not to be realized in the United States federal and state tax jurisdictions. Our net deferred tax assets are primarily related to net operating loss carryforwards, or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could have a material adverse effect on our business, financial condition and results of operations.</w:t>
      </w:r>
    </w:p>
    <w:p>
      <w:pPr>
        <w:spacing w:after="0" w:line="23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effective as of January 1, 2022, the Tax Cuts and Jobs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76"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financial technology stocks;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reduction in the availability of loan funding and liquidity from institutional investors and the capital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quarterly fluctuations in demand for the loans we facilitate through our platform;</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financial technology companies and technology companies that offer services to financial institutions;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 including sales to cover tax withholding obligations upon vesting of RSUs issued to our employees;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issuance of shares of our common stock, whether in connection with an acquisition or upon conversion of some or all of the outstanding Notes;</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government policies or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of any cease-and-desist orders from regulatory agencies that we are subject 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perception of the accuracy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perceived data security breaches or other data 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 relating to our reductions in workforce announced in November 2022 and January 2023;</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political unrest, natural disasters, pandemics or responses to these events;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conditions, including economic slowdowns, recessions, rising interest and inflation rates, tightening of credit markets and the 2023 bank failures and resulting disruption in the banking sector.</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capped call transactions may affect the price of our common stock.</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intended to offset the potential dilution and/or offset any cash payments we make in excess of the aggregate principal amount of converted Notes, as the case may be, as a result of conversion of the Notes.</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or following any repurchase of the Notes). This activity could also cause or prevent an increase or a decrease in the market price of our common stock.</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insiders have significant voting power, which could limit your ability to influence the outcome of key transactions, including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large number of shares of our capital stock eligible for public sale or subject to rights requiring us to register them for public sale could depress the market price of our common stock.</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be diluted by the future issuance of additional common stock in connection with our equity incentive plans, acquisitions or otherwise.</w:t>
      </w:r>
    </w:p>
    <w:p>
      <w:pPr>
        <w:spacing w:after="0" w:line="2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authorizes us to issue 616,188,516 shares of authorized but unissued common stock and rights relating to common stock for the consideration and on the terms and conditions established by our Board of Directors in its sole discretion, whether in connection with acquisitions or otherwise. We have reserved 6,471,704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To the extent a large number of shares of our common stock are sold in connection with any “sell to cover” transactions upon vesting of restricted stock units (RSUs) issued to our employees, our stock price may fluctuate.</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U.S. tax laws, employment tax withholding and remittance obligations for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are subsequently remitted by us to the taxing authorities. The tax withholding due in connection with such RSU vesting is based on the then-current value of the underlying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Such sales do not result in the expenditure of additional cash by us to satisfy the tax withholding obligations for RSUs. To the extent a large number of shares are sold in connection with any vesting event, such sales volume may cause our stock price to fluctuate.</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80" w:lineRule="exact"/>
        <w:rPr>
          <w:sz w:val="20"/>
          <w:szCs w:val="20"/>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are only able to be removed from office for cause;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vacancies and newly-created seats on our Board of Directors will be able to be filled only by our Board of Directors and not by stockholders;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entire Board of Directors are authorized to call a special meeting of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litigation against us or our directors, stockholders, officers or employees can only be brought in Delaware;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 and</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qualified board members.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retain qualified executive officers and qualified members of our Board of Directors, particularly to serve on our audit committee and compensation committee.</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 has limited experience managing a public company.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repurchases of the Company’s common stock during the three months ended September 30, 2023.</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 Securities Trading Plans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some of the Company’s executive officers or directors may determine that it is advisable to diversify their investments for personal financial planning reasons or may seek liquidity for other reasons and may sell shares of common stock of the Company. To effect such sales, 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September 30, 2023, the following officer (as defined in Rule 16a-1(f) of the Exchange Act) of the Company has adopted a contract, instruction or written plan for the sale of securities of the Company intended to satisfy the affirmative defense conditions of Rule 10b5–1(c) of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and title of officer: Dave Girouard, Chief Executive Officer, in his capacity as Trustee of 2008 D&amp;T Girouard Revocable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adoption: August 29,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Duration of the trading arrangement: Through December 13, 2024 or earlier if all transactions under the trading arrangement are completed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securities to be sold from time to time: up to 1,000,000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b w:val="1"/>
          <w:bCs w:val="1"/>
          <w:color w:val="auto"/>
        </w:rPr>
        <w:t>ITEM 6. EXHIBITS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below are filed as part of this Quarterly Report on Form 10-Q or are incorporated herein by reference, in each case as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12529"/>
        </w:rPr>
        <w:t>EXHIBIT INDEX</w:t>
      </w:r>
    </w:p>
    <w:p>
      <w:pPr>
        <w:spacing w:after="0" w:line="306"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40"/>
          </w:cols>
          <w:pgMar w:left="320" w:top="1251" w:right="339" w:bottom="1440" w:gutter="0" w:footer="0" w:header="0"/>
        </w:sectPr>
      </w:pPr>
    </w:p>
    <w:p>
      <w:pPr>
        <w:spacing w:after="0" w:line="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left="1760"/>
        <w:spacing w:after="0"/>
        <w:tabs>
          <w:tab w:leader="none" w:pos="4720" w:val="left"/>
          <w:tab w:leader="none" w:pos="5840" w:val="left"/>
          <w:tab w:leader="none" w:pos="7080" w:val="left"/>
          <w:tab w:leader="none" w:pos="854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File No.</w:t>
      </w:r>
      <w:r>
        <w:rPr>
          <w:sz w:val="20"/>
          <w:szCs w:val="20"/>
          <w:color w:val="auto"/>
        </w:rPr>
        <w:tab/>
      </w: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7132320" cy="43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37515"/>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-247650</wp:posOffset>
            </wp:positionV>
            <wp:extent cx="28803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Principal Executive Officer pursuant 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Exchange Act Rules 13a-14(a) and 15d-14(a), as adopted</w:t>
      </w:r>
    </w:p>
    <w:p>
      <w:pPr>
        <w:spacing w:after="0"/>
        <w:rPr>
          <w:sz w:val="20"/>
          <w:szCs w:val="20"/>
          <w:color w:val="auto"/>
        </w:rPr>
      </w:pPr>
      <w:r>
        <w:rPr>
          <w:rFonts w:ascii="Arial" w:cs="Arial" w:eastAsia="Arial" w:hAnsi="Arial"/>
          <w:sz w:val="18"/>
          <w:szCs w:val="18"/>
          <w:u w:val="single" w:color="auto"/>
          <w:color w:val="0000FF"/>
        </w:rPr>
        <w:t>pursuant to Section 302 of the Sarbanes-Oxley Act of 2002.</w:t>
      </w:r>
    </w:p>
    <w:p>
      <w:pPr>
        <w:spacing w:after="0" w:line="30" w:lineRule="exact"/>
        <w:rPr>
          <w:sz w:val="20"/>
          <w:szCs w:val="20"/>
          <w:color w:val="auto"/>
        </w:rPr>
      </w:pPr>
    </w:p>
    <w:p>
      <w:pPr>
        <w:sectPr>
          <w:pgSz w:w="11900" w:h="16838" w:orient="portrait"/>
          <w:cols w:equalWidth="0" w:num="2">
            <w:col w:w="880" w:space="340"/>
            <w:col w:w="10020"/>
          </w:cols>
          <w:pgMar w:left="320" w:top="125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31.2*</w:t>
            </w:r>
          </w:p>
        </w:tc>
        <w:tc>
          <w:tcPr>
            <w:tcW w:w="39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3"/>
              </w:rPr>
              <w:t>Certification of Principal Financial Officer pursuant to</w:t>
            </w:r>
          </w:p>
        </w:tc>
        <w:tc>
          <w:tcPr>
            <w:tcW w:w="6100" w:type="dxa"/>
            <w:vAlign w:val="bottom"/>
            <w:gridSpan w:val="6"/>
          </w:tcPr>
          <w:p>
            <w:pPr>
              <w:spacing w:after="0"/>
              <w:rPr>
                <w:sz w:val="17"/>
                <w:szCs w:val="17"/>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8"/>
          </w:tcPr>
          <w:p>
            <w:pPr>
              <w:spacing w:after="0" w:line="182" w:lineRule="exact"/>
              <w:rPr>
                <w:sz w:val="20"/>
                <w:szCs w:val="20"/>
                <w:color w:val="auto"/>
              </w:rPr>
            </w:pPr>
            <w:r>
              <w:rPr>
                <w:rFonts w:ascii="Arial" w:cs="Arial" w:eastAsia="Arial" w:hAnsi="Arial"/>
                <w:sz w:val="18"/>
                <w:szCs w:val="18"/>
                <w:color w:val="0000FF"/>
              </w:rPr>
              <w:t>Exchange Act Rules 13a-14(a) and 15d-14(a), as adopted</w:t>
            </w: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8"/>
          </w:tcPr>
          <w:p>
            <w:pPr>
              <w:spacing w:after="0" w:line="182" w:lineRule="exact"/>
              <w:rPr>
                <w:sz w:val="20"/>
                <w:szCs w:val="20"/>
                <w:color w:val="auto"/>
              </w:rPr>
            </w:pPr>
            <w:r>
              <w:rPr>
                <w:rFonts w:ascii="Arial" w:cs="Arial" w:eastAsia="Arial" w:hAnsi="Arial"/>
                <w:sz w:val="18"/>
                <w:szCs w:val="18"/>
                <w:color w:val="0000FF"/>
              </w:rPr>
              <w:t>pursuant to Section 302 of the Sarbanes-Oxley Act of 2002.</w:t>
            </w:r>
          </w:p>
        </w:tc>
      </w:tr>
      <w:tr>
        <w:trPr>
          <w:trHeight w:val="48"/>
        </w:trPr>
        <w:tc>
          <w:tcPr>
            <w:tcW w:w="12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720" w:type="dxa"/>
            <w:vAlign w:val="bottom"/>
          </w:tcPr>
          <w:p>
            <w:pPr>
              <w:spacing w:after="0"/>
              <w:rPr>
                <w:sz w:val="4"/>
                <w:szCs w:val="4"/>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2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rPr>
              <w:t>Certifications of Principal Executive Officer and Principal</w:t>
            </w: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4180" w:type="dxa"/>
            <w:vAlign w:val="bottom"/>
            <w:tcBorders>
              <w:top w:val="single" w:sz="8" w:color="0000FF"/>
            </w:tcBorders>
            <w:gridSpan w:val="5"/>
            <w:shd w:val="clear" w:color="auto" w:fill="CCEEFF"/>
          </w:tcPr>
          <w:p>
            <w:pPr>
              <w:spacing w:after="0" w:line="156" w:lineRule="exact"/>
              <w:rPr>
                <w:sz w:val="20"/>
                <w:szCs w:val="20"/>
                <w:color w:val="auto"/>
              </w:rPr>
            </w:pPr>
            <w:r>
              <w:rPr>
                <w:rFonts w:ascii="Arial" w:cs="Arial" w:eastAsia="Arial" w:hAnsi="Arial"/>
                <w:sz w:val="18"/>
                <w:szCs w:val="18"/>
                <w:color w:val="0000FF"/>
                <w:w w:val="94"/>
              </w:rPr>
              <w:t>Financial Officer pursuant to 18 U.S.C. Section 1350 as</w:t>
            </w:r>
          </w:p>
        </w:tc>
        <w:tc>
          <w:tcPr>
            <w:tcW w:w="100" w:type="dxa"/>
            <w:vAlign w:val="bottom"/>
            <w:tcBorders>
              <w:top w:val="single" w:sz="8" w:color="CCEEFF"/>
            </w:tcBorders>
            <w:shd w:val="clear" w:color="auto" w:fill="CCEEFF"/>
          </w:tcPr>
          <w:p>
            <w:pPr>
              <w:spacing w:after="0"/>
              <w:rPr>
                <w:sz w:val="13"/>
                <w:szCs w:val="13"/>
                <w:color w:val="auto"/>
              </w:rPr>
            </w:pPr>
          </w:p>
        </w:tc>
        <w:tc>
          <w:tcPr>
            <w:tcW w:w="5740" w:type="dxa"/>
            <w:vAlign w:val="bottom"/>
            <w:tcBorders>
              <w:top w:val="single" w:sz="8" w:color="CCEEFF"/>
            </w:tcBorders>
            <w:gridSpan w:val="2"/>
            <w:shd w:val="clear" w:color="auto" w:fill="CCEEFF"/>
          </w:tcPr>
          <w:p>
            <w:pPr>
              <w:spacing w:after="0"/>
              <w:rPr>
                <w:sz w:val="13"/>
                <w:szCs w:val="13"/>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0000FF"/>
            </w:tcBorders>
            <w:gridSpan w:val="3"/>
            <w:shd w:val="clear" w:color="auto" w:fill="CCEEFF"/>
          </w:tcPr>
          <w:p>
            <w:pPr>
              <w:spacing w:after="0" w:line="156" w:lineRule="exact"/>
              <w:rPr>
                <w:sz w:val="20"/>
                <w:szCs w:val="20"/>
                <w:color w:val="auto"/>
              </w:rPr>
            </w:pPr>
            <w:r>
              <w:rPr>
                <w:rFonts w:ascii="Arial" w:cs="Arial" w:eastAsia="Arial" w:hAnsi="Arial"/>
                <w:sz w:val="18"/>
                <w:szCs w:val="18"/>
                <w:color w:val="0000FF"/>
                <w:w w:val="90"/>
              </w:rPr>
              <w:t>adopted pursuant to Section 906 of the Sarbanes-Oxley</w:t>
            </w:r>
          </w:p>
        </w:tc>
        <w:tc>
          <w:tcPr>
            <w:tcW w:w="600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color w:val="0000FF"/>
              </w:rPr>
              <w:t>Act</w:t>
            </w:r>
          </w:p>
        </w:tc>
      </w:tr>
      <w:tr>
        <w:trPr>
          <w:trHeight w:val="190"/>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Arial" w:cs="Arial" w:eastAsia="Arial" w:hAnsi="Arial"/>
                <w:sz w:val="18"/>
                <w:szCs w:val="18"/>
                <w:color w:val="0000FF"/>
                <w:w w:val="89"/>
              </w:rPr>
              <w:t>of 2002.</w:t>
            </w:r>
          </w:p>
        </w:tc>
        <w:tc>
          <w:tcPr>
            <w:tcW w:w="368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57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229"/>
        </w:trPr>
        <w:tc>
          <w:tcPr>
            <w:tcW w:w="1220" w:type="dxa"/>
            <w:vAlign w:val="bottom"/>
          </w:tcPr>
          <w:p>
            <w:pPr>
              <w:ind w:left="20"/>
              <w:spacing w:after="0"/>
              <w:rPr>
                <w:sz w:val="20"/>
                <w:szCs w:val="20"/>
                <w:color w:val="auto"/>
              </w:rPr>
            </w:pPr>
            <w:r>
              <w:rPr>
                <w:rFonts w:ascii="Arial" w:cs="Arial" w:eastAsia="Arial" w:hAnsi="Arial"/>
                <w:sz w:val="18"/>
                <w:szCs w:val="18"/>
                <w:color w:val="auto"/>
              </w:rPr>
              <w:t>101.INS*</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r>
      <w:tr>
        <w:trPr>
          <w:trHeight w:val="230"/>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175"/>
        </w:trPr>
        <w:tc>
          <w:tcPr>
            <w:tcW w:w="1220" w:type="dxa"/>
            <w:vAlign w:val="bottom"/>
          </w:tcPr>
          <w:p>
            <w:pPr>
              <w:ind w:left="20"/>
              <w:spacing w:after="0" w:line="176" w:lineRule="exact"/>
              <w:rPr>
                <w:sz w:val="20"/>
                <w:szCs w:val="20"/>
                <w:color w:val="auto"/>
              </w:rPr>
            </w:pPr>
            <w:r>
              <w:rPr>
                <w:rFonts w:ascii="Arial" w:cs="Arial" w:eastAsia="Arial" w:hAnsi="Arial"/>
                <w:sz w:val="18"/>
                <w:szCs w:val="18"/>
                <w:color w:val="auto"/>
              </w:rPr>
              <w:t>101.CAL*</w:t>
            </w:r>
          </w:p>
        </w:tc>
        <w:tc>
          <w:tcPr>
            <w:tcW w:w="10020" w:type="dxa"/>
            <w:vAlign w:val="bottom"/>
            <w:gridSpan w:val="8"/>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r>
      <w:tr>
        <w:trPr>
          <w:trHeight w:val="237"/>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Document</w:t>
            </w:r>
          </w:p>
        </w:tc>
      </w:tr>
      <w:tr>
        <w:trPr>
          <w:trHeight w:val="182"/>
        </w:trPr>
        <w:tc>
          <w:tcPr>
            <w:tcW w:w="12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101.DEF*</w:t>
            </w:r>
          </w:p>
        </w:tc>
        <w:tc>
          <w:tcPr>
            <w:tcW w:w="10020" w:type="dxa"/>
            <w:vAlign w:val="bottom"/>
            <w:gridSpan w:val="8"/>
            <w:shd w:val="clear" w:color="auto" w:fill="CCEEFF"/>
          </w:tcPr>
          <w:p>
            <w:pPr>
              <w:spacing w:after="0" w:line="182" w:lineRule="exact"/>
              <w:rPr>
                <w:sz w:val="20"/>
                <w:szCs w:val="20"/>
                <w:color w:val="auto"/>
              </w:rPr>
            </w:pPr>
            <w:r>
              <w:rPr>
                <w:rFonts w:ascii="Arial" w:cs="Arial" w:eastAsia="Arial" w:hAnsi="Arial"/>
                <w:sz w:val="18"/>
                <w:szCs w:val="18"/>
                <w:color w:val="auto"/>
              </w:rPr>
              <w:t>Inline XBRL Taxonomy Extension Definition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Document</w:t>
            </w:r>
          </w:p>
        </w:tc>
      </w:tr>
      <w:tr>
        <w:trPr>
          <w:trHeight w:val="175"/>
        </w:trPr>
        <w:tc>
          <w:tcPr>
            <w:tcW w:w="1220" w:type="dxa"/>
            <w:vAlign w:val="bottom"/>
          </w:tcPr>
          <w:p>
            <w:pPr>
              <w:ind w:left="20"/>
              <w:spacing w:after="0" w:line="176" w:lineRule="exact"/>
              <w:rPr>
                <w:sz w:val="20"/>
                <w:szCs w:val="20"/>
                <w:color w:val="auto"/>
              </w:rPr>
            </w:pPr>
            <w:r>
              <w:rPr>
                <w:rFonts w:ascii="Arial" w:cs="Arial" w:eastAsia="Arial" w:hAnsi="Arial"/>
                <w:sz w:val="18"/>
                <w:szCs w:val="18"/>
                <w:color w:val="auto"/>
              </w:rPr>
              <w:t>101.LAB*</w:t>
            </w:r>
          </w:p>
        </w:tc>
        <w:tc>
          <w:tcPr>
            <w:tcW w:w="10020" w:type="dxa"/>
            <w:vAlign w:val="bottom"/>
            <w:gridSpan w:val="8"/>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r>
      <w:tr>
        <w:trPr>
          <w:trHeight w:val="237"/>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Document</w:t>
            </w:r>
          </w:p>
        </w:tc>
      </w:tr>
      <w:tr>
        <w:trPr>
          <w:trHeight w:val="182"/>
        </w:trPr>
        <w:tc>
          <w:tcPr>
            <w:tcW w:w="12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101.PRE*</w:t>
            </w:r>
          </w:p>
        </w:tc>
        <w:tc>
          <w:tcPr>
            <w:tcW w:w="10020" w:type="dxa"/>
            <w:vAlign w:val="bottom"/>
            <w:gridSpan w:val="8"/>
            <w:shd w:val="clear" w:color="auto" w:fill="CCEEFF"/>
          </w:tcPr>
          <w:p>
            <w:pPr>
              <w:spacing w:after="0" w:line="182" w:lineRule="exact"/>
              <w:rPr>
                <w:sz w:val="20"/>
                <w:szCs w:val="20"/>
                <w:color w:val="auto"/>
              </w:rPr>
            </w:pPr>
            <w:r>
              <w:rPr>
                <w:rFonts w:ascii="Arial" w:cs="Arial" w:eastAsia="Arial" w:hAnsi="Arial"/>
                <w:sz w:val="18"/>
                <w:szCs w:val="18"/>
                <w:color w:val="auto"/>
              </w:rPr>
              <w:t>Inline XBRL Taxonomy Extension Presentation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Document</w:t>
            </w:r>
          </w:p>
        </w:tc>
      </w:tr>
      <w:tr>
        <w:trPr>
          <w:trHeight w:val="176"/>
        </w:trPr>
        <w:tc>
          <w:tcPr>
            <w:tcW w:w="1220" w:type="dxa"/>
            <w:vAlign w:val="bottom"/>
          </w:tcPr>
          <w:p>
            <w:pPr>
              <w:ind w:left="20"/>
              <w:spacing w:after="0" w:line="176" w:lineRule="exact"/>
              <w:rPr>
                <w:sz w:val="20"/>
                <w:szCs w:val="20"/>
                <w:color w:val="auto"/>
              </w:rPr>
            </w:pPr>
            <w:r>
              <w:rPr>
                <w:rFonts w:ascii="Arial" w:cs="Arial" w:eastAsia="Arial" w:hAnsi="Arial"/>
                <w:sz w:val="18"/>
                <w:szCs w:val="18"/>
                <w:color w:val="auto"/>
              </w:rPr>
              <w:t>104.0</w:t>
            </w:r>
          </w:p>
        </w:tc>
        <w:tc>
          <w:tcPr>
            <w:tcW w:w="10020" w:type="dxa"/>
            <w:vAlign w:val="bottom"/>
            <w:gridSpan w:val="8"/>
          </w:tcPr>
          <w:p>
            <w:pPr>
              <w:spacing w:after="0" w:line="176" w:lineRule="exact"/>
              <w:rPr>
                <w:sz w:val="20"/>
                <w:szCs w:val="20"/>
                <w:color w:val="auto"/>
              </w:rPr>
            </w:pPr>
            <w:r>
              <w:rPr>
                <w:rFonts w:ascii="Arial" w:cs="Arial" w:eastAsia="Arial" w:hAnsi="Arial"/>
                <w:sz w:val="18"/>
                <w:szCs w:val="18"/>
                <w:color w:val="auto"/>
              </w:rPr>
              <w:t>Cover Page Interactive Data File (formatted as Inline XBRL</w:t>
            </w:r>
          </w:p>
        </w:tc>
      </w:tr>
      <w:tr>
        <w:trPr>
          <w:trHeight w:val="230"/>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and contained in Exhibit 101)</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212529"/>
        </w:rPr>
        <w:t>—————</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212529"/>
        </w:rPr>
        <w:t>*</w:t>
      </w:r>
      <w:r>
        <w:rPr>
          <w:sz w:val="20"/>
          <w:szCs w:val="20"/>
          <w:color w:val="auto"/>
        </w:rPr>
        <w:tab/>
      </w:r>
      <w:r>
        <w:rPr>
          <w:rFonts w:ascii="Arial" w:cs="Arial" w:eastAsia="Arial" w:hAnsi="Arial"/>
          <w:sz w:val="16"/>
          <w:szCs w:val="16"/>
          <w:color w:val="212529"/>
        </w:rPr>
        <w:t>Filed herewith.</w:t>
      </w:r>
    </w:p>
    <w:p>
      <w:pPr>
        <w:spacing w:after="0" w:line="9"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212529"/>
        </w:rPr>
      </w:pPr>
      <w:r>
        <w:rPr>
          <w:rFonts w:ascii="Arial" w:cs="Arial" w:eastAsia="Arial" w:hAnsi="Arial"/>
          <w:sz w:val="18"/>
          <w:szCs w:val="18"/>
          <w:color w:val="212529"/>
        </w:rPr>
        <w:t>Indicates management contract or compensatory plan.</w:t>
      </w:r>
    </w:p>
    <w:p>
      <w:pPr>
        <w:spacing w:after="0" w:line="9" w:lineRule="exact"/>
        <w:rPr>
          <w:sz w:val="20"/>
          <w:szCs w:val="20"/>
          <w:color w:val="auto"/>
        </w:rPr>
      </w:pPr>
    </w:p>
    <w:p>
      <w:pPr>
        <w:ind w:left="660" w:right="360" w:hanging="652"/>
        <w:spacing w:after="0" w:line="250" w:lineRule="auto"/>
        <w:tabs>
          <w:tab w:leader="none" w:pos="276" w:val="left"/>
        </w:tabs>
        <w:numPr>
          <w:ilvl w:val="0"/>
          <w:numId w:val="53"/>
        </w:numPr>
        <w:rPr>
          <w:rFonts w:ascii="Arial" w:cs="Arial" w:eastAsia="Arial" w:hAnsi="Arial"/>
          <w:sz w:val="18"/>
          <w:szCs w:val="18"/>
          <w:color w:val="212529"/>
        </w:rPr>
      </w:pPr>
      <w:r>
        <w:rPr>
          <w:rFonts w:ascii="Arial" w:cs="Arial" w:eastAsia="Arial" w:hAnsi="Arial"/>
          <w:sz w:val="18"/>
          <w:szCs w:val="18"/>
          <w:color w:val="auto"/>
        </w:rPr>
        <w:t>Portions of this exhibit (indicated by asterisk) have been excluded because such information is both (i) not material and (ii) would be competitively harmful if publicly disclosed.</w:t>
      </w:r>
    </w:p>
    <w:p>
      <w:pPr>
        <w:spacing w:after="0" w:line="1" w:lineRule="exact"/>
        <w:rPr>
          <w:sz w:val="20"/>
          <w:szCs w:val="20"/>
          <w:color w:val="auto"/>
        </w:rPr>
      </w:pPr>
    </w:p>
    <w:p>
      <w:pPr>
        <w:ind w:left="660" w:right="140" w:hanging="652"/>
        <w:spacing w:after="0" w:line="253" w:lineRule="auto"/>
        <w:tabs>
          <w:tab w:leader="none" w:pos="2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40" w:name="page141"/>
    <w:bookmarkEnd w:id="140"/>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8880" w:type="dxa"/>
            <w:vAlign w:val="bottom"/>
            <w:gridSpan w:val="2"/>
          </w:tcPr>
          <w:p>
            <w:pPr>
              <w:ind w:left="400"/>
              <w:spacing w:after="0"/>
              <w:rPr>
                <w:sz w:val="20"/>
                <w:szCs w:val="20"/>
                <w:color w:val="auto"/>
              </w:rPr>
            </w:pPr>
            <w:r>
              <w:rPr>
                <w:rFonts w:ascii="Arial" w:cs="Arial" w:eastAsia="Arial" w:hAnsi="Arial"/>
                <w:sz w:val="18"/>
                <w:szCs w:val="18"/>
                <w:b w:val="1"/>
                <w:bCs w:val="1"/>
                <w:color w:val="auto"/>
              </w:rPr>
              <w:t>Upstart Holdings, Inc.</w:t>
            </w:r>
          </w:p>
        </w:tc>
      </w:tr>
      <w:tr>
        <w:trPr>
          <w:trHeight w:val="229"/>
        </w:trPr>
        <w:tc>
          <w:tcPr>
            <w:tcW w:w="2160" w:type="dxa"/>
            <w:vAlign w:val="bottom"/>
          </w:tcPr>
          <w:p>
            <w:pPr>
              <w:spacing w:after="0"/>
              <w:rPr>
                <w:sz w:val="19"/>
                <w:szCs w:val="19"/>
                <w:color w:val="auto"/>
              </w:rPr>
            </w:pPr>
          </w:p>
        </w:tc>
        <w:tc>
          <w:tcPr>
            <w:tcW w:w="8880" w:type="dxa"/>
            <w:vAlign w:val="bottom"/>
            <w:gridSpan w:val="2"/>
          </w:tcPr>
          <w:p>
            <w:pPr>
              <w:ind w:left="400"/>
              <w:spacing w:after="0"/>
              <w:rPr>
                <w:sz w:val="20"/>
                <w:szCs w:val="20"/>
                <w:color w:val="auto"/>
              </w:rPr>
            </w:pPr>
            <w:r>
              <w:rPr>
                <w:rFonts w:ascii="Arial" w:cs="Arial" w:eastAsia="Arial" w:hAnsi="Arial"/>
                <w:sz w:val="18"/>
                <w:szCs w:val="18"/>
                <w:color w:val="auto"/>
              </w:rPr>
              <w:t>(Registrant)</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Date: November 7, 2023</w:t>
            </w:r>
          </w:p>
        </w:tc>
        <w:tc>
          <w:tcPr>
            <w:tcW w:w="880" w:type="dxa"/>
            <w:vAlign w:val="bottom"/>
          </w:tcPr>
          <w:p>
            <w:pPr>
              <w:ind w:left="400"/>
              <w:spacing w:after="0"/>
              <w:rPr>
                <w:sz w:val="20"/>
                <w:szCs w:val="20"/>
                <w:color w:val="auto"/>
              </w:rPr>
            </w:pPr>
            <w:r>
              <w:rPr>
                <w:rFonts w:ascii="Arial" w:cs="Arial" w:eastAsia="Arial" w:hAnsi="Arial"/>
                <w:sz w:val="18"/>
                <w:szCs w:val="18"/>
                <w:color w:val="auto"/>
              </w:rPr>
              <w:t>By:</w:t>
            </w: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Dave Girouard</w:t>
            </w:r>
          </w:p>
        </w:tc>
      </w:tr>
      <w:tr>
        <w:trPr>
          <w:trHeight w:val="222"/>
        </w:trPr>
        <w:tc>
          <w:tcPr>
            <w:tcW w:w="2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Dave Girouard</w:t>
            </w:r>
          </w:p>
        </w:tc>
      </w:tr>
      <w:tr>
        <w:trPr>
          <w:trHeight w:val="229"/>
        </w:trPr>
        <w:tc>
          <w:tcPr>
            <w:tcW w:w="2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2160" w:type="dxa"/>
            <w:vAlign w:val="bottom"/>
          </w:tcPr>
          <w:p>
            <w:pPr>
              <w:spacing w:after="0"/>
              <w:rPr>
                <w:sz w:val="20"/>
                <w:szCs w:val="20"/>
                <w:color w:val="auto"/>
              </w:rPr>
            </w:pPr>
            <w:r>
              <w:rPr>
                <w:rFonts w:ascii="Arial" w:cs="Arial" w:eastAsia="Arial" w:hAnsi="Arial"/>
                <w:sz w:val="18"/>
                <w:szCs w:val="18"/>
                <w:color w:val="auto"/>
              </w:rPr>
              <w:t>Date: November 7, 2023</w:t>
            </w:r>
          </w:p>
        </w:tc>
        <w:tc>
          <w:tcPr>
            <w:tcW w:w="880" w:type="dxa"/>
            <w:vAlign w:val="bottom"/>
          </w:tcPr>
          <w:p>
            <w:pPr>
              <w:ind w:left="400"/>
              <w:spacing w:after="0"/>
              <w:rPr>
                <w:sz w:val="20"/>
                <w:szCs w:val="20"/>
                <w:color w:val="auto"/>
              </w:rPr>
            </w:pPr>
            <w:r>
              <w:rPr>
                <w:rFonts w:ascii="Arial" w:cs="Arial" w:eastAsia="Arial" w:hAnsi="Arial"/>
                <w:sz w:val="18"/>
                <w:szCs w:val="18"/>
                <w:color w:val="auto"/>
              </w:rPr>
              <w:t>By:</w:t>
            </w: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Datta</w:t>
            </w:r>
          </w:p>
        </w:tc>
      </w:tr>
      <w:tr>
        <w:trPr>
          <w:trHeight w:val="222"/>
        </w:trPr>
        <w:tc>
          <w:tcPr>
            <w:tcW w:w="2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Sanjay Datta</w:t>
            </w:r>
          </w:p>
        </w:tc>
      </w:tr>
      <w:tr>
        <w:trPr>
          <w:trHeight w:val="230"/>
        </w:trPr>
        <w:tc>
          <w:tcPr>
            <w:tcW w:w="2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60" w:firstLine="8"/>
        <w:spacing w:after="0" w:line="263"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93"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Date: November 7, 2023</w:t>
      </w:r>
    </w:p>
    <w:p>
      <w:pPr>
        <w:spacing w:after="0" w:line="3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40640</wp:posOffset>
            </wp:positionV>
            <wp:extent cx="24345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139"/>
          </w:cols>
          <w:pgMar w:left="320" w:top="1313"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Dave Girouard</w:t>
      </w:r>
    </w:p>
    <w:p>
      <w:pPr>
        <w:spacing w:after="0" w:line="106" w:lineRule="exact"/>
        <w:rPr>
          <w:sz w:val="20"/>
          <w:szCs w:val="20"/>
          <w:color w:val="auto"/>
        </w:rPr>
      </w:pPr>
    </w:p>
    <w:p>
      <w:pPr>
        <w:sectPr>
          <w:pgSz w:w="11900" w:h="16838" w:orient="portrait"/>
          <w:cols w:equalWidth="0" w:num="2">
            <w:col w:w="660" w:space="280"/>
            <w:col w:w="9199"/>
          </w:cols>
          <w:pgMar w:left="320" w:top="1313"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2">
            <w:col w:w="580" w:space="360"/>
            <w:col w:w="9199"/>
          </w:cols>
          <w:pgMar w:left="320" w:top="1313" w:right="1440"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32.1</w:t>
      </w:r>
    </w:p>
    <w:p>
      <w:pPr>
        <w:spacing w:after="0" w:line="229"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CERTIFICATIONS OF PRINCIPAL EXECUTIVE OFFICER AND PRINCIPAL FINANCIAL OFFICER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 Dave Girouard, certify, pursuant to 18 U.S.C. Section 1350, as adopted pursuant to Section 906 of the Sarbanes-Oxley Act of 2002, that the Quarterly Report on Form 10-Q of Upstart Holdings, Inc. for the quarter ended JSeptember 30, 2023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Arial" w:cs="Arial" w:eastAsia="Arial" w:hAnsi="Arial"/>
                <w:sz w:val="20"/>
                <w:szCs w:val="20"/>
                <w:color w:val="auto"/>
              </w:rPr>
              <w:t>Date: November 7, 2023</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Dave Girouard</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88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398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Dave Girouard</w:t>
            </w:r>
          </w:p>
        </w:tc>
      </w:tr>
      <w:tr>
        <w:trPr>
          <w:trHeight w:val="324"/>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398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Executive Officer and President</w:t>
            </w:r>
          </w:p>
        </w:tc>
      </w:tr>
      <w:tr>
        <w:trPr>
          <w:trHeight w:val="311"/>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Executive Officer)</w:t>
            </w:r>
          </w:p>
        </w:tc>
      </w:tr>
      <w:tr>
        <w:trPr>
          <w:trHeight w:val="279"/>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spacing w:after="0"/>
              <w:rPr>
                <w:sz w:val="24"/>
                <w:szCs w:val="24"/>
                <w:color w:val="auto"/>
              </w:rPr>
            </w:pP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 Sanjay Datta, certify, pursuant to 18 U.S.C. Section 1350, as adopted pursuant to Section 906 of the Sarbanes-Oxley Act of 2002, that the Quarterly Report on Form 10-Q of Upstart Holdings, Inc. for the quarter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Arial" w:cs="Arial" w:eastAsia="Arial" w:hAnsi="Arial"/>
                <w:sz w:val="20"/>
                <w:szCs w:val="20"/>
                <w:color w:val="auto"/>
              </w:rPr>
              <w:t>Date: November 7, 2023</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Sanjay Datta</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8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Sanjay Datta</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Financial Officer</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Financial Officer)</w:t>
            </w:r>
          </w:p>
        </w:tc>
      </w:tr>
      <w:tr>
        <w:trPr>
          <w:trHeight w:val="50"/>
        </w:trPr>
        <w:tc>
          <w:tcPr>
            <w:tcW w:w="5480" w:type="dxa"/>
            <w:vAlign w:val="bottom"/>
            <w:shd w:val="clear" w:color="auto" w:fill="FEFEFE"/>
          </w:tcPr>
          <w:p>
            <w:pPr>
              <w:spacing w:after="0"/>
              <w:rPr>
                <w:sz w:val="4"/>
                <w:szCs w:val="4"/>
                <w:color w:val="auto"/>
              </w:rPr>
            </w:pPr>
          </w:p>
        </w:tc>
        <w:tc>
          <w:tcPr>
            <w:tcW w:w="86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ectPr>
          <w:pgSz w:w="11900" w:h="16838" w:orient="portrait"/>
          <w:cols w:equalWidth="0" w:num="1">
            <w:col w:w="11240"/>
          </w:cols>
          <w:pgMar w:left="320" w:top="1089"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60" w:firstLine="8"/>
        <w:spacing w:after="0" w:line="263"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93"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Date: November 7, 2023</w:t>
      </w:r>
    </w:p>
    <w:p>
      <w:pPr>
        <w:spacing w:after="0" w:line="3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40640</wp:posOffset>
            </wp:positionV>
            <wp:extent cx="24345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139"/>
          </w:cols>
          <w:pgMar w:left="320" w:top="1313"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Sanjay Datta</w:t>
      </w:r>
    </w:p>
    <w:p>
      <w:pPr>
        <w:spacing w:after="0" w:line="129" w:lineRule="exact"/>
        <w:rPr>
          <w:sz w:val="20"/>
          <w:szCs w:val="20"/>
          <w:color w:val="auto"/>
        </w:rPr>
      </w:pPr>
    </w:p>
    <w:p>
      <w:pPr>
        <w:sectPr>
          <w:pgSz w:w="11900" w:h="16838" w:orient="portrait"/>
          <w:cols w:equalWidth="0" w:num="2">
            <w:col w:w="660" w:space="280"/>
            <w:col w:w="9199"/>
          </w:cols>
          <w:pgMar w:left="320" w:top="1313"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2">
        <w:col w:w="580" w:space="360"/>
        <w:col w:w="9199"/>
      </w:cols>
      <w:pgMar w:left="320" w:top="131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3"/>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5"/>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5"/>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5"/>
    </w:lvl>
  </w:abstractNum>
  <w:abstractNum w:abstractNumId="61">
    <w:nsid w:val="6157409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2023-11-08T05:35:34Z</dcterms:created>
  <dcterms:modified xsi:type="dcterms:W3CDTF">2023-11-08T05:35:34Z</dcterms:modified>
</cp:coreProperties>
</file>