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8" w:lineRule="exact"/>
        <w:rPr>
          <w:sz w:val="24"/>
          <w:szCs w:val="24"/>
          <w:color w:val="auto"/>
        </w:rPr>
      </w:pPr>
    </w:p>
    <w:p>
      <w:pPr>
        <w:ind w:left="4660"/>
        <w:spacing w:after="0"/>
        <w:rPr>
          <w:sz w:val="20"/>
          <w:szCs w:val="20"/>
          <w:color w:val="auto"/>
        </w:rPr>
      </w:pPr>
      <w:r>
        <w:rPr>
          <w:rFonts w:ascii="Arial" w:cs="Arial" w:eastAsia="Arial" w:hAnsi="Arial"/>
          <w:sz w:val="15"/>
          <w:szCs w:val="15"/>
          <w:color w:val="auto"/>
        </w:rPr>
        <w:t>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51" w:lineRule="exact"/>
        <w:rPr>
          <w:sz w:val="24"/>
          <w:szCs w:val="24"/>
          <w:color w:val="auto"/>
        </w:rPr>
      </w:pPr>
    </w:p>
    <w:p>
      <w:pPr>
        <w:ind w:left="320"/>
        <w:spacing w:after="0"/>
        <w:rPr>
          <w:sz w:val="20"/>
          <w:szCs w:val="20"/>
          <w:color w:val="auto"/>
        </w:rPr>
      </w:pPr>
      <w:r>
        <w:rPr>
          <w:rFonts w:ascii="Arial" w:cs="Arial" w:eastAsia="Arial" w:hAnsi="Arial"/>
          <w:sz w:val="15"/>
          <w:szCs w:val="15"/>
          <w:color w:val="auto"/>
        </w:rPr>
        <w:t>(Mark One)</w:t>
      </w:r>
    </w:p>
    <w:p>
      <w:pPr>
        <w:sectPr>
          <w:pgSz w:w="11900" w:h="16838" w:orient="portrait"/>
          <w:cols w:equalWidth="0" w:num="1">
            <w:col w:w="11240"/>
          </w:cols>
          <w:pgMar w:left="320" w:top="1418" w:right="339" w:bottom="1440" w:gutter="0" w:footer="0" w:header="0"/>
        </w:sectPr>
      </w:pPr>
    </w:p>
    <w:p>
      <w:pPr>
        <w:spacing w:after="0" w:line="19" w:lineRule="exact"/>
        <w:rPr>
          <w:sz w:val="24"/>
          <w:szCs w:val="24"/>
          <w:color w:val="auto"/>
        </w:rPr>
      </w:pPr>
    </w:p>
    <w:p>
      <w:pPr>
        <w:jc w:val="center"/>
        <w:ind w:left="580"/>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4"/>
          <w:szCs w:val="24"/>
          <w:color w:val="auto"/>
        </w:rPr>
      </w:pPr>
    </w:p>
    <w:p>
      <w:pPr>
        <w:spacing w:after="0" w:line="213" w:lineRule="exact"/>
        <w:rPr>
          <w:sz w:val="24"/>
          <w:szCs w:val="24"/>
          <w:color w:val="auto"/>
        </w:rPr>
      </w:pPr>
    </w:p>
    <w:p>
      <w:pPr>
        <w:jc w:val="center"/>
        <w:ind w:left="5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2400"/>
        <w:spacing w:after="0"/>
        <w:rPr>
          <w:sz w:val="20"/>
          <w:szCs w:val="20"/>
          <w:color w:val="auto"/>
        </w:rPr>
      </w:pPr>
      <w:r>
        <w:rPr>
          <w:rFonts w:ascii="Arial" w:cs="Arial" w:eastAsia="Arial" w:hAnsi="Arial"/>
          <w:sz w:val="14"/>
          <w:szCs w:val="14"/>
          <w:color w:val="auto"/>
        </w:rPr>
        <w:t>QUARTERLY REPORT PURSUANT TO SECTION 13 OR 15(d) OF THE SECURITIES EXCHANGE ACT OF 1934</w:t>
      </w:r>
    </w:p>
    <w:p>
      <w:pPr>
        <w:spacing w:after="0" w:line="45" w:lineRule="exact"/>
        <w:rPr>
          <w:sz w:val="24"/>
          <w:szCs w:val="24"/>
          <w:color w:val="auto"/>
        </w:rPr>
      </w:pPr>
    </w:p>
    <w:p>
      <w:pPr>
        <w:jc w:val="center"/>
        <w:ind w:right="1380"/>
        <w:spacing w:after="0"/>
        <w:rPr>
          <w:sz w:val="20"/>
          <w:szCs w:val="20"/>
          <w:color w:val="auto"/>
        </w:rPr>
      </w:pPr>
      <w:r>
        <w:rPr>
          <w:rFonts w:ascii="Arial" w:cs="Arial" w:eastAsia="Arial" w:hAnsi="Arial"/>
          <w:sz w:val="15"/>
          <w:szCs w:val="15"/>
          <w:color w:val="auto"/>
        </w:rPr>
        <w:t>For the quarterly period ended June 30, 2023</w:t>
      </w:r>
    </w:p>
    <w:p>
      <w:pPr>
        <w:spacing w:after="0" w:line="34" w:lineRule="exact"/>
        <w:rPr>
          <w:sz w:val="24"/>
          <w:szCs w:val="24"/>
          <w:color w:val="auto"/>
        </w:rPr>
      </w:pPr>
    </w:p>
    <w:p>
      <w:pPr>
        <w:jc w:val="center"/>
        <w:ind w:right="1380"/>
        <w:spacing w:after="0"/>
        <w:rPr>
          <w:sz w:val="20"/>
          <w:szCs w:val="20"/>
          <w:color w:val="auto"/>
        </w:rPr>
      </w:pPr>
      <w:r>
        <w:rPr>
          <w:rFonts w:ascii="Arial" w:cs="Arial" w:eastAsia="Arial" w:hAnsi="Arial"/>
          <w:sz w:val="15"/>
          <w:szCs w:val="15"/>
          <w:color w:val="auto"/>
        </w:rPr>
        <w:t>OR</w:t>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p>
      <w:pPr>
        <w:spacing w:after="0" w:line="104"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For the transition period from</w:t>
      </w:r>
      <w:r>
        <w:rPr>
          <w:rFonts w:ascii="Arial" w:cs="Arial" w:eastAsia="Arial" w:hAnsi="Arial"/>
          <w:sz w:val="15"/>
          <w:szCs w:val="15"/>
          <w:b w:val="1"/>
          <w:bCs w:val="1"/>
          <w:u w:val="single" w:color="auto"/>
          <w:color w:val="auto"/>
        </w:rPr>
        <w:t>_________</w:t>
      </w:r>
      <w:r>
        <w:rPr>
          <w:rFonts w:ascii="Arial" w:cs="Arial" w:eastAsia="Arial" w:hAnsi="Arial"/>
          <w:sz w:val="15"/>
          <w:szCs w:val="15"/>
          <w:b w:val="1"/>
          <w:bCs w:val="1"/>
          <w:color w:val="auto"/>
        </w:rPr>
        <w:t xml:space="preserve">to </w:t>
      </w:r>
      <w:r>
        <w:rPr>
          <w:rFonts w:ascii="Arial" w:cs="Arial" w:eastAsia="Arial" w:hAnsi="Arial"/>
          <w:sz w:val="15"/>
          <w:szCs w:val="15"/>
          <w:b w:val="1"/>
          <w:bCs w:val="1"/>
          <w:u w:val="single" w:color="auto"/>
          <w:color w:val="auto"/>
        </w:rPr>
        <w:t>________</w:t>
      </w:r>
    </w:p>
    <w:p>
      <w:pPr>
        <w:spacing w:after="0" w:line="60" w:lineRule="exact"/>
        <w:rPr>
          <w:sz w:val="24"/>
          <w:szCs w:val="24"/>
          <w:color w:val="auto"/>
        </w:rPr>
      </w:pPr>
    </w:p>
    <w:p>
      <w:pPr>
        <w:ind w:left="3000"/>
        <w:spacing w:after="0"/>
        <w:rPr>
          <w:sz w:val="20"/>
          <w:szCs w:val="20"/>
          <w:color w:val="auto"/>
        </w:rPr>
      </w:pPr>
      <w:r>
        <w:rPr>
          <w:rFonts w:ascii="Arial" w:cs="Arial" w:eastAsia="Arial" w:hAnsi="Arial"/>
          <w:sz w:val="15"/>
          <w:szCs w:val="15"/>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46990</wp:posOffset>
            </wp:positionV>
            <wp:extent cx="1718945" cy="311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8945" cy="31115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20" w:space="580"/>
            <w:col w:w="9840"/>
          </w:cols>
          <w:pgMar w:left="320" w:top="1418" w:right="339" w:bottom="1440" w:gutter="0" w:footer="0" w:header="0"/>
          <w:type w:val="continuous"/>
        </w:sect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377"/>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gridSpan w:val="3"/>
          </w:tcPr>
          <w:p>
            <w:pPr>
              <w:jc w:val="center"/>
              <w:spacing w:after="0"/>
              <w:rPr>
                <w:sz w:val="20"/>
                <w:szCs w:val="20"/>
                <w:color w:val="auto"/>
              </w:rPr>
            </w:pPr>
            <w:r>
              <w:rPr>
                <w:rFonts w:ascii="Arial" w:cs="Arial" w:eastAsia="Arial" w:hAnsi="Arial"/>
                <w:sz w:val="29"/>
                <w:szCs w:val="29"/>
                <w:b w:val="1"/>
                <w:bCs w:val="1"/>
                <w:color w:val="auto"/>
                <w:w w:val="92"/>
              </w:rPr>
              <w:t>Upstart Holdings, Inc.</w:t>
            </w:r>
          </w:p>
        </w:tc>
        <w:tc>
          <w:tcPr>
            <w:tcW w:w="2460" w:type="dxa"/>
            <w:vAlign w:val="bottom"/>
          </w:tcPr>
          <w:p>
            <w:pPr>
              <w:spacing w:after="0"/>
              <w:rPr>
                <w:sz w:val="24"/>
                <w:szCs w:val="24"/>
                <w:color w:val="auto"/>
              </w:rPr>
            </w:pPr>
          </w:p>
        </w:tc>
      </w:tr>
      <w:tr>
        <w:trPr>
          <w:trHeight w:val="180"/>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5"/>
                <w:szCs w:val="15"/>
                <w:color w:val="auto"/>
                <w:w w:val="93"/>
              </w:rPr>
              <w:t>(Exact name of registrant as specified in its charter)</w:t>
            </w:r>
          </w:p>
        </w:tc>
        <w:tc>
          <w:tcPr>
            <w:tcW w:w="2460" w:type="dxa"/>
            <w:vAlign w:val="bottom"/>
          </w:tcPr>
          <w:p>
            <w:pPr>
              <w:spacing w:after="0"/>
              <w:rPr>
                <w:sz w:val="15"/>
                <w:szCs w:val="15"/>
                <w:color w:val="auto"/>
              </w:rPr>
            </w:pPr>
          </w:p>
        </w:tc>
      </w:tr>
      <w:tr>
        <w:trPr>
          <w:trHeight w:val="19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gridSpan w:val="3"/>
          </w:tcPr>
          <w:p>
            <w:pPr>
              <w:jc w:val="center"/>
              <w:spacing w:after="0"/>
              <w:rPr>
                <w:sz w:val="20"/>
                <w:szCs w:val="20"/>
                <w:color w:val="auto"/>
              </w:rPr>
            </w:pPr>
            <w:r>
              <w:rPr>
                <w:rFonts w:ascii="Arial" w:cs="Arial" w:eastAsia="Arial" w:hAnsi="Arial"/>
                <w:sz w:val="15"/>
                <w:szCs w:val="15"/>
                <w:color w:val="auto"/>
                <w:w w:val="93"/>
              </w:rPr>
              <w:t>_________________________</w:t>
            </w:r>
          </w:p>
        </w:tc>
        <w:tc>
          <w:tcPr>
            <w:tcW w:w="2460" w:type="dxa"/>
            <w:vAlign w:val="bottom"/>
          </w:tcPr>
          <w:p>
            <w:pPr>
              <w:spacing w:after="0"/>
              <w:rPr>
                <w:sz w:val="17"/>
                <w:szCs w:val="17"/>
                <w:color w:val="auto"/>
              </w:rPr>
            </w:pPr>
          </w:p>
        </w:tc>
      </w:tr>
      <w:tr>
        <w:trPr>
          <w:trHeight w:val="410"/>
        </w:trPr>
        <w:tc>
          <w:tcPr>
            <w:tcW w:w="700" w:type="dxa"/>
            <w:vAlign w:val="bottom"/>
          </w:tcPr>
          <w:p>
            <w:pPr>
              <w:spacing w:after="0"/>
              <w:rPr>
                <w:sz w:val="24"/>
                <w:szCs w:val="24"/>
                <w:color w:val="auto"/>
              </w:rPr>
            </w:pPr>
          </w:p>
        </w:tc>
        <w:tc>
          <w:tcPr>
            <w:tcW w:w="1760" w:type="dxa"/>
            <w:vAlign w:val="bottom"/>
            <w:gridSpan w:val="2"/>
          </w:tcPr>
          <w:p>
            <w:pPr>
              <w:jc w:val="center"/>
              <w:ind w:right="191"/>
              <w:spacing w:after="0"/>
              <w:rPr>
                <w:sz w:val="20"/>
                <w:szCs w:val="20"/>
                <w:color w:val="auto"/>
              </w:rPr>
            </w:pPr>
            <w:r>
              <w:rPr>
                <w:rFonts w:ascii="Arial" w:cs="Arial" w:eastAsia="Arial" w:hAnsi="Arial"/>
                <w:sz w:val="15"/>
                <w:szCs w:val="15"/>
                <w:b w:val="1"/>
                <w:bCs w:val="1"/>
                <w:color w:val="auto"/>
                <w:w w:val="94"/>
              </w:rPr>
              <w:t>Delaware</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tcPr>
          <w:p>
            <w:pPr>
              <w:jc w:val="center"/>
              <w:ind w:left="266"/>
              <w:spacing w:after="0"/>
              <w:rPr>
                <w:sz w:val="20"/>
                <w:szCs w:val="20"/>
                <w:color w:val="auto"/>
              </w:rPr>
            </w:pPr>
            <w:r>
              <w:rPr>
                <w:rFonts w:ascii="Arial" w:cs="Arial" w:eastAsia="Arial" w:hAnsi="Arial"/>
                <w:sz w:val="15"/>
                <w:szCs w:val="15"/>
                <w:b w:val="1"/>
                <w:bCs w:val="1"/>
                <w:color w:val="auto"/>
                <w:w w:val="94"/>
              </w:rPr>
              <w:t>46-4332431</w:t>
            </w:r>
          </w:p>
        </w:tc>
      </w:tr>
      <w:tr>
        <w:trPr>
          <w:trHeight w:val="155"/>
        </w:trPr>
        <w:tc>
          <w:tcPr>
            <w:tcW w:w="2460" w:type="dxa"/>
            <w:vAlign w:val="bottom"/>
            <w:gridSpan w:val="3"/>
          </w:tcPr>
          <w:p>
            <w:pPr>
              <w:jc w:val="center"/>
              <w:ind w:left="386"/>
              <w:spacing w:after="0" w:line="155" w:lineRule="exact"/>
              <w:rPr>
                <w:sz w:val="20"/>
                <w:szCs w:val="20"/>
                <w:color w:val="auto"/>
              </w:rPr>
            </w:pPr>
            <w:r>
              <w:rPr>
                <w:rFonts w:ascii="Arial" w:cs="Arial" w:eastAsia="Arial" w:hAnsi="Arial"/>
                <w:sz w:val="15"/>
                <w:szCs w:val="15"/>
                <w:color w:val="auto"/>
                <w:w w:val="95"/>
              </w:rPr>
              <w:t>(State or other jurisdiction of</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60" w:type="dxa"/>
            <w:vAlign w:val="bottom"/>
          </w:tcPr>
          <w:p>
            <w:pPr>
              <w:jc w:val="center"/>
              <w:ind w:left="286"/>
              <w:spacing w:after="0" w:line="155" w:lineRule="exact"/>
              <w:rPr>
                <w:sz w:val="20"/>
                <w:szCs w:val="20"/>
                <w:color w:val="auto"/>
              </w:rPr>
            </w:pPr>
            <w:r>
              <w:rPr>
                <w:rFonts w:ascii="Arial" w:cs="Arial" w:eastAsia="Arial" w:hAnsi="Arial"/>
                <w:sz w:val="15"/>
                <w:szCs w:val="15"/>
                <w:color w:val="auto"/>
                <w:w w:val="96"/>
              </w:rPr>
              <w:t>(I.R.S. Employer</w:t>
            </w:r>
          </w:p>
        </w:tc>
      </w:tr>
      <w:tr>
        <w:trPr>
          <w:trHeight w:val="196"/>
        </w:trPr>
        <w:tc>
          <w:tcPr>
            <w:tcW w:w="2460" w:type="dxa"/>
            <w:vAlign w:val="bottom"/>
            <w:gridSpan w:val="3"/>
          </w:tcPr>
          <w:p>
            <w:pPr>
              <w:jc w:val="center"/>
              <w:ind w:left="366"/>
              <w:spacing w:after="0"/>
              <w:rPr>
                <w:sz w:val="20"/>
                <w:szCs w:val="20"/>
                <w:color w:val="auto"/>
              </w:rPr>
            </w:pPr>
            <w:r>
              <w:rPr>
                <w:rFonts w:ascii="Arial" w:cs="Arial" w:eastAsia="Arial" w:hAnsi="Arial"/>
                <w:sz w:val="15"/>
                <w:szCs w:val="15"/>
                <w:color w:val="auto"/>
                <w:w w:val="95"/>
              </w:rPr>
              <w:t>incorporation or organization)</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60" w:type="dxa"/>
            <w:vAlign w:val="bottom"/>
          </w:tcPr>
          <w:p>
            <w:pPr>
              <w:jc w:val="center"/>
              <w:ind w:left="266"/>
              <w:spacing w:after="0"/>
              <w:rPr>
                <w:sz w:val="20"/>
                <w:szCs w:val="20"/>
                <w:color w:val="auto"/>
              </w:rPr>
            </w:pPr>
            <w:r>
              <w:rPr>
                <w:rFonts w:ascii="Arial" w:cs="Arial" w:eastAsia="Arial" w:hAnsi="Arial"/>
                <w:sz w:val="15"/>
                <w:szCs w:val="15"/>
                <w:color w:val="auto"/>
                <w:w w:val="99"/>
              </w:rPr>
              <w:t>Identification No.)</w:t>
            </w:r>
          </w:p>
        </w:tc>
      </w:tr>
      <w:tr>
        <w:trPr>
          <w:trHeight w:val="322"/>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5"/>
              </w:rPr>
              <w:t>Upstart Holdings, Inc.</w:t>
            </w:r>
          </w:p>
        </w:tc>
        <w:tc>
          <w:tcPr>
            <w:tcW w:w="246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2"/>
              </w:rPr>
              <w:t>2950 S. Delaware Street, Suite 300</w:t>
            </w:r>
          </w:p>
        </w:tc>
        <w:tc>
          <w:tcPr>
            <w:tcW w:w="246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4"/>
              </w:rPr>
              <w:t>San Mateo, California 94403</w:t>
            </w:r>
          </w:p>
        </w:tc>
        <w:tc>
          <w:tcPr>
            <w:tcW w:w="2460" w:type="dxa"/>
            <w:vAlign w:val="bottom"/>
          </w:tcPr>
          <w:p>
            <w:pPr>
              <w:spacing w:after="0"/>
              <w:rPr>
                <w:sz w:val="17"/>
                <w:szCs w:val="17"/>
                <w:color w:val="auto"/>
              </w:rPr>
            </w:pPr>
          </w:p>
        </w:tc>
      </w:tr>
      <w:tr>
        <w:trPr>
          <w:trHeight w:val="174"/>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00" w:type="dxa"/>
            <w:vAlign w:val="bottom"/>
            <w:gridSpan w:val="3"/>
          </w:tcPr>
          <w:p>
            <w:pPr>
              <w:jc w:val="center"/>
              <w:spacing w:after="0"/>
              <w:rPr>
                <w:sz w:val="20"/>
                <w:szCs w:val="20"/>
                <w:color w:val="auto"/>
              </w:rPr>
            </w:pPr>
            <w:r>
              <w:rPr>
                <w:rFonts w:ascii="Arial" w:cs="Arial" w:eastAsia="Arial" w:hAnsi="Arial"/>
                <w:sz w:val="14"/>
                <w:szCs w:val="14"/>
                <w:color w:val="auto"/>
                <w:w w:val="90"/>
              </w:rPr>
              <w:t>(Address of principal executive offices, including zip code)</w:t>
            </w:r>
          </w:p>
        </w:tc>
        <w:tc>
          <w:tcPr>
            <w:tcW w:w="2460" w:type="dxa"/>
            <w:vAlign w:val="bottom"/>
          </w:tcPr>
          <w:p>
            <w:pPr>
              <w:spacing w:after="0"/>
              <w:rPr>
                <w:sz w:val="15"/>
                <w:szCs w:val="15"/>
                <w:color w:val="auto"/>
              </w:rPr>
            </w:pPr>
          </w:p>
        </w:tc>
      </w:tr>
      <w:tr>
        <w:trPr>
          <w:trHeight w:val="225"/>
        </w:trPr>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3"/>
              </w:rPr>
              <w:t>(833) 212-2461</w:t>
            </w:r>
          </w:p>
        </w:tc>
        <w:tc>
          <w:tcPr>
            <w:tcW w:w="2460" w:type="dxa"/>
            <w:vAlign w:val="bottom"/>
          </w:tcPr>
          <w:p>
            <w:pPr>
              <w:spacing w:after="0"/>
              <w:rPr>
                <w:sz w:val="19"/>
                <w:szCs w:val="19"/>
                <w:color w:val="auto"/>
              </w:rPr>
            </w:pPr>
          </w:p>
        </w:tc>
      </w:tr>
      <w:tr>
        <w:trPr>
          <w:trHeight w:val="174"/>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(Registrant’s telephone number, including area code)</w:t>
            </w:r>
          </w:p>
        </w:tc>
        <w:tc>
          <w:tcPr>
            <w:tcW w:w="2460" w:type="dxa"/>
            <w:vAlign w:val="bottom"/>
          </w:tcPr>
          <w:p>
            <w:pPr>
              <w:spacing w:after="0"/>
              <w:rPr>
                <w:sz w:val="15"/>
                <w:szCs w:val="15"/>
                <w:color w:val="auto"/>
              </w:rPr>
            </w:pPr>
          </w:p>
        </w:tc>
      </w:tr>
      <w:tr>
        <w:trPr>
          <w:trHeight w:val="277"/>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gridSpan w:val="3"/>
          </w:tcPr>
          <w:p>
            <w:pPr>
              <w:jc w:val="center"/>
              <w:spacing w:after="0"/>
              <w:rPr>
                <w:sz w:val="20"/>
                <w:szCs w:val="20"/>
                <w:color w:val="auto"/>
              </w:rPr>
            </w:pPr>
            <w:r>
              <w:rPr>
                <w:rFonts w:ascii="Arial" w:cs="Arial" w:eastAsia="Arial" w:hAnsi="Arial"/>
                <w:sz w:val="15"/>
                <w:szCs w:val="15"/>
                <w:color w:val="auto"/>
                <w:w w:val="93"/>
              </w:rPr>
              <w:t>_________________________</w:t>
            </w:r>
          </w:p>
        </w:tc>
        <w:tc>
          <w:tcPr>
            <w:tcW w:w="246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80" w:type="dxa"/>
            <w:vAlign w:val="bottom"/>
            <w:gridSpan w:val="5"/>
          </w:tcPr>
          <w:p>
            <w:pPr>
              <w:jc w:val="center"/>
              <w:ind w:right="1686"/>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r>
      <w:tr>
        <w:trPr>
          <w:trHeight w:val="179"/>
        </w:trPr>
        <w:tc>
          <w:tcPr>
            <w:tcW w:w="7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Title of each class:</w:t>
            </w:r>
          </w:p>
        </w:tc>
        <w:tc>
          <w:tcPr>
            <w:tcW w:w="720" w:type="dxa"/>
            <w:vAlign w:val="bottom"/>
          </w:tcPr>
          <w:p>
            <w:pPr>
              <w:spacing w:after="0"/>
              <w:rPr>
                <w:sz w:val="15"/>
                <w:szCs w:val="15"/>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Trading Symbol</w:t>
            </w:r>
          </w:p>
        </w:tc>
        <w:tc>
          <w:tcPr>
            <w:tcW w:w="2460" w:type="dxa"/>
            <w:vAlign w:val="bottom"/>
          </w:tcPr>
          <w:p>
            <w:pPr>
              <w:jc w:val="center"/>
              <w:spacing w:after="0"/>
              <w:rPr>
                <w:sz w:val="20"/>
                <w:szCs w:val="20"/>
                <w:color w:val="auto"/>
              </w:rPr>
            </w:pPr>
            <w:r>
              <w:rPr>
                <w:rFonts w:ascii="Arial" w:cs="Arial" w:eastAsia="Arial" w:hAnsi="Arial"/>
                <w:sz w:val="14"/>
                <w:szCs w:val="14"/>
                <w:color w:val="auto"/>
                <w:w w:val="87"/>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188"/>
        </w:trPr>
        <w:tc>
          <w:tcPr>
            <w:tcW w:w="2460" w:type="dxa"/>
            <w:vAlign w:val="bottom"/>
            <w:gridSpan w:val="3"/>
          </w:tcPr>
          <w:p>
            <w:pPr>
              <w:jc w:val="center"/>
              <w:spacing w:after="0"/>
              <w:rPr>
                <w:sz w:val="20"/>
                <w:szCs w:val="20"/>
                <w:color w:val="auto"/>
              </w:rPr>
            </w:pPr>
            <w:r>
              <w:rPr>
                <w:rFonts w:ascii="Arial" w:cs="Arial" w:eastAsia="Arial" w:hAnsi="Arial"/>
                <w:sz w:val="14"/>
                <w:szCs w:val="14"/>
                <w:color w:val="auto"/>
                <w:w w:val="87"/>
              </w:rPr>
              <w:t>Common Stock, par value $0.0001 per share</w:t>
            </w:r>
          </w:p>
        </w:tc>
        <w:tc>
          <w:tcPr>
            <w:tcW w:w="1200" w:type="dxa"/>
            <w:vAlign w:val="bottom"/>
          </w:tcPr>
          <w:p>
            <w:pPr>
              <w:spacing w:after="0"/>
              <w:rPr>
                <w:sz w:val="16"/>
                <w:szCs w:val="16"/>
                <w:color w:val="auto"/>
              </w:rPr>
            </w:pPr>
          </w:p>
        </w:tc>
        <w:tc>
          <w:tcPr>
            <w:tcW w:w="2100" w:type="dxa"/>
            <w:vAlign w:val="bottom"/>
            <w:gridSpan w:val="2"/>
          </w:tcPr>
          <w:p>
            <w:pPr>
              <w:jc w:val="center"/>
              <w:ind w:right="1200"/>
              <w:spacing w:after="0"/>
              <w:rPr>
                <w:sz w:val="20"/>
                <w:szCs w:val="20"/>
                <w:color w:val="auto"/>
              </w:rPr>
            </w:pPr>
            <w:r>
              <w:rPr>
                <w:rFonts w:ascii="Arial" w:cs="Arial" w:eastAsia="Arial" w:hAnsi="Arial"/>
                <w:sz w:val="14"/>
                <w:szCs w:val="14"/>
                <w:color w:val="auto"/>
                <w:w w:val="90"/>
              </w:rPr>
              <w:t>UPST</w:t>
            </w:r>
          </w:p>
        </w:tc>
        <w:tc>
          <w:tcPr>
            <w:tcW w:w="2460" w:type="dxa"/>
            <w:vAlign w:val="bottom"/>
          </w:tcPr>
          <w:p>
            <w:pPr>
              <w:jc w:val="center"/>
              <w:spacing w:after="0"/>
              <w:rPr>
                <w:sz w:val="20"/>
                <w:szCs w:val="20"/>
                <w:color w:val="auto"/>
              </w:rPr>
            </w:pPr>
            <w:r>
              <w:rPr>
                <w:rFonts w:ascii="Arial" w:cs="Arial" w:eastAsia="Arial" w:hAnsi="Arial"/>
                <w:sz w:val="14"/>
                <w:szCs w:val="14"/>
                <w:color w:val="auto"/>
                <w:w w:val="88"/>
              </w:rPr>
              <w:t>Nasdaq Global Select Market</w:t>
            </w:r>
          </w:p>
        </w:tc>
      </w:tr>
    </w:tbl>
    <w:p>
      <w:pPr>
        <w:spacing w:after="0" w:line="199" w:lineRule="exact"/>
        <w:rPr>
          <w:sz w:val="24"/>
          <w:szCs w:val="24"/>
          <w:color w:val="auto"/>
        </w:rPr>
      </w:pPr>
    </w:p>
    <w:p>
      <w:pPr>
        <w:spacing w:after="0" w:line="20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20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93"/>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8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060" w:type="dxa"/>
            <w:vAlign w:val="bottom"/>
          </w:tcPr>
          <w:p>
            <w:pPr>
              <w:ind w:left="298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4"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0"/>
          <w:szCs w:val="20"/>
          <w:color w:val="auto"/>
        </w:rPr>
      </w:pPr>
    </w:p>
    <w:p>
      <w:pPr>
        <w:ind w:right="4820"/>
        <w:spacing w:after="0" w:line="23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1, 2023 there were 83,887,658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195"/>
        </w:trPr>
        <w:tc>
          <w:tcPr>
            <w:tcW w:w="5400" w:type="dxa"/>
            <w:vAlign w:val="bottom"/>
            <w:tcBorders>
              <w:bottom w:val="single" w:sz="8" w:color="0000FF"/>
            </w:tcBorders>
            <w:gridSpan w:val="15"/>
          </w:tcPr>
          <w:p>
            <w:pPr>
              <w:spacing w:after="0" w:line="175" w:lineRule="exact"/>
              <w:rPr>
                <w:sz w:val="20"/>
                <w:szCs w:val="20"/>
                <w:color w:val="auto"/>
              </w:rPr>
            </w:pPr>
            <w:r>
              <w:rPr>
                <w:rFonts w:ascii="Arial" w:cs="Arial" w:eastAsia="Arial" w:hAnsi="Arial"/>
                <w:sz w:val="17"/>
                <w:szCs w:val="17"/>
                <w:b w:val="1"/>
                <w:bCs w:val="1"/>
                <w:color w:val="0000FF"/>
              </w:rPr>
              <w:t>SPECIAL NOTE REGARDING FORWARD-LOOKING STATEMENTS</w:t>
            </w:r>
          </w:p>
        </w:tc>
        <w:tc>
          <w:tcPr>
            <w:tcW w:w="2440" w:type="dxa"/>
            <w:vAlign w:val="bottom"/>
            <w:gridSpan w:val="6"/>
          </w:tcPr>
          <w:p>
            <w:pPr>
              <w:spacing w:after="0"/>
              <w:rPr>
                <w:sz w:val="16"/>
                <w:szCs w:val="16"/>
                <w:color w:val="auto"/>
              </w:rPr>
            </w:pPr>
          </w:p>
        </w:tc>
        <w:tc>
          <w:tcPr>
            <w:tcW w:w="3360" w:type="dxa"/>
            <w:vAlign w:val="bottom"/>
          </w:tcPr>
          <w:p>
            <w:pPr>
              <w:jc w:val="right"/>
              <w:spacing w:after="0" w:line="175" w:lineRule="exact"/>
              <w:rPr>
                <w:sz w:val="20"/>
                <w:szCs w:val="20"/>
                <w:color w:val="auto"/>
              </w:rPr>
            </w:pPr>
            <w:r>
              <w:rPr>
                <w:rFonts w:ascii="Arial" w:cs="Arial" w:eastAsia="Arial" w:hAnsi="Arial"/>
                <w:sz w:val="17"/>
                <w:szCs w:val="17"/>
                <w:color w:val="auto"/>
              </w:rPr>
              <w:t>4</w:t>
            </w:r>
          </w:p>
        </w:tc>
      </w:tr>
      <w:tr>
        <w:trPr>
          <w:trHeight w:val="483"/>
        </w:trPr>
        <w:tc>
          <w:tcPr>
            <w:tcW w:w="29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b w:val="1"/>
                <w:bCs w:val="1"/>
                <w:color w:val="0000FF"/>
              </w:rPr>
              <w:t>PART I. FINANCIAL INFORMATION</w:t>
            </w:r>
          </w:p>
        </w:tc>
        <w:tc>
          <w:tcPr>
            <w:tcW w:w="4920" w:type="dxa"/>
            <w:vAlign w:val="bottom"/>
            <w:gridSpan w:val="15"/>
          </w:tcPr>
          <w:p>
            <w:pPr>
              <w:spacing w:after="0"/>
              <w:rPr>
                <w:sz w:val="24"/>
                <w:szCs w:val="24"/>
                <w:color w:val="auto"/>
              </w:rPr>
            </w:pPr>
          </w:p>
        </w:tc>
        <w:tc>
          <w:tcPr>
            <w:tcW w:w="3360" w:type="dxa"/>
            <w:vAlign w:val="bottom"/>
          </w:tcPr>
          <w:p>
            <w:pPr>
              <w:spacing w:after="0"/>
              <w:rPr>
                <w:sz w:val="24"/>
                <w:szCs w:val="24"/>
                <w:color w:val="auto"/>
              </w:rPr>
            </w:pPr>
          </w:p>
        </w:tc>
      </w:tr>
      <w:tr>
        <w:trPr>
          <w:trHeight w:val="199"/>
        </w:trPr>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6140" w:type="dxa"/>
            <w:vAlign w:val="bottom"/>
            <w:gridSpan w:val="18"/>
          </w:tcPr>
          <w:p>
            <w:pPr>
              <w:spacing w:after="0"/>
              <w:rPr>
                <w:sz w:val="20"/>
                <w:szCs w:val="20"/>
                <w:color w:val="auto"/>
              </w:rPr>
            </w:pPr>
            <w:r>
              <w:rPr>
                <w:rFonts w:ascii="Arial" w:cs="Arial" w:eastAsia="Arial" w:hAnsi="Arial"/>
                <w:sz w:val="17"/>
                <w:szCs w:val="17"/>
                <w:color w:val="0000FF"/>
              </w:rPr>
              <w:t>Financial Statements</w:t>
            </w:r>
          </w:p>
        </w:tc>
        <w:tc>
          <w:tcPr>
            <w:tcW w:w="33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88"/>
              </w:rPr>
              <w:t>Condensed Consolidated Balance Sheets</w:t>
            </w:r>
          </w:p>
        </w:tc>
        <w:tc>
          <w:tcPr>
            <w:tcW w:w="3340" w:type="dxa"/>
            <w:vAlign w:val="bottom"/>
            <w:gridSpan w:val="9"/>
          </w:tcPr>
          <w:p>
            <w:pPr>
              <w:spacing w:after="0"/>
              <w:rPr>
                <w:sz w:val="17"/>
                <w:szCs w:val="17"/>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2"/>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94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0"/>
              </w:rPr>
              <w:t>Condensed Consolidated Statements of Operations and Comprehensive Income (Loss)</w:t>
            </w:r>
          </w:p>
        </w:tc>
        <w:tc>
          <w:tcPr>
            <w:tcW w:w="200" w:type="dxa"/>
            <w:vAlign w:val="bottom"/>
          </w:tcPr>
          <w:p>
            <w:pPr>
              <w:spacing w:after="0"/>
              <w:rPr>
                <w:sz w:val="18"/>
                <w:szCs w:val="18"/>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8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0"/>
              </w:rPr>
              <w:t>Condensed Consolidated Statements of Stockholders’ Equity</w:t>
            </w:r>
          </w:p>
        </w:tc>
        <w:tc>
          <w:tcPr>
            <w:tcW w:w="1960" w:type="dxa"/>
            <w:vAlign w:val="bottom"/>
            <w:gridSpan w:val="2"/>
          </w:tcPr>
          <w:p>
            <w:pPr>
              <w:spacing w:after="0"/>
              <w:rPr>
                <w:sz w:val="17"/>
                <w:szCs w:val="17"/>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89"/>
              </w:rPr>
              <w:t>Condensed Consolidated Statements of Cash Flows</w:t>
            </w:r>
          </w:p>
        </w:tc>
        <w:tc>
          <w:tcPr>
            <w:tcW w:w="2600" w:type="dxa"/>
            <w:vAlign w:val="bottom"/>
            <w:gridSpan w:val="7"/>
          </w:tcPr>
          <w:p>
            <w:pPr>
              <w:spacing w:after="0"/>
              <w:rPr>
                <w:sz w:val="17"/>
                <w:szCs w:val="17"/>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2"/>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6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89"/>
              </w:rPr>
              <w:t>Notes to the Condensed Consolidated Financial Statements</w:t>
            </w:r>
          </w:p>
        </w:tc>
        <w:tc>
          <w:tcPr>
            <w:tcW w:w="2080" w:type="dxa"/>
            <w:vAlign w:val="bottom"/>
            <w:gridSpan w:val="5"/>
          </w:tcPr>
          <w:p>
            <w:pPr>
              <w:spacing w:after="0"/>
              <w:rPr>
                <w:sz w:val="18"/>
                <w:szCs w:val="18"/>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4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1"/>
              </w:rPr>
              <w:t>Management’s Discussion and Analysis of Financial Condition and Results of Operations</w:t>
            </w:r>
          </w:p>
        </w:tc>
        <w:tc>
          <w:tcPr>
            <w:tcW w:w="33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199"/>
        </w:trPr>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1980" w:type="dxa"/>
            <w:vAlign w:val="bottom"/>
            <w:gridSpan w:val="3"/>
          </w:tcPr>
          <w:p>
            <w:pPr>
              <w:spacing w:after="0"/>
              <w:rPr>
                <w:sz w:val="17"/>
                <w:szCs w:val="17"/>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2"/>
        </w:trPr>
        <w:tc>
          <w:tcPr>
            <w:tcW w:w="3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6140" w:type="dxa"/>
            <w:vAlign w:val="bottom"/>
            <w:gridSpan w:val="18"/>
          </w:tcPr>
          <w:p>
            <w:pPr>
              <w:spacing w:after="0"/>
              <w:rPr>
                <w:sz w:val="20"/>
                <w:szCs w:val="20"/>
                <w:color w:val="auto"/>
              </w:rPr>
            </w:pPr>
            <w:r>
              <w:rPr>
                <w:rFonts w:ascii="Arial" w:cs="Arial" w:eastAsia="Arial" w:hAnsi="Arial"/>
                <w:sz w:val="17"/>
                <w:szCs w:val="17"/>
                <w:color w:val="0000FF"/>
              </w:rPr>
              <w:t>Controls and Procedures</w:t>
            </w:r>
          </w:p>
        </w:tc>
        <w:tc>
          <w:tcPr>
            <w:tcW w:w="33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57"/>
        </w:trPr>
        <w:tc>
          <w:tcPr>
            <w:tcW w:w="264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b w:val="1"/>
                <w:bCs w:val="1"/>
                <w:color w:val="0000FF"/>
              </w:rPr>
              <w:t>PART II. OTHER INFORMATION</w:t>
            </w:r>
          </w:p>
        </w:tc>
        <w:tc>
          <w:tcPr>
            <w:tcW w:w="5200" w:type="dxa"/>
            <w:vAlign w:val="bottom"/>
            <w:gridSpan w:val="16"/>
          </w:tcPr>
          <w:p>
            <w:pPr>
              <w:spacing w:after="0"/>
              <w:rPr>
                <w:sz w:val="24"/>
                <w:szCs w:val="24"/>
                <w:color w:val="auto"/>
              </w:rPr>
            </w:pPr>
          </w:p>
        </w:tc>
        <w:tc>
          <w:tcPr>
            <w:tcW w:w="3360" w:type="dxa"/>
            <w:vAlign w:val="bottom"/>
          </w:tcPr>
          <w:p>
            <w:pPr>
              <w:spacing w:after="0"/>
              <w:rPr>
                <w:sz w:val="24"/>
                <w:szCs w:val="24"/>
                <w:color w:val="auto"/>
              </w:rPr>
            </w:pPr>
          </w:p>
        </w:tc>
      </w:tr>
      <w:tr>
        <w:trPr>
          <w:trHeight w:val="199"/>
        </w:trPr>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6140" w:type="dxa"/>
            <w:vAlign w:val="bottom"/>
            <w:gridSpan w:val="18"/>
          </w:tcPr>
          <w:p>
            <w:pPr>
              <w:spacing w:after="0"/>
              <w:rPr>
                <w:sz w:val="20"/>
                <w:szCs w:val="20"/>
                <w:color w:val="auto"/>
              </w:rPr>
            </w:pPr>
            <w:r>
              <w:rPr>
                <w:rFonts w:ascii="Arial" w:cs="Arial" w:eastAsia="Arial" w:hAnsi="Arial"/>
                <w:sz w:val="17"/>
                <w:szCs w:val="17"/>
                <w:color w:val="0000FF"/>
              </w:rPr>
              <w:t>Legal Proceedings</w:t>
            </w:r>
          </w:p>
        </w:tc>
        <w:tc>
          <w:tcPr>
            <w:tcW w:w="33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12"/>
        </w:trPr>
        <w:tc>
          <w:tcPr>
            <w:tcW w:w="3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88"/>
              </w:rPr>
              <w:t>Risk Factors</w:t>
            </w:r>
          </w:p>
        </w:tc>
        <w:tc>
          <w:tcPr>
            <w:tcW w:w="400" w:type="dxa"/>
            <w:vAlign w:val="bottom"/>
            <w:tcBorders>
              <w:top w:val="single" w:sz="8" w:color="0000FF"/>
            </w:tcBorders>
            <w:gridSpan w:val="4"/>
          </w:tcPr>
          <w:p>
            <w:pPr>
              <w:spacing w:after="0"/>
              <w:rPr>
                <w:sz w:val="18"/>
                <w:szCs w:val="18"/>
                <w:color w:val="auto"/>
              </w:rPr>
            </w:pPr>
          </w:p>
        </w:tc>
        <w:tc>
          <w:tcPr>
            <w:tcW w:w="4880" w:type="dxa"/>
            <w:vAlign w:val="bottom"/>
            <w:gridSpan w:val="13"/>
          </w:tcPr>
          <w:p>
            <w:pPr>
              <w:spacing w:after="0"/>
              <w:rPr>
                <w:sz w:val="18"/>
                <w:szCs w:val="18"/>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199"/>
        </w:trPr>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40" w:type="dxa"/>
            <w:vAlign w:val="bottom"/>
            <w:gridSpan w:val="18"/>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336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199"/>
        </w:trPr>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22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7"/>
                <w:szCs w:val="17"/>
                <w:color w:val="0000FF"/>
                <w:w w:val="91"/>
              </w:rPr>
              <w:t>Defaults Upon Senior Securities</w:t>
            </w:r>
          </w:p>
        </w:tc>
        <w:tc>
          <w:tcPr>
            <w:tcW w:w="1920" w:type="dxa"/>
            <w:vAlign w:val="bottom"/>
            <w:tcBorders>
              <w:top w:val="single" w:sz="8" w:color="0000FF"/>
            </w:tcBorders>
            <w:gridSpan w:val="6"/>
          </w:tcPr>
          <w:p>
            <w:pPr>
              <w:spacing w:after="0"/>
              <w:rPr>
                <w:sz w:val="17"/>
                <w:szCs w:val="17"/>
                <w:color w:val="auto"/>
              </w:rPr>
            </w:pPr>
          </w:p>
        </w:tc>
        <w:tc>
          <w:tcPr>
            <w:tcW w:w="2000" w:type="dxa"/>
            <w:vAlign w:val="bottom"/>
            <w:gridSpan w:val="4"/>
          </w:tcPr>
          <w:p>
            <w:pPr>
              <w:spacing w:after="0"/>
              <w:rPr>
                <w:sz w:val="17"/>
                <w:szCs w:val="17"/>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12"/>
        </w:trPr>
        <w:tc>
          <w:tcPr>
            <w:tcW w:w="3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6140" w:type="dxa"/>
            <w:vAlign w:val="bottom"/>
            <w:gridSpan w:val="18"/>
          </w:tcPr>
          <w:p>
            <w:pPr>
              <w:spacing w:after="0"/>
              <w:rPr>
                <w:sz w:val="20"/>
                <w:szCs w:val="20"/>
                <w:color w:val="auto"/>
              </w:rPr>
            </w:pPr>
            <w:r>
              <w:rPr>
                <w:rFonts w:ascii="Arial" w:cs="Arial" w:eastAsia="Arial" w:hAnsi="Arial"/>
                <w:sz w:val="17"/>
                <w:szCs w:val="17"/>
                <w:color w:val="0000FF"/>
              </w:rPr>
              <w:t>Mine Safety Disclosures</w:t>
            </w:r>
          </w:p>
        </w:tc>
        <w:tc>
          <w:tcPr>
            <w:tcW w:w="336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199"/>
        </w:trPr>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68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Other Information</w:t>
            </w:r>
          </w:p>
        </w:tc>
        <w:tc>
          <w:tcPr>
            <w:tcW w:w="4460" w:type="dxa"/>
            <w:vAlign w:val="bottom"/>
            <w:gridSpan w:val="11"/>
          </w:tcPr>
          <w:p>
            <w:pPr>
              <w:spacing w:after="0"/>
              <w:rPr>
                <w:sz w:val="17"/>
                <w:szCs w:val="17"/>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Item 6.</w:t>
            </w:r>
          </w:p>
        </w:tc>
        <w:tc>
          <w:tcPr>
            <w:tcW w:w="6140" w:type="dxa"/>
            <w:vAlign w:val="bottom"/>
            <w:gridSpan w:val="18"/>
          </w:tcPr>
          <w:p>
            <w:pPr>
              <w:spacing w:after="0"/>
              <w:rPr>
                <w:sz w:val="20"/>
                <w:szCs w:val="20"/>
                <w:color w:val="auto"/>
              </w:rPr>
            </w:pPr>
            <w:r>
              <w:rPr>
                <w:rFonts w:ascii="Arial" w:cs="Arial" w:eastAsia="Arial" w:hAnsi="Arial"/>
                <w:sz w:val="17"/>
                <w:szCs w:val="17"/>
                <w:color w:val="0000FF"/>
              </w:rPr>
              <w:t>Exhibits and Financial Statement Schedules</w:t>
            </w:r>
          </w:p>
        </w:tc>
        <w:tc>
          <w:tcPr>
            <w:tcW w:w="336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12"/>
        </w:trPr>
        <w:tc>
          <w:tcPr>
            <w:tcW w:w="300" w:type="dxa"/>
            <w:vAlign w:val="bottom"/>
          </w:tcPr>
          <w:p>
            <w:pPr>
              <w:spacing w:after="0"/>
              <w:rPr>
                <w:sz w:val="18"/>
                <w:szCs w:val="18"/>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8"/>
              </w:rPr>
              <w:t>Signatures</w:t>
            </w:r>
          </w:p>
        </w:tc>
        <w:tc>
          <w:tcPr>
            <w:tcW w:w="660" w:type="dxa"/>
            <w:vAlign w:val="bottom"/>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jc w:val="right"/>
              <w:spacing w:after="0"/>
              <w:rPr>
                <w:sz w:val="20"/>
                <w:szCs w:val="20"/>
                <w:color w:val="auto"/>
              </w:rPr>
            </w:pPr>
            <w:r>
              <w:rPr>
                <w:rFonts w:ascii="Arial" w:cs="Arial" w:eastAsia="Arial" w:hAnsi="Arial"/>
                <w:sz w:val="17"/>
                <w:szCs w:val="17"/>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353" w:right="35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19" w:lineRule="exact"/>
        <w:rPr>
          <w:sz w:val="20"/>
          <w:szCs w:val="20"/>
          <w:color w:val="auto"/>
        </w:rPr>
      </w:pPr>
    </w:p>
    <w:p>
      <w:pPr>
        <w:ind w:left="620" w:right="380" w:hanging="307"/>
        <w:spacing w:after="0" w:line="279"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our operating expenses, our ability to determine reserves and our ability to achieve and maintain profitability;</w:t>
      </w:r>
    </w:p>
    <w:p>
      <w:pPr>
        <w:spacing w:after="0" w:line="99" w:lineRule="exact"/>
        <w:rPr>
          <w:rFonts w:ascii="Arial" w:cs="Arial" w:eastAsia="Arial" w:hAnsi="Arial"/>
          <w:sz w:val="17"/>
          <w:szCs w:val="17"/>
          <w:color w:val="auto"/>
        </w:rPr>
      </w:pPr>
    </w:p>
    <w:p>
      <w:pPr>
        <w:ind w:left="620" w:right="380" w:hanging="307"/>
        <w:spacing w:after="0" w:line="279"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improve the effectiveness and predictiveness of our AI models and our expectations that improvements in our AI models can lead to higher approval rates and lower interest rates;</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increase the volume of loans facilitated through our AI lending marketplace;</w:t>
      </w:r>
    </w:p>
    <w:p>
      <w:pPr>
        <w:spacing w:after="0" w:line="152" w:lineRule="exact"/>
        <w:rPr>
          <w:rFonts w:ascii="Arial" w:cs="Arial" w:eastAsia="Arial" w:hAnsi="Arial"/>
          <w:sz w:val="17"/>
          <w:szCs w:val="17"/>
          <w:color w:val="auto"/>
        </w:rPr>
      </w:pPr>
    </w:p>
    <w:p>
      <w:pPr>
        <w:ind w:left="620" w:right="380" w:hanging="307"/>
        <w:spacing w:after="0" w:line="279"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maintain a diversified and resilient loan funding strategy, including lending partnerships and whole loan sales and securitization transactions;</w:t>
      </w:r>
    </w:p>
    <w:p>
      <w:pPr>
        <w:spacing w:after="0" w:line="99" w:lineRule="exact"/>
        <w:rPr>
          <w:rFonts w:ascii="Arial" w:cs="Arial" w:eastAsia="Arial" w:hAnsi="Arial"/>
          <w:sz w:val="17"/>
          <w:szCs w:val="17"/>
          <w:color w:val="auto"/>
        </w:rPr>
      </w:pPr>
    </w:p>
    <w:p>
      <w:pPr>
        <w:ind w:left="620" w:right="380" w:hanging="307"/>
        <w:spacing w:after="0" w:line="279"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capital allocation plans, including expectations regarding funding loans through our balance sheet and allocations of cash and timing for any share repurchases and other investments;</w:t>
      </w:r>
    </w:p>
    <w:p>
      <w:pPr>
        <w:spacing w:after="0" w:line="86" w:lineRule="exact"/>
        <w:rPr>
          <w:rFonts w:ascii="Arial" w:cs="Arial" w:eastAsia="Arial" w:hAnsi="Arial"/>
          <w:sz w:val="17"/>
          <w:szCs w:val="17"/>
          <w:color w:val="auto"/>
        </w:rPr>
      </w:pPr>
    </w:p>
    <w:p>
      <w:pPr>
        <w:ind w:left="620" w:right="380" w:hanging="307"/>
        <w:spacing w:after="0" w:line="279"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maintain competitive interest rates offered to borrowers on our platform, while enabling our lending partners and institutional investors to achieve an adequate return over their cost of funding;</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build our brand and protect our reputation from negative publicity;</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increase the effectiveness of our marketing strategies, including our direct consumer marketing initiatives;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macroeconomic events, including rising interest and inflation rates and monetary policy changes;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the credit performance of Upstart-powered loans;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recent bank failures, including disruption in the banking industry, and any associated effects on our business and industry;</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the COVID-19 pandemic and any associated economic downturn on our business and results of operations;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and management of future growth, including expanding the number of potential borrowers;</w:t>
      </w:r>
    </w:p>
    <w:p>
      <w:pPr>
        <w:spacing w:after="0" w:line="152" w:lineRule="exact"/>
        <w:rPr>
          <w:rFonts w:ascii="Arial" w:cs="Arial" w:eastAsia="Arial" w:hAnsi="Arial"/>
          <w:sz w:val="17"/>
          <w:szCs w:val="17"/>
          <w:color w:val="auto"/>
        </w:rPr>
      </w:pPr>
    </w:p>
    <w:p>
      <w:pPr>
        <w:ind w:left="620" w:right="380" w:hanging="307"/>
        <w:spacing w:after="0" w:line="279"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reductions in workforce announced in November 2022 and January 2023, including our ability to successfully implement such reductions in workforce or achieve the anticipated cost reductions;</w:t>
      </w:r>
    </w:p>
    <w:p>
      <w:pPr>
        <w:spacing w:after="0" w:line="86" w:lineRule="exact"/>
        <w:rPr>
          <w:rFonts w:ascii="Arial" w:cs="Arial" w:eastAsia="Arial" w:hAnsi="Arial"/>
          <w:sz w:val="17"/>
          <w:szCs w:val="17"/>
          <w:color w:val="auto"/>
        </w:rPr>
      </w:pPr>
    </w:p>
    <w:p>
      <w:pPr>
        <w:ind w:left="620" w:right="380" w:hanging="307"/>
        <w:spacing w:after="0" w:line="279"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compliance with applicable local, state and federal laws;</w:t>
      </w:r>
    </w:p>
    <w:p>
      <w:pPr>
        <w:spacing w:after="0" w:line="139" w:lineRule="exact"/>
        <w:rPr>
          <w:rFonts w:ascii="Arial" w:cs="Arial" w:eastAsia="Arial" w:hAnsi="Arial"/>
          <w:sz w:val="17"/>
          <w:szCs w:val="17"/>
          <w:color w:val="auto"/>
        </w:rPr>
      </w:pPr>
    </w:p>
    <w:p>
      <w:pPr>
        <w:ind w:left="620" w:right="380" w:hanging="307"/>
        <w:spacing w:after="0" w:line="279"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comply with and successfully adapt to complex and evolving regulatory environments, including regulation of artificial intelligence and machine learning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regulatory support of our approach to AI-based lending;</w:t>
      </w:r>
    </w:p>
    <w:p>
      <w:pPr>
        <w:spacing w:after="0" w:line="139" w:lineRule="exact"/>
        <w:rPr>
          <w:rFonts w:ascii="Arial" w:cs="Arial" w:eastAsia="Arial" w:hAnsi="Arial"/>
          <w:sz w:val="17"/>
          <w:szCs w:val="17"/>
          <w:color w:val="auto"/>
        </w:rPr>
      </w:pPr>
    </w:p>
    <w:p>
      <w:pPr>
        <w:ind w:left="620" w:right="380" w:hanging="307"/>
        <w:spacing w:after="0" w:line="279"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the success of our strategic investments and acquisitions, including the integration of acquired operations, products, technology, internal controls and personnel;</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new and evolving markets and our ability to enter into new markets and introduce new products and services;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concerning relationships with third parties;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protect against increasingly sophisticated fraudulent borrowing and online theft;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service our loans and pursue collection of delinquent and defaulted loans;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compete with companies that are currently in, or may in the future enter, the markets in which we operate;</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effectively secure and maintain the confidentiality of the information received, accessed, stored, provided and used across our systems;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successfully obtain and maintain corporate funding and liquidity to support continued growth and for general corporate purposes;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attract, integrate and retain qualified employees;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maintain an effective system of disclosure controls and internal control over financial reporting and operations;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effectively manage and expand the capabilities of our operations teams, outsourcing relationships and other business operations;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outstanding litigation and regulatory investigations; and</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manage the increased expenses associated with being a public company.</w:t>
      </w:r>
    </w:p>
    <w:p>
      <w:pPr>
        <w:spacing w:after="0" w:line="242"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We caution you that the foregoing list may not contain all of the forward-looking statements made in this report.</w:t>
      </w:r>
    </w:p>
    <w:p>
      <w:pPr>
        <w:spacing w:after="0" w:line="2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19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Each of the terms the “Company,” “we,” “our,” “us” and similar terms used herein refer collectively to Upstart Holdings, Inc., a Delaware corporation, and its consolidated subsidiaries,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181610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1.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1"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5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(In thousands, except share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422,411</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443,672</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66,221</w:t>
            </w:r>
          </w:p>
        </w:tc>
        <w:tc>
          <w:tcPr>
            <w:tcW w:w="0" w:type="dxa"/>
            <w:vAlign w:val="bottom"/>
          </w:tcPr>
          <w:p>
            <w:pPr>
              <w:spacing w:after="0"/>
              <w:rPr>
                <w:sz w:val="1"/>
                <w:szCs w:val="1"/>
                <w:color w:val="auto"/>
              </w:rPr>
            </w:pP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Loans (at fair value)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1,010,421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837,565</w:t>
            </w:r>
          </w:p>
        </w:tc>
        <w:tc>
          <w:tcPr>
            <w:tcW w:w="0" w:type="dxa"/>
            <w:vAlign w:val="bottom"/>
          </w:tcPr>
          <w:p>
            <w:pPr>
              <w:spacing w:after="0"/>
              <w:rPr>
                <w:sz w:val="1"/>
                <w:szCs w:val="1"/>
                <w:color w:val="auto"/>
              </w:rPr>
            </w:pP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 net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47,010</w:t>
            </w:r>
          </w:p>
        </w:tc>
        <w:tc>
          <w:tcPr>
            <w:tcW w:w="0" w:type="dxa"/>
            <w:vAlign w:val="bottom"/>
          </w:tcPr>
          <w:p>
            <w:pPr>
              <w:spacing w:after="0"/>
              <w:rPr>
                <w:sz w:val="1"/>
                <w:szCs w:val="1"/>
                <w:color w:val="auto"/>
              </w:rPr>
            </w:pP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Operating lease right of use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86,335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80,349</w:t>
            </w: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Beneficial interests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28,664</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41,250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41,250</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67,062</w:t>
            </w:r>
          </w:p>
        </w:tc>
        <w:tc>
          <w:tcPr>
            <w:tcW w:w="0" w:type="dxa"/>
            <w:vAlign w:val="bottom"/>
          </w:tcPr>
          <w:p>
            <w:pPr>
              <w:spacing w:after="0"/>
              <w:rPr>
                <w:sz w:val="1"/>
                <w:szCs w:val="1"/>
                <w:color w:val="auto"/>
              </w:rPr>
            </w:pPr>
          </w:p>
        </w:tc>
      </w:tr>
      <w:tr>
        <w:trPr>
          <w:trHeight w:val="168"/>
        </w:trPr>
        <w:tc>
          <w:tcPr>
            <w:tcW w:w="7860" w:type="dxa"/>
            <w:vAlign w:val="bottom"/>
          </w:tcPr>
          <w:p>
            <w:pPr>
              <w:ind w:left="20"/>
              <w:spacing w:after="0" w:line="168" w:lineRule="exact"/>
              <w:rPr>
                <w:sz w:val="20"/>
                <w:szCs w:val="20"/>
                <w:color w:val="auto"/>
              </w:rPr>
            </w:pPr>
            <w:r>
              <w:rPr>
                <w:rFonts w:ascii="Arial" w:cs="Arial" w:eastAsia="Arial" w:hAnsi="Arial"/>
                <w:sz w:val="17"/>
                <w:szCs w:val="17"/>
                <w:color w:val="auto"/>
              </w:rPr>
              <w:t>Other assets (includes $42,648 and $47,585 at fair value as of December 31, 2022 and June 30, 2023,</w:t>
            </w:r>
          </w:p>
        </w:tc>
        <w:tc>
          <w:tcPr>
            <w:tcW w:w="2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154,351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151,919</w:t>
            </w:r>
          </w:p>
        </w:tc>
        <w:tc>
          <w:tcPr>
            <w:tcW w:w="0" w:type="dxa"/>
            <w:vAlign w:val="bottom"/>
          </w:tcPr>
          <w:p>
            <w:pPr>
              <w:spacing w:after="0"/>
              <w:rPr>
                <w:sz w:val="1"/>
                <w:szCs w:val="1"/>
                <w:color w:val="auto"/>
              </w:rPr>
            </w:pP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respectively)</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860" w:type="dxa"/>
            <w:vAlign w:val="bottom"/>
            <w:shd w:val="clear" w:color="auto" w:fill="CCEEFF"/>
          </w:tcPr>
          <w:p>
            <w:pPr>
              <w:ind w:left="440"/>
              <w:spacing w:after="0" w:line="226" w:lineRule="exact"/>
              <w:rPr>
                <w:sz w:val="20"/>
                <w:szCs w:val="20"/>
                <w:color w:val="auto"/>
              </w:rPr>
            </w:pPr>
            <w:r>
              <w:rPr>
                <w:rFonts w:ascii="Arial" w:cs="Arial" w:eastAsia="Arial" w:hAnsi="Arial"/>
                <w:sz w:val="17"/>
                <w:szCs w:val="17"/>
                <w:color w:val="auto"/>
              </w:rPr>
              <w:t>Total assets</w:t>
            </w:r>
            <w:r>
              <w:rPr>
                <w:rFonts w:ascii="Arial" w:cs="Arial" w:eastAsia="Arial" w:hAnsi="Arial"/>
                <w:sz w:val="22"/>
                <w:szCs w:val="22"/>
                <w:color w:val="auto"/>
                <w:vertAlign w:val="superscript"/>
              </w:rPr>
              <w:t>(a)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1,936,054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1,763,712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18,715</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6,937</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Payable to investors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44,049</w:t>
            </w:r>
          </w:p>
        </w:tc>
        <w:tc>
          <w:tcPr>
            <w:tcW w:w="0" w:type="dxa"/>
            <w:vAlign w:val="bottom"/>
          </w:tcPr>
          <w:p>
            <w:pPr>
              <w:spacing w:after="0"/>
              <w:rPr>
                <w:sz w:val="1"/>
                <w:szCs w:val="1"/>
                <w:color w:val="auto"/>
              </w:rPr>
            </w:pPr>
          </w:p>
        </w:tc>
      </w:tr>
      <w:tr>
        <w:trPr>
          <w:trHeight w:val="218"/>
        </w:trPr>
        <w:tc>
          <w:tcPr>
            <w:tcW w:w="7860" w:type="dxa"/>
            <w:vAlign w:val="bottom"/>
          </w:tcPr>
          <w:p>
            <w:pPr>
              <w:ind w:left="220"/>
              <w:spacing w:after="0"/>
              <w:rPr>
                <w:sz w:val="20"/>
                <w:szCs w:val="20"/>
                <w:color w:val="auto"/>
              </w:rPr>
            </w:pPr>
            <w:r>
              <w:rPr>
                <w:rFonts w:ascii="Arial" w:cs="Arial" w:eastAsia="Arial" w:hAnsi="Arial"/>
                <w:sz w:val="17"/>
                <w:szCs w:val="17"/>
                <w:color w:val="auto"/>
              </w:rPr>
              <w:t>Borrowings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986,394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930,653</w:t>
            </w:r>
          </w:p>
        </w:tc>
        <w:tc>
          <w:tcPr>
            <w:tcW w:w="0" w:type="dxa"/>
            <w:vAlign w:val="bottom"/>
          </w:tcPr>
          <w:p>
            <w:pPr>
              <w:spacing w:after="0"/>
              <w:rPr>
                <w:sz w:val="1"/>
                <w:szCs w:val="1"/>
                <w:color w:val="auto"/>
              </w:rPr>
            </w:pPr>
          </w:p>
        </w:tc>
      </w:tr>
      <w:tr>
        <w:trPr>
          <w:trHeight w:val="182"/>
        </w:trPr>
        <w:tc>
          <w:tcPr>
            <w:tcW w:w="7860" w:type="dxa"/>
            <w:vAlign w:val="bottom"/>
            <w:shd w:val="clear" w:color="auto" w:fill="CCEEFF"/>
          </w:tcPr>
          <w:p>
            <w:pPr>
              <w:ind w:left="220"/>
              <w:spacing w:after="0" w:line="182" w:lineRule="exact"/>
              <w:rPr>
                <w:sz w:val="20"/>
                <w:szCs w:val="20"/>
                <w:color w:val="auto"/>
              </w:rPr>
            </w:pPr>
            <w:r>
              <w:rPr>
                <w:rFonts w:ascii="Arial" w:cs="Arial" w:eastAsia="Arial" w:hAnsi="Arial"/>
                <w:sz w:val="17"/>
                <w:szCs w:val="17"/>
                <w:color w:val="auto"/>
                <w:w w:val="92"/>
              </w:rPr>
              <w:t>Accrued expenses and other liabilities (includes $8,820 and $6,927 at fair value as of December 31, 2022 and</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June 30, 2023, respectively)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47,689</w:t>
            </w:r>
          </w:p>
        </w:tc>
        <w:tc>
          <w:tcPr>
            <w:tcW w:w="0" w:type="dxa"/>
            <w:vAlign w:val="bottom"/>
          </w:tcPr>
          <w:p>
            <w:pPr>
              <w:spacing w:after="0"/>
              <w:rPr>
                <w:sz w:val="1"/>
                <w:szCs w:val="1"/>
                <w:color w:val="auto"/>
              </w:rPr>
            </w:pPr>
          </w:p>
        </w:tc>
      </w:tr>
      <w:tr>
        <w:trPr>
          <w:trHeight w:val="218"/>
        </w:trPr>
        <w:tc>
          <w:tcPr>
            <w:tcW w:w="7860" w:type="dxa"/>
            <w:vAlign w:val="bottom"/>
          </w:tcPr>
          <w:p>
            <w:pPr>
              <w:ind w:left="220"/>
              <w:spacing w:after="0"/>
              <w:rPr>
                <w:sz w:val="20"/>
                <w:szCs w:val="20"/>
                <w:color w:val="auto"/>
              </w:rPr>
            </w:pPr>
            <w:r>
              <w:rPr>
                <w:rFonts w:ascii="Arial" w:cs="Arial" w:eastAsia="Arial" w:hAnsi="Arial"/>
                <w:sz w:val="17"/>
                <w:szCs w:val="17"/>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100,787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96,239</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shd w:val="clear" w:color="auto" w:fill="CCEEFF"/>
          </w:tcPr>
          <w:p>
            <w:pPr>
              <w:ind w:left="440"/>
              <w:spacing w:after="0" w:line="212" w:lineRule="exact"/>
              <w:rPr>
                <w:sz w:val="20"/>
                <w:szCs w:val="20"/>
                <w:color w:val="auto"/>
              </w:rPr>
            </w:pPr>
            <w:r>
              <w:rPr>
                <w:rFonts w:ascii="Arial" w:cs="Arial" w:eastAsia="Arial" w:hAnsi="Arial"/>
                <w:sz w:val="17"/>
                <w:szCs w:val="17"/>
                <w:color w:val="auto"/>
              </w:rPr>
              <w:t>Total liabilities</w:t>
            </w:r>
            <w:r>
              <w:rPr>
                <w:rFonts w:ascii="Arial" w:cs="Arial" w:eastAsia="Arial" w:hAnsi="Arial"/>
                <w:sz w:val="22"/>
                <w:szCs w:val="22"/>
                <w:color w:val="auto"/>
                <w:vertAlign w:val="superscript"/>
              </w:rPr>
              <w:t>(a)</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1,263,619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1,125,567</w:t>
            </w:r>
          </w:p>
        </w:tc>
        <w:tc>
          <w:tcPr>
            <w:tcW w:w="0" w:type="dxa"/>
            <w:vAlign w:val="bottom"/>
          </w:tcPr>
          <w:p>
            <w:pPr>
              <w:spacing w:after="0"/>
              <w:rPr>
                <w:sz w:val="1"/>
                <w:szCs w:val="1"/>
                <w:color w:val="auto"/>
              </w:rPr>
            </w:pPr>
          </w:p>
        </w:tc>
      </w:tr>
      <w:tr>
        <w:trPr>
          <w:trHeight w:val="211"/>
        </w:trPr>
        <w:tc>
          <w:tcPr>
            <w:tcW w:w="78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Common stock, $0.0001 par value; 700,000,000 shares authorized; 81,259,676 and 83,811,484 shares issued and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2022 and June 30, 2023, respectively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714,871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838,000</w:t>
            </w: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(199,863)</w:t>
            </w:r>
          </w:p>
        </w:tc>
        <w:tc>
          <w:tcPr>
            <w:tcW w:w="0" w:type="dxa"/>
            <w:vAlign w:val="bottom"/>
          </w:tcPr>
          <w:p>
            <w:pPr>
              <w:spacing w:after="0"/>
              <w:rPr>
                <w:sz w:val="1"/>
                <w:szCs w:val="1"/>
                <w:color w:val="auto"/>
              </w:rPr>
            </w:pPr>
          </w:p>
        </w:tc>
      </w:tr>
      <w:tr>
        <w:trPr>
          <w:trHeight w:val="213"/>
        </w:trPr>
        <w:tc>
          <w:tcPr>
            <w:tcW w:w="7860" w:type="dxa"/>
            <w:vAlign w:val="bottom"/>
          </w:tcPr>
          <w:p>
            <w:pPr>
              <w:ind w:left="44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672,435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638,145</w:t>
            </w:r>
          </w:p>
        </w:tc>
        <w:tc>
          <w:tcPr>
            <w:tcW w:w="0" w:type="dxa"/>
            <w:vAlign w:val="bottom"/>
          </w:tcPr>
          <w:p>
            <w:pPr>
              <w:spacing w:after="0"/>
              <w:rPr>
                <w:sz w:val="1"/>
                <w:szCs w:val="1"/>
                <w:color w:val="auto"/>
              </w:rPr>
            </w:pPr>
          </w:p>
        </w:tc>
      </w:tr>
      <w:tr>
        <w:trPr>
          <w:trHeight w:val="245"/>
        </w:trPr>
        <w:tc>
          <w:tcPr>
            <w:tcW w:w="78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1,936,054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1,763,712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w:t>
      </w:r>
    </w:p>
    <w:p>
      <w:pPr>
        <w:spacing w:after="0" w:line="211" w:lineRule="exact"/>
        <w:rPr>
          <w:sz w:val="20"/>
          <w:szCs w:val="20"/>
          <w:color w:val="auto"/>
        </w:rPr>
      </w:pPr>
    </w:p>
    <w:p>
      <w:pPr>
        <w:jc w:val="both"/>
        <w:ind w:left="320" w:hanging="317"/>
        <w:spacing w:after="0" w:line="220" w:lineRule="auto"/>
        <w:tabs>
          <w:tab w:leader="none" w:pos="32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2022 and June 30, 2023.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8"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(In thousands, except share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30"/>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0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838</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1,650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11,435</w:t>
            </w: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Loans (at fair value)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958,822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807,165</w:t>
            </w:r>
          </w:p>
        </w:tc>
      </w:tr>
      <w:tr>
        <w:trPr>
          <w:trHeight w:val="232"/>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Other assets (includes $2,244 and $11,039 at fair value as of December 31, 2022 and June 30, 2023, respectively)</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11,674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17,822</w:t>
            </w:r>
          </w:p>
        </w:tc>
      </w:tr>
      <w:tr>
        <w:trPr>
          <w:trHeight w:val="213"/>
        </w:trPr>
        <w:tc>
          <w:tcPr>
            <w:tcW w:w="786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984,481</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838,072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7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9"/>
        </w:trPr>
        <w:tc>
          <w:tcPr>
            <w:tcW w:w="786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Borrowings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336,452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279,179</w:t>
            </w:r>
          </w:p>
        </w:tc>
      </w:tr>
      <w:tr>
        <w:trPr>
          <w:trHeight w:val="23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expenses and other liabilities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1,547</w:t>
            </w:r>
          </w:p>
        </w:tc>
      </w:tr>
      <w:tr>
        <w:trPr>
          <w:trHeight w:val="212"/>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337,830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280,726</w:t>
            </w:r>
          </w:p>
        </w:tc>
      </w:tr>
      <w:tr>
        <w:trPr>
          <w:trHeight w:val="213"/>
        </w:trPr>
        <w:tc>
          <w:tcPr>
            <w:tcW w:w="7860" w:type="dxa"/>
            <w:vAlign w:val="bottom"/>
          </w:tcPr>
          <w:p>
            <w:pPr>
              <w:ind w:left="20"/>
              <w:spacing w:after="0"/>
              <w:rPr>
                <w:sz w:val="20"/>
                <w:szCs w:val="20"/>
                <w:color w:val="auto"/>
              </w:rPr>
            </w:pPr>
            <w:r>
              <w:rPr>
                <w:rFonts w:ascii="Arial" w:cs="Arial" w:eastAsia="Arial" w:hAnsi="Arial"/>
                <w:sz w:val="17"/>
                <w:szCs w:val="17"/>
                <w:b w:val="1"/>
                <w:bCs w:val="1"/>
                <w:color w:val="auto"/>
              </w:rPr>
              <w:t>Total net assets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646,651</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557,346</w:t>
            </w:r>
          </w:p>
        </w:tc>
      </w:tr>
      <w:tr>
        <w:trPr>
          <w:trHeight w:val="20"/>
        </w:trPr>
        <w:tc>
          <w:tcPr>
            <w:tcW w:w="7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55"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(In thousands, except share and per share data)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1"/>
        </w:trPr>
        <w:tc>
          <w:tcPr>
            <w:tcW w:w="4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80" w:type="dxa"/>
            <w:vAlign w:val="bottom"/>
          </w:tcPr>
          <w:p>
            <w:pPr>
              <w:ind w:left="320"/>
              <w:spacing w:after="0"/>
              <w:rPr>
                <w:sz w:val="20"/>
                <w:szCs w:val="20"/>
                <w:color w:val="auto"/>
              </w:rPr>
            </w:pPr>
            <w:r>
              <w:rPr>
                <w:rFonts w:ascii="Arial" w:cs="Arial" w:eastAsia="Arial" w:hAnsi="Arial"/>
                <w:sz w:val="17"/>
                <w:szCs w:val="17"/>
                <w:color w:val="auto"/>
              </w:rPr>
              <w:t>Revenue from fees, net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258,345</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143,689</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572,327</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260,830</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 and fair value adjustments, net:</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tcPr>
          <w:p>
            <w:pPr>
              <w:ind w:left="540"/>
              <w:spacing w:after="0"/>
              <w:rPr>
                <w:sz w:val="20"/>
                <w:szCs w:val="20"/>
                <w:color w:val="auto"/>
              </w:rPr>
            </w:pPr>
            <w:r>
              <w:rPr>
                <w:rFonts w:ascii="Arial" w:cs="Arial" w:eastAsia="Arial" w:hAnsi="Arial"/>
                <w:sz w:val="17"/>
                <w:szCs w:val="17"/>
                <w:color w:val="auto"/>
              </w:rPr>
              <w:t>Interest income</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28,974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33,916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79,231</w:t>
            </w:r>
          </w:p>
        </w:tc>
        <w:tc>
          <w:tcPr>
            <w:tcW w:w="0" w:type="dxa"/>
            <w:vAlign w:val="bottom"/>
          </w:tcPr>
          <w:p>
            <w:pPr>
              <w:spacing w:after="0"/>
              <w:rPr>
                <w:sz w:val="1"/>
                <w:szCs w:val="1"/>
                <w:color w:val="auto"/>
              </w:rPr>
            </w:pPr>
          </w:p>
        </w:tc>
      </w:tr>
      <w:tr>
        <w:trPr>
          <w:trHeight w:val="233"/>
        </w:trPr>
        <w:tc>
          <w:tcPr>
            <w:tcW w:w="42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Interest expense</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(11,414)</w:t>
            </w:r>
          </w:p>
        </w:tc>
        <w:tc>
          <w:tcPr>
            <w:tcW w:w="0" w:type="dxa"/>
            <w:vAlign w:val="bottom"/>
          </w:tcPr>
          <w:p>
            <w:pPr>
              <w:spacing w:after="0"/>
              <w:rPr>
                <w:sz w:val="1"/>
                <w:szCs w:val="1"/>
                <w:color w:val="auto"/>
              </w:rPr>
            </w:pPr>
          </w:p>
        </w:tc>
      </w:tr>
      <w:tr>
        <w:trPr>
          <w:trHeight w:val="218"/>
        </w:trPr>
        <w:tc>
          <w:tcPr>
            <w:tcW w:w="4280" w:type="dxa"/>
            <w:vAlign w:val="bottom"/>
          </w:tcPr>
          <w:p>
            <w:pPr>
              <w:ind w:left="540"/>
              <w:spacing w:after="0"/>
              <w:rPr>
                <w:sz w:val="20"/>
                <w:szCs w:val="20"/>
                <w:color w:val="auto"/>
              </w:rPr>
            </w:pPr>
            <w:r>
              <w:rPr>
                <w:rFonts w:ascii="Arial" w:cs="Arial" w:eastAsia="Arial" w:hAnsi="Arial"/>
                <w:sz w:val="17"/>
                <w:szCs w:val="17"/>
                <w:color w:val="auto"/>
              </w:rPr>
              <w:t>Fair value and other adjustments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(56,844)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(37,557)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(74,865)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(89,954)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w w:val="99"/>
              </w:rPr>
              <w:t>Total interest income and fair value adjustments, net</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(30,183)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(22,137)</w:t>
            </w:r>
          </w:p>
        </w:tc>
        <w:tc>
          <w:tcPr>
            <w:tcW w:w="0" w:type="dxa"/>
            <w:vAlign w:val="bottom"/>
          </w:tcPr>
          <w:p>
            <w:pPr>
              <w:spacing w:after="0"/>
              <w:rPr>
                <w:sz w:val="1"/>
                <w:szCs w:val="1"/>
                <w:color w:val="auto"/>
              </w:rPr>
            </w:pPr>
          </w:p>
        </w:tc>
      </w:tr>
      <w:tr>
        <w:trPr>
          <w:trHeight w:val="22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135,766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538,298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238,693</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105,212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23,891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238,661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55,329</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Customer operations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77,387</w:t>
            </w:r>
          </w:p>
        </w:tc>
        <w:tc>
          <w:tcPr>
            <w:tcW w:w="0" w:type="dxa"/>
            <w:vAlign w:val="bottom"/>
          </w:tcPr>
          <w:p>
            <w:pPr>
              <w:spacing w:after="0"/>
              <w:rPr>
                <w:sz w:val="1"/>
                <w:szCs w:val="1"/>
                <w:color w:val="auto"/>
              </w:rPr>
            </w:pPr>
          </w:p>
        </w:tc>
      </w:tr>
      <w:tr>
        <w:trPr>
          <w:trHeight w:val="225"/>
        </w:trPr>
        <w:tc>
          <w:tcPr>
            <w:tcW w:w="4280" w:type="dxa"/>
            <w:vAlign w:val="bottom"/>
          </w:tcPr>
          <w:p>
            <w:pPr>
              <w:ind w:left="320"/>
              <w:spacing w:after="0"/>
              <w:rPr>
                <w:sz w:val="20"/>
                <w:szCs w:val="20"/>
                <w:color w:val="auto"/>
              </w:rPr>
            </w:pPr>
            <w:r>
              <w:rPr>
                <w:rFonts w:ascii="Arial" w:cs="Arial" w:eastAsia="Arial" w:hAnsi="Arial"/>
                <w:sz w:val="17"/>
                <w:szCs w:val="17"/>
                <w:color w:val="auto"/>
              </w:rPr>
              <w:t>Engineering and product development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57,974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107,036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168,045</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administrative, and other</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103,111</w:t>
            </w:r>
          </w:p>
        </w:tc>
        <w:tc>
          <w:tcPr>
            <w:tcW w:w="0" w:type="dxa"/>
            <w:vAlign w:val="bottom"/>
          </w:tcPr>
          <w:p>
            <w:pPr>
              <w:spacing w:after="0"/>
              <w:rPr>
                <w:sz w:val="1"/>
                <w:szCs w:val="1"/>
                <w:color w:val="auto"/>
              </w:rPr>
            </w:pPr>
          </w:p>
        </w:tc>
      </w:tr>
      <w:tr>
        <w:trPr>
          <w:trHeight w:val="211"/>
        </w:trPr>
        <w:tc>
          <w:tcPr>
            <w:tcW w:w="428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260,269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169,110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535,572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403,872</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(165,179)</w:t>
            </w: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7,794</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(157,385)</w:t>
            </w: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Net income (loss)</w:t>
            </w:r>
          </w:p>
        </w:tc>
        <w:tc>
          <w:tcPr>
            <w:tcW w:w="360" w:type="dxa"/>
            <w:vAlign w:val="bottom"/>
            <w:shd w:val="clear" w:color="auto" w:fill="CCEEFF"/>
          </w:tcPr>
          <w:p>
            <w:pPr>
              <w:jc w:val="right"/>
              <w:ind w:right="174"/>
              <w:spacing w:after="0" w:line="187"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(29,871)</w:t>
            </w:r>
          </w:p>
        </w:tc>
        <w:tc>
          <w:tcPr>
            <w:tcW w:w="48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(28,165)</w:t>
            </w:r>
          </w:p>
        </w:tc>
        <w:tc>
          <w:tcPr>
            <w:tcW w:w="46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2,821</w:t>
            </w:r>
          </w:p>
        </w:tc>
        <w:tc>
          <w:tcPr>
            <w:tcW w:w="48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(157,419)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Arial" w:cs="Arial" w:eastAsia="Arial" w:hAnsi="Arial"/>
                <w:sz w:val="17"/>
                <w:szCs w:val="17"/>
                <w:color w:val="auto"/>
              </w:rPr>
              <w:t>Net income (loss) per share, diluted</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(0.36)</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(0.34)</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0.03</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w w:val="99"/>
              </w:rPr>
              <w:t>Weighted-average number of shares outstanding used in</w:t>
            </w:r>
          </w:p>
        </w:tc>
        <w:tc>
          <w:tcPr>
            <w:tcW w:w="3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83,833,963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83,130,638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84,031,109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82,524,403</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computing net income (loss) per share, basic</w:t>
            </w:r>
          </w:p>
        </w:tc>
        <w:tc>
          <w:tcPr>
            <w:tcW w:w="3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line="181" w:lineRule="exact"/>
              <w:rPr>
                <w:sz w:val="20"/>
                <w:szCs w:val="20"/>
                <w:color w:val="auto"/>
              </w:rPr>
            </w:pPr>
            <w:r>
              <w:rPr>
                <w:rFonts w:ascii="Arial" w:cs="Arial" w:eastAsia="Arial" w:hAnsi="Arial"/>
                <w:sz w:val="17"/>
                <w:szCs w:val="17"/>
                <w:color w:val="auto"/>
                <w:w w:val="99"/>
              </w:rPr>
              <w:t>Weighted-average number of shares outstanding used in</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80" w:type="dxa"/>
            <w:vAlign w:val="bottom"/>
          </w:tcPr>
          <w:p>
            <w:pPr>
              <w:ind w:left="20"/>
              <w:spacing w:after="0"/>
              <w:rPr>
                <w:sz w:val="20"/>
                <w:szCs w:val="20"/>
                <w:color w:val="auto"/>
              </w:rPr>
            </w:pPr>
            <w:r>
              <w:rPr>
                <w:rFonts w:ascii="Arial" w:cs="Arial" w:eastAsia="Arial" w:hAnsi="Arial"/>
                <w:sz w:val="17"/>
                <w:szCs w:val="17"/>
                <w:color w:val="auto"/>
              </w:rPr>
              <w:t>computing net income (loss) per share, diluted</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83,833,963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83,130,638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94,509,060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82,524,403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14"/>
          </w:tcPr>
          <w:p>
            <w:pPr>
              <w:jc w:val="center"/>
              <w:ind w:right="143"/>
              <w:spacing w:after="0"/>
              <w:rPr>
                <w:sz w:val="20"/>
                <w:szCs w:val="20"/>
                <w:color w:val="auto"/>
              </w:rPr>
            </w:pPr>
            <w:r>
              <w:rPr>
                <w:rFonts w:ascii="Arial" w:cs="Arial" w:eastAsia="Arial" w:hAnsi="Arial"/>
                <w:sz w:val="15"/>
                <w:szCs w:val="15"/>
                <w:b w:val="1"/>
                <w:bCs w:val="1"/>
                <w:color w:val="auto"/>
                <w:w w:val="94"/>
              </w:rPr>
              <w:t>Three Months Ended June 30, 2022</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tcBorders>
              <w:bottom w:val="single" w:sz="8" w:color="auto"/>
            </w:tcBorders>
            <w:gridSpan w:val="6"/>
          </w:tcPr>
          <w:p>
            <w:pPr>
              <w:jc w:val="right"/>
              <w:ind w:right="523"/>
              <w:spacing w:after="0"/>
              <w:rPr>
                <w:sz w:val="20"/>
                <w:szCs w:val="20"/>
                <w:color w:val="auto"/>
              </w:rPr>
            </w:pPr>
            <w:r>
              <w:rPr>
                <w:rFonts w:ascii="Arial" w:cs="Arial" w:eastAsia="Arial" w:hAnsi="Arial"/>
                <w:sz w:val="15"/>
                <w:szCs w:val="15"/>
                <w:b w:val="1"/>
                <w:bCs w:val="1"/>
                <w:color w:val="auto"/>
              </w:rPr>
              <w:t>Common Stock</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5"/>
              </w:rPr>
              <w:t>Additional Paid-in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w w:val="90"/>
              </w:rPr>
              <w:t>Total Stockholders’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99"/>
              </w:rPr>
              <w:t>Capital</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Retained Earnings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as of March 31, 2022</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84,676,746</w:t>
            </w:r>
          </w:p>
        </w:tc>
        <w:tc>
          <w:tcPr>
            <w:tcW w:w="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883"/>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777,582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383"/>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98,913</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876,504</w:t>
            </w:r>
          </w:p>
        </w:tc>
        <w:tc>
          <w:tcPr>
            <w:tcW w:w="0" w:type="dxa"/>
            <w:vAlign w:val="bottom"/>
          </w:tcPr>
          <w:p>
            <w:pPr>
              <w:spacing w:after="0"/>
              <w:rPr>
                <w:sz w:val="1"/>
                <w:szCs w:val="1"/>
                <w:color w:val="auto"/>
              </w:rPr>
            </w:pPr>
          </w:p>
        </w:tc>
      </w:tr>
      <w:tr>
        <w:trPr>
          <w:trHeight w:val="152"/>
        </w:trPr>
        <w:tc>
          <w:tcPr>
            <w:tcW w:w="20" w:type="dxa"/>
            <w:vAlign w:val="bottom"/>
            <w:tcBorders>
              <w:top w:val="single" w:sz="8" w:color="CCEEFF"/>
            </w:tcBorders>
          </w:tcPr>
          <w:p>
            <w:pPr>
              <w:spacing w:after="0"/>
              <w:rPr>
                <w:sz w:val="13"/>
                <w:szCs w:val="13"/>
                <w:color w:val="auto"/>
              </w:rPr>
            </w:pPr>
          </w:p>
        </w:tc>
        <w:tc>
          <w:tcPr>
            <w:tcW w:w="3340" w:type="dxa"/>
            <w:vAlign w:val="bottom"/>
            <w:tcBorders>
              <w:top w:val="single" w:sz="8" w:color="CCEEFF"/>
            </w:tcBorders>
          </w:tcPr>
          <w:p>
            <w:pPr>
              <w:spacing w:after="0" w:line="153" w:lineRule="exact"/>
              <w:rPr>
                <w:sz w:val="20"/>
                <w:szCs w:val="20"/>
                <w:color w:val="auto"/>
              </w:rPr>
            </w:pPr>
            <w:r>
              <w:rPr>
                <w:rFonts w:ascii="Arial" w:cs="Arial" w:eastAsia="Arial" w:hAnsi="Arial"/>
                <w:sz w:val="15"/>
                <w:szCs w:val="15"/>
                <w:color w:val="auto"/>
              </w:rPr>
              <w:t>Issuance of common stock upon exercise of stock</w:t>
            </w:r>
          </w:p>
        </w:tc>
        <w:tc>
          <w:tcPr>
            <w:tcW w:w="152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5"/>
                <w:szCs w:val="15"/>
                <w:color w:val="auto"/>
              </w:rPr>
              <w:t>915,412</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3"/>
            <w:vMerge w:val="restart"/>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3,781</w:t>
            </w: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3,781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options</w:t>
            </w:r>
          </w:p>
        </w:tc>
        <w:tc>
          <w:tcPr>
            <w:tcW w:w="152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common stock upon settlement of</w:t>
            </w:r>
          </w:p>
        </w:tc>
        <w:tc>
          <w:tcPr>
            <w:tcW w:w="152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99,652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restricted stock units</w:t>
            </w:r>
          </w:p>
        </w:tc>
        <w:tc>
          <w:tcPr>
            <w:tcW w:w="152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31,699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31,699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Repurchases of stock</w:t>
            </w:r>
          </w:p>
        </w:tc>
        <w:tc>
          <w:tcPr>
            <w:tcW w:w="1560" w:type="dxa"/>
            <w:vAlign w:val="bottom"/>
            <w:gridSpan w:val="5"/>
            <w:shd w:val="clear" w:color="auto" w:fill="CCEEFF"/>
          </w:tcPr>
          <w:p>
            <w:pPr>
              <w:jc w:val="right"/>
              <w:ind w:right="20"/>
              <w:spacing w:after="0"/>
              <w:rPr>
                <w:sz w:val="20"/>
                <w:szCs w:val="20"/>
                <w:color w:val="auto"/>
              </w:rPr>
            </w:pPr>
            <w:r>
              <w:rPr>
                <w:rFonts w:ascii="Arial" w:cs="Arial" w:eastAsia="Arial" w:hAnsi="Arial"/>
                <w:sz w:val="15"/>
                <w:szCs w:val="15"/>
                <w:color w:val="auto"/>
              </w:rPr>
              <w:t>(3,503,438)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(125,041)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(125,042)</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loss</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(29,871)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(29,871)</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as of June 30, 2022</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82,188,372</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688,021</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69,042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757,071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4"/>
          </w:tcPr>
          <w:p>
            <w:pPr>
              <w:jc w:val="center"/>
              <w:ind w:right="103"/>
              <w:spacing w:after="0"/>
              <w:rPr>
                <w:sz w:val="20"/>
                <w:szCs w:val="20"/>
                <w:color w:val="auto"/>
              </w:rPr>
            </w:pPr>
            <w:r>
              <w:rPr>
                <w:rFonts w:ascii="Arial" w:cs="Arial" w:eastAsia="Arial" w:hAnsi="Arial"/>
                <w:sz w:val="15"/>
                <w:szCs w:val="15"/>
                <w:b w:val="1"/>
                <w:bCs w:val="1"/>
                <w:color w:val="auto"/>
                <w:w w:val="93"/>
              </w:rPr>
              <w:t>Six Months Ended June 30, 2022</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543"/>
              <w:spacing w:after="0"/>
              <w:rPr>
                <w:sz w:val="20"/>
                <w:szCs w:val="20"/>
                <w:color w:val="auto"/>
              </w:rPr>
            </w:pPr>
            <w:r>
              <w:rPr>
                <w:rFonts w:ascii="Arial" w:cs="Arial" w:eastAsia="Arial" w:hAnsi="Arial"/>
                <w:sz w:val="15"/>
                <w:szCs w:val="15"/>
                <w:b w:val="1"/>
                <w:bCs w:val="1"/>
                <w:color w:val="auto"/>
              </w:rPr>
              <w:t>Common Stock</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5"/>
              </w:rPr>
              <w:t>Additional Paid-in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w w:val="90"/>
              </w:rPr>
              <w:t>Total Stockholders’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Amount</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9"/>
              </w:rPr>
              <w:t>Capital</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Retained Earnings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23"/>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2021</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83,659,665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gridSpan w:val="2"/>
            <w:shd w:val="clear" w:color="auto" w:fill="CCEEFF"/>
          </w:tcPr>
          <w:p>
            <w:pPr>
              <w:jc w:val="right"/>
              <w:ind w:right="923"/>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740,849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ind w:right="40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66,221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807,078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40" w:type="dxa"/>
            <w:vAlign w:val="bottom"/>
          </w:tcPr>
          <w:p>
            <w:pPr>
              <w:spacing w:after="0" w:line="140" w:lineRule="exact"/>
              <w:rPr>
                <w:sz w:val="20"/>
                <w:szCs w:val="20"/>
                <w:color w:val="auto"/>
              </w:rPr>
            </w:pPr>
            <w:r>
              <w:rPr>
                <w:rFonts w:ascii="Arial" w:cs="Arial" w:eastAsia="Arial" w:hAnsi="Arial"/>
                <w:sz w:val="15"/>
                <w:szCs w:val="15"/>
                <w:color w:val="auto"/>
              </w:rPr>
              <w:t>Issuance of common stock upon exercise of stock</w:t>
            </w:r>
          </w:p>
        </w:tc>
        <w:tc>
          <w:tcPr>
            <w:tcW w:w="1520" w:type="dxa"/>
            <w:vAlign w:val="bottom"/>
            <w:gridSpan w:val="4"/>
            <w:vMerge w:val="restart"/>
          </w:tcPr>
          <w:p>
            <w:pPr>
              <w:jc w:val="right"/>
              <w:spacing w:after="0"/>
              <w:rPr>
                <w:sz w:val="20"/>
                <w:szCs w:val="20"/>
                <w:color w:val="auto"/>
              </w:rPr>
            </w:pPr>
            <w:r>
              <w:rPr>
                <w:rFonts w:ascii="Arial" w:cs="Arial" w:eastAsia="Arial" w:hAnsi="Arial"/>
                <w:sz w:val="15"/>
                <w:szCs w:val="15"/>
                <w:color w:val="auto"/>
              </w:rPr>
              <w:t>1,804,373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9,406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9,407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options</w:t>
            </w:r>
          </w:p>
        </w:tc>
        <w:tc>
          <w:tcPr>
            <w:tcW w:w="152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common stock upon settlement of</w:t>
            </w:r>
          </w:p>
        </w:tc>
        <w:tc>
          <w:tcPr>
            <w:tcW w:w="152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179,878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restricted stock units</w:t>
            </w:r>
          </w:p>
        </w:tc>
        <w:tc>
          <w:tcPr>
            <w:tcW w:w="152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58,376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58,376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common stock under employee stock</w:t>
            </w:r>
          </w:p>
        </w:tc>
        <w:tc>
          <w:tcPr>
            <w:tcW w:w="152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47,894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4,431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4,431</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purchase plan</w:t>
            </w:r>
          </w:p>
        </w:tc>
        <w:tc>
          <w:tcPr>
            <w:tcW w:w="152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Repurchases of stock</w:t>
            </w:r>
          </w:p>
        </w:tc>
        <w:tc>
          <w:tcPr>
            <w:tcW w:w="1520" w:type="dxa"/>
            <w:vAlign w:val="bottom"/>
            <w:gridSpan w:val="4"/>
          </w:tcPr>
          <w:p>
            <w:pPr>
              <w:jc w:val="right"/>
              <w:spacing w:after="0"/>
              <w:rPr>
                <w:sz w:val="20"/>
                <w:szCs w:val="20"/>
                <w:color w:val="auto"/>
              </w:rPr>
            </w:pPr>
            <w:r>
              <w:rPr>
                <w:rFonts w:ascii="Arial" w:cs="Arial" w:eastAsia="Arial" w:hAnsi="Arial"/>
                <w:sz w:val="15"/>
                <w:szCs w:val="15"/>
                <w:color w:val="auto"/>
              </w:rPr>
              <w:t>(3,503,438)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5"/>
                <w:szCs w:val="15"/>
                <w:color w:val="auto"/>
              </w:rPr>
              <w:t>(125,041)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(125,042)</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b w:val="1"/>
                <w:bCs w:val="1"/>
                <w:color w:val="auto"/>
              </w:rPr>
              <w:t>Balance as of June 30, 2022</w:t>
            </w:r>
          </w:p>
        </w:tc>
        <w:tc>
          <w:tcPr>
            <w:tcW w:w="60" w:type="dxa"/>
            <w:vAlign w:val="bottom"/>
            <w:gridSpan w:val="2"/>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82,188,372</w:t>
            </w:r>
          </w:p>
        </w:tc>
        <w:tc>
          <w:tcPr>
            <w:tcW w:w="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1080" w:type="dxa"/>
            <w:vAlign w:val="bottom"/>
            <w:tcBorders>
              <w:bottom w:val="single" w:sz="8" w:color="auto"/>
            </w:tcBorders>
            <w:gridSpan w:val="2"/>
          </w:tcPr>
          <w:p>
            <w:pPr>
              <w:jc w:val="right"/>
              <w:ind w:right="923"/>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688,021</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58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69,042</w:t>
            </w: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757,071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4"/>
          </w:tcPr>
          <w:p>
            <w:pPr>
              <w:jc w:val="center"/>
              <w:ind w:right="123"/>
              <w:spacing w:after="0"/>
              <w:rPr>
                <w:sz w:val="20"/>
                <w:szCs w:val="20"/>
                <w:color w:val="auto"/>
              </w:rPr>
            </w:pPr>
            <w:r>
              <w:rPr>
                <w:rFonts w:ascii="Arial" w:cs="Arial" w:eastAsia="Arial" w:hAnsi="Arial"/>
                <w:sz w:val="15"/>
                <w:szCs w:val="15"/>
                <w:b w:val="1"/>
                <w:bCs w:val="1"/>
                <w:color w:val="auto"/>
                <w:w w:val="93"/>
              </w:rPr>
              <w:t>Three Months Ended June 30, 2023</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563"/>
              <w:spacing w:after="0"/>
              <w:rPr>
                <w:sz w:val="20"/>
                <w:szCs w:val="20"/>
                <w:color w:val="auto"/>
              </w:rPr>
            </w:pPr>
            <w:r>
              <w:rPr>
                <w:rFonts w:ascii="Arial" w:cs="Arial" w:eastAsia="Arial" w:hAnsi="Arial"/>
                <w:sz w:val="15"/>
                <w:szCs w:val="15"/>
                <w:b w:val="1"/>
                <w:bCs w:val="1"/>
                <w:color w:val="auto"/>
              </w:rPr>
              <w:t>Common Stock</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7"/>
              </w:rPr>
              <w:t>Additional Paid-in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Total Stockholders’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Amount</w:t>
            </w:r>
          </w:p>
        </w:tc>
        <w:tc>
          <w:tcPr>
            <w:tcW w:w="3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5"/>
              </w:rPr>
              <w:t>Capital</w:t>
            </w:r>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4"/>
              </w:rPr>
              <w:t>Accumulated 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2023</w:t>
            </w:r>
          </w:p>
        </w:tc>
        <w:tc>
          <w:tcPr>
            <w:tcW w:w="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3"/>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82,600,748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798,898</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gridSpan w:val="3"/>
            <w:shd w:val="clear" w:color="auto" w:fill="CCEEFF"/>
          </w:tcPr>
          <w:p>
            <w:pPr>
              <w:jc w:val="right"/>
              <w:ind w:right="42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(171,698)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627,208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40" w:type="dxa"/>
            <w:vAlign w:val="bottom"/>
          </w:tcPr>
          <w:p>
            <w:pPr>
              <w:ind w:left="20"/>
              <w:spacing w:after="0" w:line="153" w:lineRule="exact"/>
              <w:rPr>
                <w:sz w:val="20"/>
                <w:szCs w:val="20"/>
                <w:color w:val="auto"/>
              </w:rPr>
            </w:pPr>
            <w:r>
              <w:rPr>
                <w:rFonts w:ascii="Arial" w:cs="Arial" w:eastAsia="Arial" w:hAnsi="Arial"/>
                <w:sz w:val="15"/>
                <w:szCs w:val="15"/>
                <w:color w:val="auto"/>
                <w:w w:val="99"/>
              </w:rPr>
              <w:t>Issuance of common stock upon exercise of stock</w:t>
            </w:r>
          </w:p>
        </w:tc>
        <w:tc>
          <w:tcPr>
            <w:tcW w:w="1520" w:type="dxa"/>
            <w:vAlign w:val="bottom"/>
            <w:gridSpan w:val="4"/>
            <w:vMerge w:val="restart"/>
          </w:tcPr>
          <w:p>
            <w:pPr>
              <w:jc w:val="right"/>
              <w:ind w:right="3"/>
              <w:spacing w:after="0"/>
              <w:rPr>
                <w:sz w:val="20"/>
                <w:szCs w:val="20"/>
                <w:color w:val="auto"/>
              </w:rPr>
            </w:pPr>
            <w:r>
              <w:rPr>
                <w:rFonts w:ascii="Arial" w:cs="Arial" w:eastAsia="Arial" w:hAnsi="Arial"/>
                <w:sz w:val="15"/>
                <w:szCs w:val="15"/>
                <w:color w:val="auto"/>
              </w:rPr>
              <w:t>439,600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5,135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right"/>
              <w:ind w:right="3"/>
              <w:spacing w:after="0"/>
              <w:rPr>
                <w:sz w:val="20"/>
                <w:szCs w:val="20"/>
                <w:color w:val="auto"/>
              </w:rPr>
            </w:pPr>
            <w:r>
              <w:rPr>
                <w:rFonts w:ascii="Arial" w:cs="Arial" w:eastAsia="Arial" w:hAnsi="Arial"/>
                <w:sz w:val="15"/>
                <w:szCs w:val="15"/>
                <w:color w:val="auto"/>
              </w:rPr>
              <w:t>5,135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options</w:t>
            </w:r>
          </w:p>
        </w:tc>
        <w:tc>
          <w:tcPr>
            <w:tcW w:w="152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 upon settlement of</w:t>
            </w:r>
          </w:p>
        </w:tc>
        <w:tc>
          <w:tcPr>
            <w:tcW w:w="1520" w:type="dxa"/>
            <w:vAlign w:val="bottom"/>
            <w:gridSpan w:val="4"/>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771,183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152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tcPr>
          <w:p>
            <w:pPr>
              <w:ind w:left="20"/>
              <w:spacing w:after="0" w:line="160" w:lineRule="exact"/>
              <w:rPr>
                <w:sz w:val="20"/>
                <w:szCs w:val="20"/>
                <w:color w:val="auto"/>
              </w:rPr>
            </w:pPr>
            <w:r>
              <w:rPr>
                <w:rFonts w:ascii="Arial" w:cs="Arial" w:eastAsia="Arial" w:hAnsi="Arial"/>
                <w:sz w:val="15"/>
                <w:szCs w:val="15"/>
                <w:color w:val="auto"/>
                <w:w w:val="99"/>
              </w:rPr>
              <w:t>Shares withheld related to net share settlement of</w:t>
            </w:r>
          </w:p>
        </w:tc>
        <w:tc>
          <w:tcPr>
            <w:tcW w:w="1520" w:type="dxa"/>
            <w:vAlign w:val="bottom"/>
            <w:gridSpan w:val="4"/>
            <w:vMerge w:val="restart"/>
          </w:tcPr>
          <w:p>
            <w:pPr>
              <w:jc w:val="right"/>
              <w:spacing w:after="0"/>
              <w:rPr>
                <w:sz w:val="20"/>
                <w:szCs w:val="20"/>
                <w:color w:val="auto"/>
              </w:rPr>
            </w:pPr>
            <w:r>
              <w:rPr>
                <w:rFonts w:ascii="Arial" w:cs="Arial" w:eastAsia="Arial" w:hAnsi="Arial"/>
                <w:sz w:val="15"/>
                <w:szCs w:val="15"/>
                <w:color w:val="auto"/>
              </w:rPr>
              <w:t>(47)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152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33,968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33,968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Net loss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(28,165)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(28,165)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2023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gridSpan w:val="3"/>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83,811,484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838,000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gridSpan w:val="3"/>
            <w:shd w:val="clear" w:color="auto" w:fill="CCEEFF"/>
          </w:tcPr>
          <w:p>
            <w:pPr>
              <w:jc w:val="right"/>
              <w:ind w:right="42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(199,863)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638,145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123"/>
              <w:spacing w:after="0"/>
              <w:rPr>
                <w:sz w:val="20"/>
                <w:szCs w:val="20"/>
                <w:color w:val="auto"/>
              </w:rPr>
            </w:pPr>
            <w:r>
              <w:rPr>
                <w:rFonts w:ascii="Arial" w:cs="Arial" w:eastAsia="Arial" w:hAnsi="Arial"/>
                <w:sz w:val="15"/>
                <w:szCs w:val="15"/>
                <w:b w:val="1"/>
                <w:bCs w:val="1"/>
                <w:color w:val="auto"/>
                <w:w w:val="93"/>
              </w:rPr>
              <w:t>Six Months Ended June 30, 2023</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270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5"/>
                <w:szCs w:val="15"/>
                <w:b w:val="1"/>
                <w:bCs w:val="1"/>
                <w:color w:val="auto"/>
              </w:rPr>
              <w:t>Common Stock</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right="23"/>
              <w:spacing w:after="0"/>
              <w:rPr>
                <w:sz w:val="20"/>
                <w:szCs w:val="20"/>
                <w:color w:val="auto"/>
              </w:rPr>
            </w:pPr>
            <w:r>
              <w:rPr>
                <w:rFonts w:ascii="Arial" w:cs="Arial" w:eastAsia="Arial" w:hAnsi="Arial"/>
                <w:sz w:val="15"/>
                <w:szCs w:val="15"/>
                <w:b w:val="1"/>
                <w:bCs w:val="1"/>
                <w:color w:val="auto"/>
                <w:w w:val="97"/>
              </w:rPr>
              <w:t>Additional Paid-in</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Total Stockholders’</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17"/>
                <w:szCs w:val="17"/>
                <w:color w:val="auto"/>
              </w:rPr>
            </w:pPr>
          </w:p>
        </w:tc>
        <w:tc>
          <w:tcPr>
            <w:tcW w:w="14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Amount</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5"/>
              </w:rPr>
              <w:t>Capital</w:t>
            </w:r>
          </w:p>
        </w:tc>
        <w:tc>
          <w:tcPr>
            <w:tcW w:w="10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7"/>
              </w:rPr>
              <w:t>Accumulated Deficit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2022</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81,259,676</w:t>
            </w:r>
          </w:p>
        </w:tc>
        <w:tc>
          <w:tcPr>
            <w:tcW w:w="1220" w:type="dxa"/>
            <w:vAlign w:val="bottom"/>
            <w:gridSpan w:val="2"/>
            <w:shd w:val="clear" w:color="auto" w:fill="CCEEFF"/>
          </w:tcPr>
          <w:p>
            <w:pPr>
              <w:jc w:val="right"/>
              <w:ind w:right="963"/>
              <w:spacing w:after="0"/>
              <w:rPr>
                <w:sz w:val="20"/>
                <w:szCs w:val="20"/>
                <w:color w:val="auto"/>
              </w:rPr>
            </w:pPr>
            <w:r>
              <w:rPr>
                <w:rFonts w:ascii="Arial" w:cs="Arial" w:eastAsia="Arial" w:hAnsi="Arial"/>
                <w:sz w:val="15"/>
                <w:szCs w:val="15"/>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714,871</w:t>
            </w:r>
          </w:p>
        </w:tc>
        <w:tc>
          <w:tcPr>
            <w:tcW w:w="660" w:type="dxa"/>
            <w:vAlign w:val="bottom"/>
            <w:gridSpan w:val="2"/>
            <w:shd w:val="clear" w:color="auto" w:fill="CCEEFF"/>
          </w:tcPr>
          <w:p>
            <w:pPr>
              <w:jc w:val="right"/>
              <w:ind w:right="383"/>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(42,444)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672,435</w:t>
            </w:r>
          </w:p>
        </w:tc>
        <w:tc>
          <w:tcPr>
            <w:tcW w:w="0" w:type="dxa"/>
            <w:vAlign w:val="bottom"/>
          </w:tcPr>
          <w:p>
            <w:pPr>
              <w:spacing w:after="0"/>
              <w:rPr>
                <w:sz w:val="1"/>
                <w:szCs w:val="1"/>
                <w:color w:val="auto"/>
              </w:rPr>
            </w:pPr>
          </w:p>
        </w:tc>
      </w:tr>
      <w:tr>
        <w:trPr>
          <w:trHeight w:val="152"/>
        </w:trPr>
        <w:tc>
          <w:tcPr>
            <w:tcW w:w="3380" w:type="dxa"/>
            <w:vAlign w:val="bottom"/>
            <w:tcBorders>
              <w:top w:val="single" w:sz="8" w:color="CCEEFF"/>
            </w:tcBorders>
          </w:tcPr>
          <w:p>
            <w:pPr>
              <w:ind w:left="20"/>
              <w:spacing w:after="0" w:line="153" w:lineRule="exact"/>
              <w:rPr>
                <w:sz w:val="20"/>
                <w:szCs w:val="20"/>
                <w:color w:val="auto"/>
              </w:rPr>
            </w:pPr>
            <w:r>
              <w:rPr>
                <w:rFonts w:ascii="Arial" w:cs="Arial" w:eastAsia="Arial" w:hAnsi="Arial"/>
                <w:sz w:val="15"/>
                <w:szCs w:val="15"/>
                <w:color w:val="auto"/>
              </w:rPr>
              <w:t>Issuance of common stock upon exercise of stock</w:t>
            </w:r>
          </w:p>
        </w:tc>
        <w:tc>
          <w:tcPr>
            <w:tcW w:w="14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770,693</w:t>
            </w:r>
          </w:p>
        </w:tc>
        <w:tc>
          <w:tcPr>
            <w:tcW w:w="8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6,672</w:t>
            </w:r>
          </w:p>
        </w:tc>
        <w:tc>
          <w:tcPr>
            <w:tcW w:w="10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6,672</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options</w:t>
            </w: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 upon settlement of</w:t>
            </w:r>
          </w:p>
        </w:tc>
        <w:tc>
          <w:tcPr>
            <w:tcW w:w="14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1,469,356</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1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380" w:type="dxa"/>
            <w:vAlign w:val="bottom"/>
          </w:tcPr>
          <w:p>
            <w:pPr>
              <w:ind w:left="20"/>
              <w:spacing w:after="0" w:line="160" w:lineRule="exact"/>
              <w:rPr>
                <w:sz w:val="20"/>
                <w:szCs w:val="20"/>
                <w:color w:val="auto"/>
              </w:rPr>
            </w:pPr>
            <w:r>
              <w:rPr>
                <w:rFonts w:ascii="Arial" w:cs="Arial" w:eastAsia="Arial" w:hAnsi="Arial"/>
                <w:sz w:val="15"/>
                <w:szCs w:val="15"/>
                <w:color w:val="auto"/>
              </w:rPr>
              <w:t>Shares withheld related to net share settlement of</w:t>
            </w: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(375)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110,735</w:t>
            </w:r>
          </w:p>
        </w:tc>
        <w:tc>
          <w:tcPr>
            <w:tcW w:w="0" w:type="dxa"/>
            <w:vAlign w:val="bottom"/>
          </w:tcPr>
          <w:p>
            <w:pPr>
              <w:spacing w:after="0"/>
              <w:rPr>
                <w:sz w:val="1"/>
                <w:szCs w:val="1"/>
                <w:color w:val="auto"/>
              </w:rPr>
            </w:pPr>
          </w:p>
        </w:tc>
      </w:tr>
      <w:tr>
        <w:trPr>
          <w:trHeight w:val="160"/>
        </w:trPr>
        <w:tc>
          <w:tcPr>
            <w:tcW w:w="3380" w:type="dxa"/>
            <w:vAlign w:val="bottom"/>
          </w:tcPr>
          <w:p>
            <w:pPr>
              <w:ind w:left="20"/>
              <w:spacing w:after="0" w:line="160" w:lineRule="exact"/>
              <w:rPr>
                <w:sz w:val="20"/>
                <w:szCs w:val="20"/>
                <w:color w:val="auto"/>
              </w:rPr>
            </w:pPr>
            <w:r>
              <w:rPr>
                <w:rFonts w:ascii="Arial" w:cs="Arial" w:eastAsia="Arial" w:hAnsi="Arial"/>
                <w:sz w:val="15"/>
                <w:szCs w:val="15"/>
                <w:color w:val="auto"/>
              </w:rPr>
              <w:t>Issuance of common stock under employee stock</w:t>
            </w:r>
          </w:p>
        </w:tc>
        <w:tc>
          <w:tcPr>
            <w:tcW w:w="1480" w:type="dxa"/>
            <w:vAlign w:val="bottom"/>
            <w:vMerge w:val="restart"/>
          </w:tcPr>
          <w:p>
            <w:pPr>
              <w:jc w:val="right"/>
              <w:ind w:right="3"/>
              <w:spacing w:after="0"/>
              <w:rPr>
                <w:sz w:val="20"/>
                <w:szCs w:val="20"/>
                <w:color w:val="auto"/>
              </w:rPr>
            </w:pPr>
            <w:r>
              <w:rPr>
                <w:rFonts w:ascii="Arial" w:cs="Arial" w:eastAsia="Arial" w:hAnsi="Arial"/>
                <w:sz w:val="15"/>
                <w:szCs w:val="15"/>
                <w:color w:val="auto"/>
              </w:rPr>
              <w:t>312,134</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5,728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ind w:right="3"/>
              <w:spacing w:after="0"/>
              <w:rPr>
                <w:sz w:val="20"/>
                <w:szCs w:val="20"/>
                <w:color w:val="auto"/>
              </w:rPr>
            </w:pPr>
            <w:r>
              <w:rPr>
                <w:rFonts w:ascii="Arial" w:cs="Arial" w:eastAsia="Arial" w:hAnsi="Arial"/>
                <w:sz w:val="15"/>
                <w:szCs w:val="15"/>
                <w:color w:val="auto"/>
              </w:rPr>
              <w:t>5,728</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purchase plan</w:t>
            </w: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(157,419)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(157,419)</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2023</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83,811,484</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ind w:right="963"/>
              <w:spacing w:after="0"/>
              <w:rPr>
                <w:sz w:val="20"/>
                <w:szCs w:val="20"/>
                <w:color w:val="auto"/>
              </w:rPr>
            </w:pPr>
            <w:r>
              <w:rPr>
                <w:rFonts w:ascii="Arial" w:cs="Arial" w:eastAsia="Arial" w:hAnsi="Arial"/>
                <w:sz w:val="15"/>
                <w:szCs w:val="15"/>
                <w:b w:val="1"/>
                <w:bCs w:val="1"/>
                <w:color w:val="auto"/>
                <w:w w:val="95"/>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838,000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(199,863)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638,145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6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7"/>
                <w:szCs w:val="17"/>
                <w:b w:val="1"/>
                <w:bCs w:val="1"/>
                <w:color w:val="auto"/>
              </w:rPr>
              <w:t>Six Months Ended June 30,</w:t>
            </w:r>
          </w:p>
        </w:tc>
      </w:tr>
      <w:tr>
        <w:trPr>
          <w:trHeight w:val="221"/>
        </w:trPr>
        <w:tc>
          <w:tcPr>
            <w:tcW w:w="7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r>
      <w:tr>
        <w:trPr>
          <w:trHeight w:val="204"/>
        </w:trPr>
        <w:tc>
          <w:tcPr>
            <w:tcW w:w="7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5"/>
        </w:trPr>
        <w:tc>
          <w:tcPr>
            <w:tcW w:w="7660" w:type="dxa"/>
            <w:vAlign w:val="bottom"/>
          </w:tcPr>
          <w:p>
            <w:pPr>
              <w:spacing w:after="0"/>
              <w:rPr>
                <w:sz w:val="20"/>
                <w:szCs w:val="20"/>
                <w:color w:val="auto"/>
              </w:rPr>
            </w:pPr>
            <w:r>
              <w:rPr>
                <w:rFonts w:ascii="Arial" w:cs="Arial" w:eastAsia="Arial" w:hAnsi="Arial"/>
                <w:sz w:val="17"/>
                <w:szCs w:val="17"/>
                <w:color w:val="auto"/>
              </w:rPr>
              <w:t>Net income (loss)</w:t>
            </w: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2,821</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(157,419)</w:t>
            </w:r>
          </w:p>
        </w:tc>
      </w:tr>
      <w:tr>
        <w:trPr>
          <w:trHeight w:val="245"/>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Change in fair value of financial instruments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49,103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98,638</w:t>
            </w:r>
          </w:p>
        </w:tc>
      </w:tr>
      <w:tr>
        <w:trPr>
          <w:trHeight w:val="220"/>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106,705</w:t>
            </w:r>
          </w:p>
        </w:tc>
      </w:tr>
      <w:tr>
        <w:trPr>
          <w:trHeight w:val="225"/>
        </w:trPr>
        <w:tc>
          <w:tcPr>
            <w:tcW w:w="7660" w:type="dxa"/>
            <w:vAlign w:val="bottom"/>
          </w:tcPr>
          <w:p>
            <w:pPr>
              <w:ind w:left="220"/>
              <w:spacing w:after="0"/>
              <w:rPr>
                <w:sz w:val="20"/>
                <w:szCs w:val="20"/>
                <w:color w:val="auto"/>
              </w:rPr>
            </w:pPr>
            <w:r>
              <w:rPr>
                <w:rFonts w:ascii="Arial" w:cs="Arial" w:eastAsia="Arial" w:hAnsi="Arial"/>
                <w:sz w:val="17"/>
                <w:szCs w:val="17"/>
                <w:color w:val="auto"/>
              </w:rPr>
              <w:t>Gain on loan servicing arrangement, net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(17,732)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(6,960)</w:t>
            </w:r>
          </w:p>
        </w:tc>
      </w:tr>
      <w:tr>
        <w:trPr>
          <w:trHeight w:val="22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10,866</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Non-cash interest expense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1,533</w:t>
            </w:r>
          </w:p>
        </w:tc>
      </w:tr>
      <w:tr>
        <w:trPr>
          <w:trHeight w:val="233"/>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Net changes in operating assets and liabilities: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 of loans held-for-sale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(5,922,801)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(1,250,346)</w:t>
            </w:r>
          </w:p>
        </w:tc>
      </w:tr>
      <w:tr>
        <w:trPr>
          <w:trHeight w:val="225"/>
        </w:trPr>
        <w:tc>
          <w:tcPr>
            <w:tcW w:w="7660" w:type="dxa"/>
            <w:vAlign w:val="bottom"/>
          </w:tcPr>
          <w:p>
            <w:pPr>
              <w:ind w:left="320"/>
              <w:spacing w:after="0"/>
              <w:rPr>
                <w:sz w:val="20"/>
                <w:szCs w:val="20"/>
                <w:color w:val="auto"/>
              </w:rPr>
            </w:pPr>
            <w:r>
              <w:rPr>
                <w:rFonts w:ascii="Arial" w:cs="Arial" w:eastAsia="Arial" w:hAnsi="Arial"/>
                <w:sz w:val="17"/>
                <w:szCs w:val="17"/>
                <w:color w:val="auto"/>
              </w:rPr>
              <w:t>Proceeds from sale of loans held-for-sale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5,431,635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1,266,604</w:t>
            </w:r>
          </w:p>
        </w:tc>
      </w:tr>
      <w:tr>
        <w:trPr>
          <w:trHeight w:val="226"/>
        </w:trPr>
        <w:tc>
          <w:tcPr>
            <w:tcW w:w="7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Principal payments received for loans held-for-sale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101,829</w:t>
            </w:r>
          </w:p>
        </w:tc>
      </w:tr>
      <w:tr>
        <w:trPr>
          <w:trHeight w:val="218"/>
        </w:trPr>
        <w:tc>
          <w:tcPr>
            <w:tcW w:w="7660" w:type="dxa"/>
            <w:vAlign w:val="bottom"/>
          </w:tcPr>
          <w:p>
            <w:pPr>
              <w:ind w:left="320"/>
              <w:spacing w:after="0"/>
              <w:rPr>
                <w:sz w:val="20"/>
                <w:szCs w:val="20"/>
                <w:color w:val="auto"/>
              </w:rPr>
            </w:pPr>
            <w:r>
              <w:rPr>
                <w:rFonts w:ascii="Arial" w:cs="Arial" w:eastAsia="Arial" w:hAnsi="Arial"/>
                <w:sz w:val="17"/>
                <w:szCs w:val="17"/>
                <w:color w:val="auto"/>
              </w:rPr>
              <w:t>Other assets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13,196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(3,826)</w:t>
            </w:r>
          </w:p>
        </w:tc>
      </w:tr>
      <w:tr>
        <w:trPr>
          <w:trHeight w:val="233"/>
        </w:trPr>
        <w:tc>
          <w:tcPr>
            <w:tcW w:w="7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liability and right-of-use asset</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r>
      <w:tr>
        <w:trPr>
          <w:trHeight w:val="218"/>
        </w:trPr>
        <w:tc>
          <w:tcPr>
            <w:tcW w:w="766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15,079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(11,786)</w:t>
            </w:r>
          </w:p>
        </w:tc>
      </w:tr>
      <w:tr>
        <w:trPr>
          <w:trHeight w:val="220"/>
        </w:trPr>
        <w:tc>
          <w:tcPr>
            <w:tcW w:w="7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Payable to investors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(50,836)</w:t>
            </w:r>
          </w:p>
        </w:tc>
      </w:tr>
      <w:tr>
        <w:trPr>
          <w:trHeight w:val="231"/>
        </w:trPr>
        <w:tc>
          <w:tcPr>
            <w:tcW w:w="76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Accrued expenses and other liabilities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(24,959)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(17,871)</w:t>
            </w:r>
          </w:p>
        </w:tc>
      </w:tr>
      <w:tr>
        <w:trPr>
          <w:trHeight w:val="212"/>
        </w:trPr>
        <w:tc>
          <w:tcPr>
            <w:tcW w:w="7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Net cash provided by (used in)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(320,438)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86,652</w:t>
            </w:r>
          </w:p>
        </w:tc>
      </w:tr>
      <w:tr>
        <w:trPr>
          <w:trHeight w:val="252"/>
        </w:trPr>
        <w:tc>
          <w:tcPr>
            <w:tcW w:w="7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9"/>
        </w:trPr>
        <w:tc>
          <w:tcPr>
            <w:tcW w:w="7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Purchase of loans held-for-investment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(13,876)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(83,868)</w:t>
            </w:r>
          </w:p>
        </w:tc>
      </w:tr>
      <w:tr>
        <w:trPr>
          <w:trHeight w:val="233"/>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sale of loans held-for-investment</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Principal payments received for loans held-for-investment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18,524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50,427</w:t>
            </w:r>
          </w:p>
        </w:tc>
      </w:tr>
      <w:tr>
        <w:trPr>
          <w:trHeight w:val="220"/>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payments received for notes receivable and repayments of residual certificates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2,996</w:t>
            </w:r>
          </w:p>
        </w:tc>
      </w:tr>
      <w:tr>
        <w:trPr>
          <w:trHeight w:val="225"/>
        </w:trPr>
        <w:tc>
          <w:tcPr>
            <w:tcW w:w="7660" w:type="dxa"/>
            <w:vAlign w:val="bottom"/>
          </w:tcPr>
          <w:p>
            <w:pPr>
              <w:ind w:left="220"/>
              <w:spacing w:after="0"/>
              <w:rPr>
                <w:sz w:val="20"/>
                <w:szCs w:val="20"/>
                <w:color w:val="auto"/>
              </w:rPr>
            </w:pPr>
            <w:r>
              <w:rPr>
                <w:rFonts w:ascii="Arial" w:cs="Arial" w:eastAsia="Arial" w:hAnsi="Arial"/>
                <w:sz w:val="17"/>
                <w:szCs w:val="17"/>
                <w:color w:val="auto"/>
              </w:rPr>
              <w:t>Acquisition of beneficial interests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(26,427)</w:t>
            </w:r>
          </w:p>
        </w:tc>
      </w:tr>
      <w:tr>
        <w:trPr>
          <w:trHeight w:val="22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non-marketable equity securities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Purchase of property and equipment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(1,150)</w:t>
            </w:r>
          </w:p>
        </w:tc>
      </w:tr>
      <w:tr>
        <w:trPr>
          <w:trHeight w:val="219"/>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Capitalized software costs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(6,324)</w:t>
            </w:r>
          </w:p>
        </w:tc>
      </w:tr>
      <w:tr>
        <w:trPr>
          <w:trHeight w:val="213"/>
        </w:trPr>
        <w:tc>
          <w:tcPr>
            <w:tcW w:w="7660" w:type="dxa"/>
            <w:vAlign w:val="bottom"/>
          </w:tcPr>
          <w:p>
            <w:pPr>
              <w:ind w:left="42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(64,346)</w:t>
            </w:r>
          </w:p>
        </w:tc>
      </w:tr>
      <w:tr>
        <w:trPr>
          <w:trHeight w:val="251"/>
        </w:trPr>
        <w:tc>
          <w:tcPr>
            <w:tcW w:w="76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9"/>
        </w:trPr>
        <w:tc>
          <w:tcPr>
            <w:tcW w:w="76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2"/>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borrowings</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261,199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340,370</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Repayments of borrowings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(101,613)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(397,644)</w:t>
            </w:r>
          </w:p>
        </w:tc>
      </w:tr>
      <w:tr>
        <w:trPr>
          <w:trHeight w:val="220"/>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under employee stock purchase plan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5,728</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Proceeds from exercise of stock options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6,672</w:t>
            </w:r>
          </w:p>
        </w:tc>
      </w:tr>
      <w:tr>
        <w:trPr>
          <w:trHeight w:val="233"/>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Taxes paid related to net share settlement of equity awards</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Repurchases of common stock</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(125,042)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Net cash provided by (used in)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48,382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(44,880)</w:t>
            </w:r>
          </w:p>
        </w:tc>
      </w:tr>
      <w:tr>
        <w:trPr>
          <w:trHeight w:val="216"/>
        </w:trPr>
        <w:tc>
          <w:tcPr>
            <w:tcW w:w="7660" w:type="dxa"/>
            <w:vAlign w:val="bottom"/>
          </w:tcPr>
          <w:p>
            <w:pPr>
              <w:spacing w:after="0"/>
              <w:rPr>
                <w:sz w:val="20"/>
                <w:szCs w:val="20"/>
                <w:color w:val="auto"/>
              </w:rPr>
            </w:pPr>
            <w:r>
              <w:rPr>
                <w:rFonts w:ascii="Arial" w:cs="Arial" w:eastAsia="Arial" w:hAnsi="Arial"/>
                <w:sz w:val="17"/>
                <w:szCs w:val="17"/>
                <w:b w:val="1"/>
                <w:bCs w:val="1"/>
                <w:color w:val="auto"/>
              </w:rPr>
              <w:t>Change in cash and restricted cash</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(276,820)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(22,574)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Condensed Consolidated Statements of Cash Flows (Continued)</w:t>
      </w:r>
    </w:p>
    <w:p>
      <w:pPr>
        <w:spacing w:after="0" w:line="6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(In thousands)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6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Six Months Ended June 30,</w:t>
            </w:r>
          </w:p>
        </w:tc>
      </w:tr>
      <w:tr>
        <w:trPr>
          <w:trHeight w:val="221"/>
        </w:trPr>
        <w:tc>
          <w:tcPr>
            <w:tcW w:w="76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r>
      <w:tr>
        <w:trPr>
          <w:trHeight w:val="204"/>
        </w:trPr>
        <w:tc>
          <w:tcPr>
            <w:tcW w:w="7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restricted cash</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1"/>
        </w:trPr>
        <w:tc>
          <w:tcPr>
            <w:tcW w:w="7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and restricted cash at beginning of period</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1,191,241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532,467</w:t>
            </w:r>
          </w:p>
        </w:tc>
      </w:tr>
      <w:tr>
        <w:trPr>
          <w:trHeight w:val="233"/>
        </w:trPr>
        <w:tc>
          <w:tcPr>
            <w:tcW w:w="7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restricted cash at end of period</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914,421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509,893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680" w:type="dxa"/>
            <w:vAlign w:val="bottom"/>
          </w:tcPr>
          <w:p>
            <w:pPr>
              <w:spacing w:after="0"/>
              <w:rPr>
                <w:sz w:val="20"/>
                <w:szCs w:val="20"/>
                <w:color w:val="auto"/>
              </w:rPr>
            </w:pPr>
            <w:r>
              <w:rPr>
                <w:rFonts w:ascii="Arial" w:cs="Arial" w:eastAsia="Arial" w:hAnsi="Arial"/>
                <w:sz w:val="17"/>
                <w:szCs w:val="17"/>
                <w:color w:val="auto"/>
              </w:rPr>
              <w:t>Cash paid for interest</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4,076</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12,240</w:t>
            </w:r>
          </w:p>
        </w:tc>
      </w:tr>
      <w:tr>
        <w:trPr>
          <w:trHeight w:val="226"/>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Cash (received) paid for income taxes, net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r>
      <w:tr>
        <w:trPr>
          <w:trHeight w:val="258"/>
        </w:trPr>
        <w:tc>
          <w:tcPr>
            <w:tcW w:w="7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9"/>
        </w:trPr>
        <w:tc>
          <w:tcPr>
            <w:tcW w:w="7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680" w:type="dxa"/>
            <w:vAlign w:val="bottom"/>
          </w:tcPr>
          <w:p>
            <w:pPr>
              <w:spacing w:after="0"/>
              <w:rPr>
                <w:sz w:val="20"/>
                <w:szCs w:val="20"/>
                <w:color w:val="auto"/>
              </w:rPr>
            </w:pPr>
            <w:r>
              <w:rPr>
                <w:rFonts w:ascii="Arial" w:cs="Arial" w:eastAsia="Arial" w:hAnsi="Arial"/>
                <w:sz w:val="17"/>
                <w:szCs w:val="17"/>
                <w:color w:val="auto"/>
              </w:rPr>
              <w:t>Beneficial interests included in payable to investors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4,108</w:t>
            </w:r>
          </w:p>
        </w:tc>
      </w:tr>
      <w:tr>
        <w:trPr>
          <w:trHeight w:val="226"/>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Capitalized stock-based compensation expense</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w:t>
            </w: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cash and restricted cash by category within the unaudited condensed consolidated balance sheets: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ind w:right="314"/>
              <w:spacing w:after="0"/>
              <w:rPr>
                <w:sz w:val="20"/>
                <w:szCs w:val="20"/>
                <w:color w:val="auto"/>
              </w:rPr>
            </w:pPr>
            <w:r>
              <w:rPr>
                <w:rFonts w:ascii="Arial" w:cs="Arial" w:eastAsia="Arial" w:hAnsi="Arial"/>
                <w:sz w:val="17"/>
                <w:szCs w:val="17"/>
                <w:b w:val="1"/>
                <w:bCs w:val="1"/>
                <w:color w:val="auto"/>
              </w:rPr>
              <w:t>December 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ind w:right="47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r>
      <w:tr>
        <w:trPr>
          <w:trHeight w:val="226"/>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422,411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443,672</w:t>
            </w: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110,056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66,221</w:t>
            </w:r>
          </w:p>
        </w:tc>
      </w:tr>
      <w:tr>
        <w:trPr>
          <w:trHeight w:val="233"/>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Total cash and restricted cash</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532,467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509,893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Description of Business and Significant Accounting Policies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Upstart Holdings, Inc. and its subsidiaries (together “Upstart”, the “Company”, “we”, or “our”) apply modern data science and technology to the process of originating consumer credit. The Company helps originate credit, including personal and auto loans,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accompanying unaudited condensed consolidated financial statements have been prepared on the same basis as the annual consolidated financial statements included in our Annual Report on Form 10-K. Certain prior period amounts have been reclassified or disaggregated where appropriate to conform to the current period presentation of such amounts. In the opinion of management, the accompanying financial statements reflect all adjustments, which include only normal recurring adjustments, necessary to state fairly the Company’s financial position, results of operations, comprehensive income (loss) and cash flows for the periods presented, but are not necessarily indicative of the results of operations to be anticipated of any future annual or interim periods.</w:t>
      </w:r>
    </w:p>
    <w:p>
      <w:pPr>
        <w:spacing w:after="0" w:line="19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2022.</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21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evaluates its contracts and financial instruments to determine if these contracts and instruments or their parts meet the definition of derivatives in accordance with the requirements of FASB Accounting Codification (ASC) 815, Derivatives and Hedging. Derivatives are recorded on the condensed consolidated balance sheets at fair value with changes in the value recorded in earnings on the condensed consolidated statements of operations and comprehensive income (loss), and are reported within the net cash provided by (used in) operating activities in the condensed consolidated statements of cash flows. The Company uses derivative instruments to manage risks related to our ongoing business operations, including managing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rates on our warehouse facilities. The Company does not employ derivatives for trading or speculative purposes and has no derivatives classified as accounting hedges. Refer to </w:t>
      </w:r>
      <w:r>
        <w:rPr>
          <w:rFonts w:ascii="Arial" w:cs="Arial" w:eastAsia="Arial" w:hAnsi="Arial"/>
          <w:sz w:val="17"/>
          <w:szCs w:val="17"/>
          <w:i w:val="1"/>
          <w:iCs w:val="1"/>
          <w:color w:val="auto"/>
        </w:rPr>
        <w:t>“Note 4. Derivative Financial Instruments”</w:t>
      </w:r>
      <w:r>
        <w:rPr>
          <w:rFonts w:ascii="Arial" w:cs="Arial" w:eastAsia="Arial" w:hAnsi="Arial"/>
          <w:sz w:val="17"/>
          <w:szCs w:val="17"/>
          <w:color w:val="auto"/>
        </w:rPr>
        <w:t xml:space="preserve"> for additional information.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Beneficial Interests</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 xml:space="preserve">Beneficial interests represent the Company’s right to receive or an obligation to make cash payments to certain loan buyers based on the performance of credit losses of the underlying loan portfolios. The Company evaluates these arrangements to determine if they or their components meet the characteristics of derivative instruments. Beneficial interests that meet such characteristics are reported in accordance with the derivative financial instruments policy. For other beneficial interests that meet the criteria of a debt security, the Company has elected to record the arrangement at fair value and recognize the changes in their fair value in earnings on the condensed consolidated statements of operations and comprehensive income (loss). Refer to </w:t>
      </w:r>
      <w:r>
        <w:rPr>
          <w:rFonts w:ascii="Arial" w:cs="Arial" w:eastAsia="Arial" w:hAnsi="Arial"/>
          <w:sz w:val="17"/>
          <w:szCs w:val="17"/>
          <w:i w:val="1"/>
          <w:iCs w:val="1"/>
          <w:color w:val="auto"/>
        </w:rPr>
        <w:t>“Note 5. Beneficial Interests”</w:t>
      </w:r>
      <w:r>
        <w:rPr>
          <w:rFonts w:ascii="Arial" w:cs="Arial" w:eastAsia="Arial" w:hAnsi="Arial"/>
          <w:sz w:val="17"/>
          <w:szCs w:val="17"/>
          <w:color w:val="auto"/>
        </w:rPr>
        <w:t xml:space="preserve"> for additional information.</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On January 1, 2023, the Company adopted Accounting Standards Update (“ASU”) 2021-08, </w:t>
      </w:r>
      <w:r>
        <w:rPr>
          <w:rFonts w:ascii="Arial" w:cs="Arial" w:eastAsia="Arial" w:hAnsi="Arial"/>
          <w:sz w:val="17"/>
          <w:szCs w:val="17"/>
          <w:i w:val="1"/>
          <w:iCs w:val="1"/>
          <w:color w:val="auto"/>
        </w:rPr>
        <w:t>Business Combinations (Topic 805): Accounting for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and Contract Liabilities from Contracts with Customers, </w:t>
      </w:r>
      <w:r>
        <w:rPr>
          <w:rFonts w:ascii="Arial" w:cs="Arial" w:eastAsia="Arial" w:hAnsi="Arial"/>
          <w:sz w:val="17"/>
          <w:szCs w:val="17"/>
          <w:color w:val="auto"/>
        </w:rPr>
        <w:t>which was issued by the Financial Accounting Standards Board (“FASB”) in October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guidance requires contract assets and contract liabilities acquired in a business combination to be recognized and measured by the acquirer on the acquisition date in accordance with ASC 606</w:t>
      </w:r>
      <w:r>
        <w:rPr>
          <w:rFonts w:ascii="Arial" w:cs="Arial" w:eastAsia="Arial" w:hAnsi="Arial"/>
          <w:sz w:val="17"/>
          <w:szCs w:val="17"/>
          <w:i w:val="1"/>
          <w:iCs w:val="1"/>
          <w:color w:val="auto"/>
        </w:rPr>
        <w:t>, Revenue from Contracts with Customers</w:t>
      </w:r>
      <w:r>
        <w:rPr>
          <w:rFonts w:ascii="Arial" w:cs="Arial" w:eastAsia="Arial" w:hAnsi="Arial"/>
          <w:sz w:val="17"/>
          <w:szCs w:val="17"/>
          <w:color w:val="auto"/>
        </w:rPr>
        <w:t>, as if it had originated the contracts. Under the previous business combinations guidance, such assets and liabilities are recognized by the acquirer at fair value on the acquisition date. The ASU will be applied prospectively to business combinations occurring after the adoption date. The adoption of this new standard did not have an impact on the Company's condensed consolidated financial statements or related disclosures.</w:t>
      </w:r>
    </w:p>
    <w:p>
      <w:pPr>
        <w:spacing w:after="0" w:line="205" w:lineRule="exact"/>
        <w:rPr>
          <w:sz w:val="20"/>
          <w:szCs w:val="20"/>
          <w:color w:val="auto"/>
        </w:rPr>
      </w:pPr>
    </w:p>
    <w:p>
      <w:pPr>
        <w:jc w:val="center"/>
        <w:ind w:right="8360"/>
        <w:spacing w:after="0"/>
        <w:tabs>
          <w:tab w:leader="none" w:pos="16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4"/>
          <w:szCs w:val="14"/>
          <w:b w:val="1"/>
          <w:bCs w:val="1"/>
          <w:color w:val="auto"/>
        </w:rPr>
        <w:t>Revenue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disaggregates revenue from fees by type of service for the periods presented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80" w:type="dxa"/>
            <w:vAlign w:val="bottom"/>
          </w:tcPr>
          <w:p>
            <w:pPr>
              <w:spacing w:after="0"/>
              <w:rPr>
                <w:sz w:val="19"/>
                <w:szCs w:val="19"/>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Six Months Ended June 30,</w:t>
            </w:r>
          </w:p>
        </w:tc>
      </w:tr>
      <w:tr>
        <w:trPr>
          <w:trHeight w:val="221"/>
        </w:trPr>
        <w:tc>
          <w:tcPr>
            <w:tcW w:w="4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2023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0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10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5"/>
        </w:trPr>
        <w:tc>
          <w:tcPr>
            <w:tcW w:w="4280" w:type="dxa"/>
            <w:vAlign w:val="bottom"/>
          </w:tcPr>
          <w:p>
            <w:pPr>
              <w:ind w:left="320"/>
              <w:spacing w:after="0"/>
              <w:rPr>
                <w:sz w:val="20"/>
                <w:szCs w:val="20"/>
                <w:color w:val="auto"/>
              </w:rPr>
            </w:pPr>
            <w:r>
              <w:rPr>
                <w:rFonts w:ascii="Arial" w:cs="Arial" w:eastAsia="Arial" w:hAnsi="Arial"/>
                <w:sz w:val="17"/>
                <w:szCs w:val="17"/>
                <w:color w:val="auto"/>
              </w:rPr>
              <w:t>Platform and referral fees, net</w:t>
            </w:r>
          </w:p>
        </w:tc>
        <w:tc>
          <w:tcPr>
            <w:tcW w:w="1060" w:type="dxa"/>
            <w:vAlign w:val="bottom"/>
          </w:tcPr>
          <w:p>
            <w:pPr>
              <w:jc w:val="right"/>
              <w:ind w:right="85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211,610</w:t>
            </w:r>
          </w:p>
        </w:tc>
        <w:tc>
          <w:tcPr>
            <w:tcW w:w="116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105,765</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483,422</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183,422</w:t>
            </w:r>
          </w:p>
        </w:tc>
      </w:tr>
      <w:tr>
        <w:trPr>
          <w:trHeight w:val="226"/>
        </w:trPr>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Servicing and other fees, net</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46,735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77,408</w:t>
            </w:r>
          </w:p>
        </w:tc>
      </w:tr>
      <w:tr>
        <w:trPr>
          <w:trHeight w:val="213"/>
        </w:trPr>
        <w:tc>
          <w:tcPr>
            <w:tcW w:w="4280" w:type="dxa"/>
            <w:vAlign w:val="bottom"/>
          </w:tcPr>
          <w:p>
            <w:pPr>
              <w:ind w:left="20"/>
              <w:spacing w:after="0"/>
              <w:rPr>
                <w:sz w:val="20"/>
                <w:szCs w:val="20"/>
                <w:color w:val="auto"/>
              </w:rPr>
            </w:pPr>
            <w:r>
              <w:rPr>
                <w:rFonts w:ascii="Arial" w:cs="Arial" w:eastAsia="Arial" w:hAnsi="Arial"/>
                <w:sz w:val="17"/>
                <w:szCs w:val="17"/>
                <w:color w:val="auto"/>
              </w:rPr>
              <w:t>Total revenue from fees, net</w:t>
            </w:r>
          </w:p>
        </w:tc>
        <w:tc>
          <w:tcPr>
            <w:tcW w:w="1060" w:type="dxa"/>
            <w:vAlign w:val="bottom"/>
          </w:tcPr>
          <w:p>
            <w:pPr>
              <w:jc w:val="right"/>
              <w:ind w:right="85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258,345</w:t>
            </w:r>
          </w:p>
        </w:tc>
        <w:tc>
          <w:tcPr>
            <w:tcW w:w="116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143,689</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572,327</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260,830</w:t>
            </w:r>
          </w:p>
        </w:tc>
      </w:tr>
      <w:tr>
        <w:trPr>
          <w:trHeight w:val="20"/>
        </w:trPr>
        <w:tc>
          <w:tcPr>
            <w:tcW w:w="4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Platform and referral fees, net</w:t>
      </w:r>
    </w:p>
    <w:p>
      <w:pPr>
        <w:spacing w:after="0" w:line="24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Company enters into contracts with lending partners to provide access to a cloud-based artificial intelligence lending marketplace developed by the Company (the “Upstart platform”) to enable lending partners to originate unsecured personal and secured auto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After origination, Upstart-powered loans are either retained by lending partners, purchased by the Company for immediate resale to institutional investors under loan sale agreements, or purchased and held by the Company. For loans purchased by the Company, Upstart pays lending partners a one-time loan premium fee upon completion of the minimum contractual holding period. Upstart also pays lending partners monthly loan trailing fees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condensed consolidated statements of operations and comprehensive income (loss). The Company recognized $6.1 million and $14.8 million of loan premium fees and loan trailing fees as contra-revenue within platform and referral fees, net during the three and six months ended June 30, 2022, respectively, and $2.0 million and $3.4 million during the three and six months ended June 30, 2023, respectively.</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December 31, 2022 and June 30, 2023, the Company recognized $4.9 million and $4.3 million of loan trailing fee liability, respectively, which is recorded at fair value and included within accrued expenses and other liabilities on the Company’s condensed consolidated balance sheets. Refer to “</w:t>
      </w:r>
      <w:r>
        <w:rPr>
          <w:rFonts w:ascii="Arial" w:cs="Arial" w:eastAsia="Arial" w:hAnsi="Arial"/>
          <w:sz w:val="17"/>
          <w:szCs w:val="17"/>
          <w:i w:val="1"/>
          <w:iCs w:val="1"/>
          <w:color w:val="auto"/>
        </w:rPr>
        <w:t>Note 6.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for additional information on changes in fair value associated with trailing fee liabilities.</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Company’s arrangements for platform and referral services typically consist of an obligation to provide one or both of these services to customers, which are our lending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had $31.1 million and $23.0 million of accounts receivable that are included in other assets on the condensed consolidated balance sheets related to contracts with customers as of December 31, 2022 and June 30, 2023, respectively. The standard payment terms on accounts receivable are 30 days. The Company’s allowance for bad debt and bad debt expense were immaterial for the periods presented.</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2022 and June 30, 2023, the Company had a $2.6 million and $2.5 million amount of contract costs, respectively, capitalized within other assets on the condensed consolidated balance sheets. The Company amortized an immaterial amount of capitalized contracts costs to sales and marketing in the condensed consolidated statements of operations and comprehensive income (loss)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Customers accounting for greater than 10% of total revenue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3560" w:type="dxa"/>
            <w:vAlign w:val="bottom"/>
            <w:gridSpan w:val="4"/>
          </w:tcPr>
          <w:p>
            <w:pPr>
              <w:jc w:val="right"/>
              <w:ind w:right="89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6"/>
                <w:szCs w:val="16"/>
                <w:color w:val="auto"/>
              </w:rPr>
            </w:pPr>
          </w:p>
        </w:tc>
        <w:tc>
          <w:tcPr>
            <w:tcW w:w="2500" w:type="dxa"/>
            <w:vAlign w:val="bottom"/>
            <w:gridSpan w:val="3"/>
          </w:tcPr>
          <w:p>
            <w:pPr>
              <w:jc w:val="center"/>
              <w:ind w:left="974"/>
              <w:spacing w:after="0"/>
              <w:rPr>
                <w:sz w:val="20"/>
                <w:szCs w:val="20"/>
                <w:color w:val="auto"/>
              </w:rPr>
            </w:pPr>
            <w:r>
              <w:rPr>
                <w:rFonts w:ascii="Arial" w:cs="Arial" w:eastAsia="Arial" w:hAnsi="Arial"/>
                <w:sz w:val="17"/>
                <w:szCs w:val="17"/>
                <w:b w:val="1"/>
                <w:bCs w:val="1"/>
                <w:color w:val="auto"/>
                <w:w w:val="92"/>
              </w:rPr>
              <w:t>Six Months Ended</w:t>
            </w:r>
          </w:p>
        </w:tc>
        <w:tc>
          <w:tcPr>
            <w:tcW w:w="1060" w:type="dxa"/>
            <w:vAlign w:val="bottom"/>
          </w:tcPr>
          <w:p>
            <w:pPr>
              <w:spacing w:after="0"/>
              <w:rPr>
                <w:sz w:val="16"/>
                <w:szCs w:val="16"/>
                <w:color w:val="auto"/>
              </w:rPr>
            </w:pPr>
          </w:p>
        </w:tc>
      </w:tr>
      <w:tr>
        <w:trPr>
          <w:trHeight w:val="228"/>
        </w:trPr>
        <w:tc>
          <w:tcPr>
            <w:tcW w:w="40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1374"/>
              <w:spacing w:after="0"/>
              <w:rPr>
                <w:sz w:val="20"/>
                <w:szCs w:val="20"/>
                <w:color w:val="auto"/>
              </w:rPr>
            </w:pPr>
            <w:r>
              <w:rPr>
                <w:rFonts w:ascii="Arial" w:cs="Arial" w:eastAsia="Arial" w:hAnsi="Arial"/>
                <w:sz w:val="17"/>
                <w:szCs w:val="17"/>
                <w:b w:val="1"/>
                <w:bCs w:val="1"/>
                <w:color w:val="auto"/>
                <w:w w:val="96"/>
              </w:rPr>
              <w:t>June 30,</w:t>
            </w:r>
          </w:p>
        </w:tc>
        <w:tc>
          <w:tcPr>
            <w:tcW w:w="100" w:type="dxa"/>
            <w:vAlign w:val="bottom"/>
          </w:tcPr>
          <w:p>
            <w:pPr>
              <w:spacing w:after="0"/>
              <w:rPr>
                <w:sz w:val="19"/>
                <w:szCs w:val="19"/>
                <w:color w:val="auto"/>
              </w:rPr>
            </w:pPr>
          </w:p>
        </w:tc>
        <w:tc>
          <w:tcPr>
            <w:tcW w:w="2500" w:type="dxa"/>
            <w:vAlign w:val="bottom"/>
            <w:tcBorders>
              <w:bottom w:val="single" w:sz="8" w:color="auto"/>
            </w:tcBorders>
            <w:gridSpan w:val="3"/>
          </w:tcPr>
          <w:p>
            <w:pPr>
              <w:jc w:val="center"/>
              <w:ind w:left="974"/>
              <w:spacing w:after="0"/>
              <w:rPr>
                <w:sz w:val="20"/>
                <w:szCs w:val="20"/>
                <w:color w:val="auto"/>
              </w:rPr>
            </w:pPr>
            <w:r>
              <w:rPr>
                <w:rFonts w:ascii="Arial" w:cs="Arial" w:eastAsia="Arial" w:hAnsi="Arial"/>
                <w:sz w:val="17"/>
                <w:szCs w:val="17"/>
                <w:b w:val="1"/>
                <w:bCs w:val="1"/>
                <w:color w:val="auto"/>
                <w:w w:val="88"/>
              </w:rPr>
              <w:t>June 30</w:t>
            </w:r>
          </w:p>
        </w:tc>
        <w:tc>
          <w:tcPr>
            <w:tcW w:w="1060" w:type="dxa"/>
            <w:vAlign w:val="bottom"/>
            <w:tcBorders>
              <w:bottom w:val="single" w:sz="8" w:color="auto"/>
            </w:tcBorders>
          </w:tcPr>
          <w:p>
            <w:pPr>
              <w:spacing w:after="0"/>
              <w:rPr>
                <w:sz w:val="19"/>
                <w:szCs w:val="19"/>
                <w:color w:val="auto"/>
              </w:rPr>
            </w:pPr>
          </w:p>
        </w:tc>
      </w:tr>
      <w:tr>
        <w:trPr>
          <w:trHeight w:val="217"/>
        </w:trPr>
        <w:tc>
          <w:tcPr>
            <w:tcW w:w="40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w w:val="95"/>
              </w:rPr>
              <w:t>2023</w:t>
            </w:r>
          </w:p>
        </w:tc>
      </w:tr>
      <w:tr>
        <w:trPr>
          <w:trHeight w:val="251"/>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A</w:t>
            </w:r>
          </w:p>
        </w:tc>
        <w:tc>
          <w:tcPr>
            <w:tcW w:w="1420" w:type="dxa"/>
            <w:vAlign w:val="bottom"/>
            <w:shd w:val="clear" w:color="auto" w:fill="CCEEFF"/>
          </w:tcPr>
          <w:p>
            <w:pPr>
              <w:jc w:val="center"/>
              <w:ind w:left="854"/>
              <w:spacing w:after="0"/>
              <w:rPr>
                <w:sz w:val="20"/>
                <w:szCs w:val="20"/>
                <w:color w:val="auto"/>
              </w:rPr>
            </w:pPr>
            <w:r>
              <w:rPr>
                <w:rFonts w:ascii="Arial" w:cs="Arial" w:eastAsia="Arial" w:hAnsi="Arial"/>
                <w:sz w:val="17"/>
                <w:szCs w:val="17"/>
                <w:color w:val="auto"/>
                <w:w w:val="93"/>
              </w:rPr>
              <w:t>50%</w:t>
            </w:r>
          </w:p>
        </w:tc>
        <w:tc>
          <w:tcPr>
            <w:tcW w:w="2140" w:type="dxa"/>
            <w:vAlign w:val="bottom"/>
            <w:gridSpan w:val="3"/>
            <w:shd w:val="clear" w:color="auto" w:fill="CCEEFF"/>
          </w:tcPr>
          <w:p>
            <w:pPr>
              <w:jc w:val="right"/>
              <w:ind w:right="314"/>
              <w:spacing w:after="0"/>
              <w:rPr>
                <w:sz w:val="20"/>
                <w:szCs w:val="20"/>
                <w:color w:val="auto"/>
              </w:rPr>
            </w:pPr>
            <w:r>
              <w:rPr>
                <w:rFonts w:ascii="Arial" w:cs="Arial" w:eastAsia="Arial" w:hAnsi="Arial"/>
                <w:sz w:val="17"/>
                <w:szCs w:val="17"/>
                <w:color w:val="auto"/>
              </w:rPr>
              <w:t>33%</w:t>
            </w:r>
          </w:p>
        </w:tc>
        <w:tc>
          <w:tcPr>
            <w:tcW w:w="1840" w:type="dxa"/>
            <w:vAlign w:val="bottom"/>
            <w:gridSpan w:val="2"/>
            <w:shd w:val="clear" w:color="auto" w:fill="CCEEFF"/>
          </w:tcPr>
          <w:p>
            <w:pPr>
              <w:jc w:val="center"/>
              <w:ind w:left="634"/>
              <w:spacing w:after="0"/>
              <w:rPr>
                <w:sz w:val="20"/>
                <w:szCs w:val="20"/>
                <w:color w:val="auto"/>
              </w:rPr>
            </w:pPr>
            <w:r>
              <w:rPr>
                <w:rFonts w:ascii="Arial" w:cs="Arial" w:eastAsia="Arial" w:hAnsi="Arial"/>
                <w:sz w:val="17"/>
                <w:szCs w:val="17"/>
                <w:color w:val="auto"/>
                <w:w w:val="93"/>
              </w:rPr>
              <w:t>48%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31%</w:t>
            </w:r>
          </w:p>
        </w:tc>
      </w:tr>
      <w:tr>
        <w:trPr>
          <w:trHeight w:val="257"/>
        </w:trPr>
        <w:tc>
          <w:tcPr>
            <w:tcW w:w="4020" w:type="dxa"/>
            <w:vAlign w:val="bottom"/>
          </w:tcPr>
          <w:p>
            <w:pPr>
              <w:ind w:left="20"/>
              <w:spacing w:after="0"/>
              <w:rPr>
                <w:sz w:val="20"/>
                <w:szCs w:val="20"/>
                <w:color w:val="auto"/>
              </w:rPr>
            </w:pPr>
            <w:r>
              <w:rPr>
                <w:rFonts w:ascii="Arial" w:cs="Arial" w:eastAsia="Arial" w:hAnsi="Arial"/>
                <w:sz w:val="17"/>
                <w:szCs w:val="17"/>
                <w:color w:val="auto"/>
              </w:rPr>
              <w:t>Customer B</w:t>
            </w:r>
          </w:p>
        </w:tc>
        <w:tc>
          <w:tcPr>
            <w:tcW w:w="1420" w:type="dxa"/>
            <w:vAlign w:val="bottom"/>
          </w:tcPr>
          <w:p>
            <w:pPr>
              <w:jc w:val="center"/>
              <w:ind w:left="854"/>
              <w:spacing w:after="0"/>
              <w:rPr>
                <w:sz w:val="20"/>
                <w:szCs w:val="20"/>
                <w:color w:val="auto"/>
              </w:rPr>
            </w:pPr>
            <w:r>
              <w:rPr>
                <w:rFonts w:ascii="Arial" w:cs="Arial" w:eastAsia="Arial" w:hAnsi="Arial"/>
                <w:sz w:val="17"/>
                <w:szCs w:val="17"/>
                <w:color w:val="auto"/>
                <w:w w:val="93"/>
              </w:rPr>
              <w:t>28%</w:t>
            </w:r>
          </w:p>
        </w:tc>
        <w:tc>
          <w:tcPr>
            <w:tcW w:w="2140" w:type="dxa"/>
            <w:vAlign w:val="bottom"/>
            <w:gridSpan w:val="3"/>
          </w:tcPr>
          <w:p>
            <w:pPr>
              <w:jc w:val="right"/>
              <w:ind w:right="314"/>
              <w:spacing w:after="0"/>
              <w:rPr>
                <w:sz w:val="20"/>
                <w:szCs w:val="20"/>
                <w:color w:val="auto"/>
              </w:rPr>
            </w:pPr>
            <w:r>
              <w:rPr>
                <w:rFonts w:ascii="Arial" w:cs="Arial" w:eastAsia="Arial" w:hAnsi="Arial"/>
                <w:sz w:val="17"/>
                <w:szCs w:val="17"/>
                <w:color w:val="auto"/>
              </w:rPr>
              <w:t>27%</w:t>
            </w:r>
          </w:p>
        </w:tc>
        <w:tc>
          <w:tcPr>
            <w:tcW w:w="1840" w:type="dxa"/>
            <w:vAlign w:val="bottom"/>
            <w:gridSpan w:val="2"/>
          </w:tcPr>
          <w:p>
            <w:pPr>
              <w:jc w:val="center"/>
              <w:ind w:left="634"/>
              <w:spacing w:after="0"/>
              <w:rPr>
                <w:sz w:val="20"/>
                <w:szCs w:val="20"/>
                <w:color w:val="auto"/>
              </w:rPr>
            </w:pPr>
            <w:r>
              <w:rPr>
                <w:rFonts w:ascii="Arial" w:cs="Arial" w:eastAsia="Arial" w:hAnsi="Arial"/>
                <w:sz w:val="17"/>
                <w:szCs w:val="17"/>
                <w:color w:val="auto"/>
                <w:w w:val="93"/>
              </w:rPr>
              <w:t>30%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jc w:val="right"/>
              <w:ind w:right="314"/>
              <w:spacing w:after="0"/>
              <w:rPr>
                <w:sz w:val="20"/>
                <w:szCs w:val="20"/>
                <w:color w:val="auto"/>
              </w:rPr>
            </w:pPr>
            <w:r>
              <w:rPr>
                <w:rFonts w:ascii="Arial" w:cs="Arial" w:eastAsia="Arial" w:hAnsi="Arial"/>
                <w:sz w:val="17"/>
                <w:szCs w:val="17"/>
                <w:color w:val="auto"/>
              </w:rPr>
              <w:t>28%</w:t>
            </w:r>
          </w:p>
        </w:tc>
      </w:tr>
      <w:tr>
        <w:trPr>
          <w:trHeight w:val="25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1420" w:type="dxa"/>
            <w:vAlign w:val="bottom"/>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140" w:type="dxa"/>
            <w:vAlign w:val="bottom"/>
            <w:gridSpan w:val="3"/>
            <w:shd w:val="clear" w:color="auto" w:fill="CCEEFF"/>
          </w:tcPr>
          <w:p>
            <w:pPr>
              <w:jc w:val="right"/>
              <w:ind w:right="314"/>
              <w:spacing w:after="0"/>
              <w:rPr>
                <w:sz w:val="20"/>
                <w:szCs w:val="20"/>
                <w:color w:val="auto"/>
              </w:rPr>
            </w:pPr>
            <w:r>
              <w:rPr>
                <w:rFonts w:ascii="Arial" w:cs="Arial" w:eastAsia="Arial" w:hAnsi="Arial"/>
                <w:sz w:val="17"/>
                <w:szCs w:val="17"/>
                <w:color w:val="auto"/>
              </w:rPr>
              <w:t>11%</w:t>
            </w:r>
          </w:p>
        </w:tc>
        <w:tc>
          <w:tcPr>
            <w:tcW w:w="1840" w:type="dxa"/>
            <w:vAlign w:val="bottom"/>
            <w:gridSpan w:val="2"/>
            <w:shd w:val="clear" w:color="auto" w:fill="CCEEFF"/>
          </w:tcPr>
          <w:p>
            <w:pPr>
              <w:jc w:val="center"/>
              <w:ind w:left="6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11%</w:t>
            </w:r>
          </w:p>
        </w:tc>
      </w:tr>
    </w:tbl>
    <w:p>
      <w:pPr>
        <w:spacing w:after="0" w:line="7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Less than 10%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80" w:type="dxa"/>
            <w:vAlign w:val="bottom"/>
          </w:tcPr>
          <w:p>
            <w:pPr>
              <w:ind w:left="620"/>
              <w:spacing w:after="0"/>
              <w:rPr>
                <w:sz w:val="20"/>
                <w:szCs w:val="20"/>
                <w:color w:val="auto"/>
              </w:rPr>
            </w:pPr>
            <w:r>
              <w:rPr>
                <w:rFonts w:ascii="Arial" w:cs="Arial" w:eastAsia="Arial" w:hAnsi="Arial"/>
                <w:sz w:val="17"/>
                <w:szCs w:val="17"/>
                <w:color w:val="auto"/>
              </w:rPr>
              <w:t>Customers accounting for greater than 10% of accounts receivable were as follows: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45"/>
        </w:trPr>
        <w:tc>
          <w:tcPr>
            <w:tcW w:w="7680" w:type="dxa"/>
            <w:vAlign w:val="bottom"/>
          </w:tcPr>
          <w:p>
            <w:pPr>
              <w:spacing w:after="0"/>
              <w:rPr>
                <w:sz w:val="21"/>
                <w:szCs w:val="21"/>
                <w:color w:val="auto"/>
              </w:rPr>
            </w:pPr>
          </w:p>
        </w:tc>
        <w:tc>
          <w:tcPr>
            <w:tcW w:w="1740" w:type="dxa"/>
            <w:vAlign w:val="bottom"/>
          </w:tcPr>
          <w:p>
            <w:pPr>
              <w:ind w:left="360"/>
              <w:spacing w:after="0"/>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21"/>
                <w:szCs w:val="21"/>
                <w:color w:val="auto"/>
              </w:rPr>
            </w:pPr>
          </w:p>
        </w:tc>
        <w:tc>
          <w:tcPr>
            <w:tcW w:w="1740" w:type="dxa"/>
            <w:vAlign w:val="bottom"/>
          </w:tcPr>
          <w:p>
            <w:pPr>
              <w:ind w:left="580"/>
              <w:spacing w:after="0"/>
              <w:rPr>
                <w:sz w:val="20"/>
                <w:szCs w:val="20"/>
                <w:color w:val="auto"/>
              </w:rPr>
            </w:pPr>
            <w:r>
              <w:rPr>
                <w:rFonts w:ascii="Arial" w:cs="Arial" w:eastAsia="Arial" w:hAnsi="Arial"/>
                <w:sz w:val="17"/>
                <w:szCs w:val="17"/>
                <w:b w:val="1"/>
                <w:bCs w:val="1"/>
                <w:color w:val="auto"/>
              </w:rPr>
              <w:t>June 30,</w:t>
            </w:r>
          </w:p>
        </w:tc>
      </w:tr>
      <w:tr>
        <w:trPr>
          <w:trHeight w:val="233"/>
        </w:trPr>
        <w:tc>
          <w:tcPr>
            <w:tcW w:w="7680" w:type="dxa"/>
            <w:vAlign w:val="bottom"/>
          </w:tcPr>
          <w:p>
            <w:pPr>
              <w:spacing w:after="0"/>
              <w:rPr>
                <w:sz w:val="20"/>
                <w:szCs w:val="20"/>
                <w:color w:val="auto"/>
              </w:rPr>
            </w:pPr>
          </w:p>
        </w:tc>
        <w:tc>
          <w:tcPr>
            <w:tcW w:w="17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0"/>
                <w:szCs w:val="20"/>
                <w:color w:val="auto"/>
              </w:rPr>
            </w:pPr>
          </w:p>
        </w:tc>
        <w:tc>
          <w:tcPr>
            <w:tcW w:w="17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174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rPr>
              <w:t>23%</w:t>
            </w:r>
          </w:p>
        </w:tc>
        <w:tc>
          <w:tcPr>
            <w:tcW w:w="1820" w:type="dxa"/>
            <w:vAlign w:val="bottom"/>
            <w:gridSpan w:val="2"/>
            <w:shd w:val="clear" w:color="auto" w:fill="CCEEFF"/>
          </w:tcPr>
          <w:p>
            <w:pPr>
              <w:jc w:val="right"/>
              <w:ind w:right="614"/>
              <w:spacing w:after="0"/>
              <w:rPr>
                <w:sz w:val="20"/>
                <w:szCs w:val="20"/>
                <w:color w:val="auto"/>
              </w:rPr>
            </w:pPr>
            <w:r>
              <w:rPr>
                <w:rFonts w:ascii="Arial" w:cs="Arial" w:eastAsia="Arial" w:hAnsi="Arial"/>
                <w:sz w:val="17"/>
                <w:szCs w:val="17"/>
                <w:color w:val="auto"/>
              </w:rPr>
              <w:t>25%</w:t>
            </w: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Servicing and other fees, net</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 xml:space="preserve">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w:t>
      </w:r>
    </w:p>
    <w:p>
      <w:pPr>
        <w:spacing w:after="0" w:line="19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Servicing and other fees, net also include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in the periods presented. Refer to “</w:t>
      </w:r>
      <w:r>
        <w:rPr>
          <w:rFonts w:ascii="Arial" w:cs="Arial" w:eastAsia="Arial" w:hAnsi="Arial"/>
          <w:sz w:val="17"/>
          <w:szCs w:val="17"/>
          <w:i w:val="1"/>
          <w:iCs w:val="1"/>
          <w:color w:val="auto"/>
        </w:rPr>
        <w:t>Note 6. Fair Value Measurement</w:t>
      </w:r>
      <w:r>
        <w:rPr>
          <w:rFonts w:ascii="Arial" w:cs="Arial" w:eastAsia="Arial" w:hAnsi="Arial"/>
          <w:sz w:val="17"/>
          <w:szCs w:val="17"/>
          <w:color w:val="auto"/>
        </w:rPr>
        <w:t>” for additional information on changes in fair value associated with servicing assets and liabilities.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recognized a net gain related to loan servicing rights upon loan sales for the periods presented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29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Three Months Ended June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21"/>
        </w:trPr>
        <w:tc>
          <w:tcPr>
            <w:tcW w:w="4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 related to loan servicing rights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9,027</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6,960</w:t>
            </w:r>
          </w:p>
        </w:tc>
      </w:tr>
    </w:tbl>
    <w:p>
      <w:pPr>
        <w:spacing w:after="0" w:line="31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fail fees. Revenue from collection agency fees and borrower fees are included in servicing and other fees, net as part of revenue from fees, net in the Company’s condensed consolidated statements of operations and comprehensive income (loss). The total fees charged by collection agencies are also recognized in the period incurred and reported as part of customer operations expenses.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and other fees, net for the periods presented as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29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Three Months Ended June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r>
      <w:tr>
        <w:trPr>
          <w:trHeight w:val="221"/>
        </w:trPr>
        <w:tc>
          <w:tcPr>
            <w:tcW w:w="4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80" w:type="dxa"/>
            <w:vAlign w:val="bottom"/>
            <w:tcBorders>
              <w:bottom w:val="single" w:sz="8" w:color="auto"/>
            </w:tcBorders>
          </w:tcPr>
          <w:p>
            <w:pPr>
              <w:spacing w:after="0"/>
              <w:rPr>
                <w:sz w:val="19"/>
                <w:szCs w:val="19"/>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Collection agency fees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3,752</w:t>
            </w:r>
          </w:p>
        </w:tc>
        <w:tc>
          <w:tcPr>
            <w:tcW w:w="114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4,555</w:t>
            </w:r>
          </w:p>
        </w:tc>
        <w:tc>
          <w:tcPr>
            <w:tcW w:w="116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7,668</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Borrower fees</w:t>
            </w:r>
          </w:p>
        </w:tc>
        <w:tc>
          <w:tcPr>
            <w:tcW w:w="1140" w:type="dxa"/>
            <w:vAlign w:val="bottom"/>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5,890</w:t>
            </w:r>
          </w:p>
        </w:tc>
        <w:tc>
          <w:tcPr>
            <w:tcW w:w="1260" w:type="dxa"/>
            <w:vAlign w:val="bottom"/>
            <w:gridSpan w:val="2"/>
          </w:tcPr>
          <w:p>
            <w:pPr>
              <w:jc w:val="right"/>
              <w:ind w:right="97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6,904</w:t>
            </w:r>
          </w:p>
        </w:tc>
        <w:tc>
          <w:tcPr>
            <w:tcW w:w="1140" w:type="dxa"/>
            <w:vAlign w:val="bottom"/>
            <w:gridSpan w:val="2"/>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11,120</w:t>
            </w:r>
          </w:p>
        </w:tc>
        <w:tc>
          <w:tcPr>
            <w:tcW w:w="1160" w:type="dxa"/>
            <w:vAlign w:val="bottom"/>
            <w:gridSpan w:val="2"/>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14,641</w:t>
            </w:r>
          </w:p>
        </w:tc>
      </w:tr>
    </w:tbl>
    <w:p>
      <w:pPr>
        <w:spacing w:after="0" w:line="28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43"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the fair value of financial instruments, held in the Company’s normal course of business at fair value, including derivatives, beneficial interests, loans and notes receivable and residual certificates.</w:t>
      </w:r>
    </w:p>
    <w:p>
      <w:pPr>
        <w:spacing w:after="0" w:line="1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components of the interest income and fair value adjustments, net presented in the Company’s condensed consolidated statements of operations and comprehensive income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620" w:type="dxa"/>
            <w:vAlign w:val="bottom"/>
            <w:tcBorders>
              <w:bottom w:val="single" w:sz="8" w:color="auto"/>
            </w:tcBorders>
          </w:tcPr>
          <w:p>
            <w:pPr>
              <w:spacing w:after="0"/>
              <w:rPr>
                <w:sz w:val="19"/>
                <w:szCs w:val="19"/>
                <w:color w:val="auto"/>
              </w:rPr>
            </w:pPr>
          </w:p>
        </w:tc>
      </w:tr>
      <w:tr>
        <w:trPr>
          <w:trHeight w:val="213"/>
        </w:trPr>
        <w:tc>
          <w:tcPr>
            <w:tcW w:w="42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28,974</w:t>
            </w:r>
          </w:p>
        </w:tc>
        <w:tc>
          <w:tcPr>
            <w:tcW w:w="1180" w:type="dxa"/>
            <w:vAlign w:val="bottom"/>
            <w:gridSpan w:val="2"/>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33,916</w:t>
            </w:r>
          </w:p>
        </w:tc>
        <w:tc>
          <w:tcPr>
            <w:tcW w:w="1100" w:type="dxa"/>
            <w:vAlign w:val="bottom"/>
            <w:gridSpan w:val="2"/>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44,108</w:t>
            </w:r>
          </w:p>
        </w:tc>
        <w:tc>
          <w:tcPr>
            <w:tcW w:w="1120" w:type="dxa"/>
            <w:vAlign w:val="bottom"/>
            <w:gridSpan w:val="2"/>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79,231</w:t>
            </w:r>
          </w:p>
        </w:tc>
      </w:tr>
      <w:tr>
        <w:trPr>
          <w:trHeight w:val="225"/>
        </w:trPr>
        <w:tc>
          <w:tcPr>
            <w:tcW w:w="42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(4,282)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(3,272)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(11,414)</w:t>
            </w:r>
          </w:p>
        </w:tc>
      </w:tr>
      <w:tr>
        <w:trPr>
          <w:trHeight w:val="25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and other adjustments</w:t>
            </w: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w w:val="94"/>
              </w:rPr>
              <w:t>Unrealized loss, charge-offs, and other adjustments, net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(31,477)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(26,110)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(50,786)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(70,654)</w:t>
            </w:r>
          </w:p>
        </w:tc>
      </w:tr>
      <w:tr>
        <w:trPr>
          <w:trHeight w:val="233"/>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Realized loss on sale of loans, net</w:t>
            </w:r>
          </w:p>
        </w:tc>
        <w:tc>
          <w:tcPr>
            <w:tcW w:w="10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(25,367)</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(11,447)</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(24,079)</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(19,300)</w:t>
            </w:r>
          </w:p>
        </w:tc>
      </w:tr>
      <w:tr>
        <w:trPr>
          <w:trHeight w:val="211"/>
        </w:trPr>
        <w:tc>
          <w:tcPr>
            <w:tcW w:w="4240" w:type="dxa"/>
            <w:vAlign w:val="bottom"/>
          </w:tcPr>
          <w:p>
            <w:pPr>
              <w:ind w:left="20"/>
              <w:spacing w:after="0"/>
              <w:rPr>
                <w:sz w:val="20"/>
                <w:szCs w:val="20"/>
                <w:color w:val="auto"/>
              </w:rPr>
            </w:pPr>
            <w:r>
              <w:rPr>
                <w:rFonts w:ascii="Arial" w:cs="Arial" w:eastAsia="Arial" w:hAnsi="Arial"/>
                <w:sz w:val="17"/>
                <w:szCs w:val="17"/>
                <w:color w:val="auto"/>
              </w:rPr>
              <w:t>Total fair value and other adjustments, net</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(56,844)</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(37,557)</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(74,865)</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(89,954)</w:t>
            </w:r>
          </w:p>
        </w:tc>
      </w:tr>
      <w:tr>
        <w:trPr>
          <w:trHeight w:val="239"/>
        </w:trPr>
        <w:tc>
          <w:tcPr>
            <w:tcW w:w="4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r>
      <w:tr>
        <w:trPr>
          <w:trHeight w:val="212"/>
        </w:trPr>
        <w:tc>
          <w:tcPr>
            <w:tcW w:w="4240" w:type="dxa"/>
            <w:vAlign w:val="bottom"/>
          </w:tcPr>
          <w:p>
            <w:pPr>
              <w:ind w:left="20"/>
              <w:spacing w:after="0"/>
              <w:rPr>
                <w:sz w:val="20"/>
                <w:szCs w:val="20"/>
                <w:color w:val="auto"/>
              </w:rPr>
            </w:pPr>
            <w:r>
              <w:rPr>
                <w:rFonts w:ascii="Arial" w:cs="Arial" w:eastAsia="Arial" w:hAnsi="Arial"/>
                <w:sz w:val="17"/>
                <w:szCs w:val="17"/>
                <w:color w:val="auto"/>
              </w:rPr>
              <w:t>Total interest income and fair value adjustments, net</w:t>
            </w:r>
          </w:p>
        </w:tc>
        <w:tc>
          <w:tcPr>
            <w:tcW w:w="1060" w:type="dxa"/>
            <w:vAlign w:val="bottom"/>
          </w:tcPr>
          <w:p>
            <w:pPr>
              <w:jc w:val="right"/>
              <w:ind w:right="87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7"/>
              </w:rPr>
              <w:t>(30,183)</w:t>
            </w:r>
          </w:p>
        </w:tc>
        <w:tc>
          <w:tcPr>
            <w:tcW w:w="118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(7,923)</w:t>
            </w:r>
          </w:p>
        </w:tc>
        <w:tc>
          <w:tcPr>
            <w:tcW w:w="1100" w:type="dxa"/>
            <w:vAlign w:val="bottom"/>
            <w:gridSpan w:val="2"/>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(34,029)</w:t>
            </w:r>
          </w:p>
        </w:tc>
        <w:tc>
          <w:tcPr>
            <w:tcW w:w="1120" w:type="dxa"/>
            <w:vAlign w:val="bottom"/>
            <w:gridSpan w:val="2"/>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(22,137)</w:t>
            </w:r>
          </w:p>
        </w:tc>
      </w:tr>
      <w:tr>
        <w:trPr>
          <w:trHeight w:val="20"/>
        </w:trPr>
        <w:tc>
          <w:tcPr>
            <w:tcW w:w="4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income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income is recognized based on the terms of the underlying agreements with borrowers for loans held on the Company’s condensed consolidated balance sheets and is earned over the life of a loan.</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2022 and June 30, 2023, the Company has recorded $12.8 million and $13.0 million of accrued interest income in loans on the condensed consolidated balance sheets,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expense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Interest expense is primarily related to interest recorded on the Company’s borrowings on warehouse credit facilities. Interest expense includes accrued interest incurred but not paid. Accrued interest expenses were immaterial as of December 31, 2022 and June 30, 2023. Interest expense also includes changes in fair value of the interest rate cap, which were immaterial for the three and six months ended June 30, 2023. Refer to “</w:t>
      </w:r>
      <w:r>
        <w:rPr>
          <w:rFonts w:ascii="Arial" w:cs="Arial" w:eastAsia="Arial" w:hAnsi="Arial"/>
          <w:sz w:val="17"/>
          <w:szCs w:val="17"/>
          <w:i w:val="1"/>
          <w:iCs w:val="1"/>
          <w:color w:val="auto"/>
        </w:rPr>
        <w:t>Note 4. Derivative Financial Instruments</w:t>
      </w:r>
      <w:r>
        <w:rPr>
          <w:rFonts w:ascii="Arial" w:cs="Arial" w:eastAsia="Arial" w:hAnsi="Arial"/>
          <w:sz w:val="17"/>
          <w:szCs w:val="17"/>
          <w:color w:val="auto"/>
        </w:rPr>
        <w:t>” for additional information.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Fair value and other adjustments, net</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Fair value and other adjustments, net include changes in fair value of financial instruments, other than loan servicing assets and liabilities and the interest rate cap. These adjustments are recorded in the Company’s condensed consolidated statements of operations and comprehensive income (loss) and include both realized and unrealized changes to the value of related assets and liabilities. Refer to “</w:t>
      </w:r>
      <w:r>
        <w:rPr>
          <w:rFonts w:ascii="Arial" w:cs="Arial" w:eastAsia="Arial" w:hAnsi="Arial"/>
          <w:sz w:val="16"/>
          <w:szCs w:val="16"/>
          <w:i w:val="1"/>
          <w:iCs w:val="1"/>
          <w:color w:val="auto"/>
        </w:rPr>
        <w:t>Note 6. Fair Value Measurement</w:t>
      </w:r>
      <w:r>
        <w:rPr>
          <w:rFonts w:ascii="Arial" w:cs="Arial" w:eastAsia="Arial" w:hAnsi="Arial"/>
          <w:sz w:val="16"/>
          <w:szCs w:val="16"/>
          <w:color w:val="auto"/>
        </w:rPr>
        <w:t>” for additional information.</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Fair value and other adjustments, net also includes amounts received from borrowers for previously charged-off loans held on the Company’s condensed consolidated balance sheets. These amounts are recognized in the period when amounts are received.</w:t>
      </w:r>
    </w:p>
    <w:p>
      <w:pPr>
        <w:spacing w:after="0" w:line="184"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Variable Interest Entities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Consolidated VIEs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consolidates variable interest entities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Warehouse Entities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established Upstart Loan Trust (“ULT”) and Upstart Auto Warehouse Trust (“UAWT”) to enter into warehouse credit facilities for the purpose of purchasing Upstart-powered loans. Refer to “</w:t>
      </w:r>
      <w:r>
        <w:rPr>
          <w:rFonts w:ascii="Arial" w:cs="Arial" w:eastAsia="Arial" w:hAnsi="Arial"/>
          <w:sz w:val="17"/>
          <w:szCs w:val="17"/>
          <w:i w:val="1"/>
          <w:iCs w:val="1"/>
          <w:color w:val="auto"/>
        </w:rPr>
        <w:t>Note 9. Borrowings</w:t>
      </w:r>
      <w:r>
        <w:rPr>
          <w:rFonts w:ascii="Arial" w:cs="Arial" w:eastAsia="Arial" w:hAnsi="Arial"/>
          <w:sz w:val="17"/>
          <w:szCs w:val="17"/>
          <w:color w:val="auto"/>
        </w:rPr>
        <w:t>” for additional information. The entities are Delaware statutory trusts that are structured to be bankruptcy-remote, with third-party banks operating as trustees.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Consolidated VIE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has formed a number of VIEs for the purpose of holding Upstart-powered loans that are not pledged or eligible to be pledged to the Company’s warehouse credit facilities.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a summary of financial assets and liabilities from the Company’s involvement with consolidated VIEs: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Net Assets</w:t>
            </w: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984,481</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337,830</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646,651</w:t>
            </w:r>
          </w:p>
        </w:tc>
      </w:tr>
      <w:tr>
        <w:trPr>
          <w:trHeight w:val="568"/>
        </w:trPr>
        <w:tc>
          <w:tcPr>
            <w:tcW w:w="6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Net Assets</w:t>
            </w: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2023</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838,072</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280,726</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557,346</w:t>
            </w:r>
          </w:p>
        </w:tc>
      </w:tr>
    </w:tbl>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Unconsolidated VIEs</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Company’s transactions with unconsolidated VIEs include securitizations of unsecured personal whole loans and sales of whole loans to VIEs. While the Company continues to be involved with the unconsolidated VIEs in its role as the sponsor and the servicer of securitization transactions, the Company does not hold a significant economic interest in these entities and has determined that it is not the primary beneficiary of these entities. The Company’s unconsolidated VIEs include entities established as the issuers and grantor trusts for various securitization transactions.</w:t>
      </w:r>
    </w:p>
    <w:p>
      <w:pPr>
        <w:spacing w:after="0" w:line="18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summarize the aggregate value of assets and liabilities of unconsolidated VIEs in which the Company holds a variable interest but is not the primary beneficiary: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Maximum Exposure</w:t>
            </w:r>
          </w:p>
        </w:tc>
        <w:tc>
          <w:tcPr>
            <w:tcW w:w="0" w:type="dxa"/>
            <w:vAlign w:val="bottom"/>
          </w:tcPr>
          <w:p>
            <w:pPr>
              <w:spacing w:after="0"/>
              <w:rPr>
                <w:sz w:val="1"/>
                <w:szCs w:val="1"/>
                <w:color w:val="auto"/>
              </w:rPr>
            </w:pPr>
          </w:p>
        </w:tc>
      </w:tr>
      <w:tr>
        <w:trPr>
          <w:trHeight w:val="224"/>
        </w:trPr>
        <w:tc>
          <w:tcPr>
            <w:tcW w:w="4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Net Assets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to Losses</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Securitizations and other</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364,013</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265,040</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98,973</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13,311</w:t>
            </w:r>
          </w:p>
        </w:tc>
        <w:tc>
          <w:tcPr>
            <w:tcW w:w="0" w:type="dxa"/>
            <w:vAlign w:val="bottom"/>
          </w:tcPr>
          <w:p>
            <w:pPr>
              <w:spacing w:after="0"/>
              <w:rPr>
                <w:sz w:val="1"/>
                <w:szCs w:val="1"/>
                <w:color w:val="auto"/>
              </w:rPr>
            </w:pPr>
          </w:p>
        </w:tc>
      </w:tr>
      <w:tr>
        <w:trPr>
          <w:trHeight w:val="517"/>
        </w:trPr>
        <w:tc>
          <w:tcPr>
            <w:tcW w:w="4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vMerge w:val="restart"/>
          </w:tcPr>
          <w:p>
            <w:pPr>
              <w:jc w:val="right"/>
              <w:ind w:right="494"/>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rPr>
              <w:t>Net Assets</w:t>
            </w:r>
          </w:p>
        </w:tc>
        <w:tc>
          <w:tcPr>
            <w:tcW w:w="10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Maximum Exposure</w:t>
            </w:r>
          </w:p>
        </w:tc>
        <w:tc>
          <w:tcPr>
            <w:tcW w:w="0" w:type="dxa"/>
            <w:vAlign w:val="bottom"/>
          </w:tcPr>
          <w:p>
            <w:pPr>
              <w:spacing w:after="0"/>
              <w:rPr>
                <w:sz w:val="1"/>
                <w:szCs w:val="1"/>
                <w:color w:val="auto"/>
              </w:rPr>
            </w:pPr>
          </w:p>
        </w:tc>
      </w:tr>
      <w:tr>
        <w:trPr>
          <w:trHeight w:val="219"/>
        </w:trPr>
        <w:tc>
          <w:tcPr>
            <w:tcW w:w="4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to Losses</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2023</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Securitizations and other</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264,922</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188,210</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76,712</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11,036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Company’s maximum exposure to loss from its involvement with unconsolidated VIEs represents the estimated loss that would be incurred under severe, hypothetical circumstances, for which the Company believes the possibility is remote. The carrying value of assets that relate to variable interests in unconsolidated VIEs consists of $6.2 million and $3.9 million of securitization notes and residual certificates which are included in other assets on the condensed consolidated balance sheets as of December 31, 2022 and June 30, 2023, respectively. The Company also had $7.1 million of cash deposits made to reserve accounts for related securitizations, included in other assets on the condensed consolidated balance sheets as of December 31, 2022 and June 30, 2023.</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For securitization transactions where the Company is not the risk retaining sponsor, and servicing is the only form of continuing involvement, the Company would only experience a loss if it were required to repurchase such a loan due to a breach in representations and warranties and is not able to collect all repayments, refer to “</w:t>
      </w:r>
      <w:r>
        <w:rPr>
          <w:rFonts w:ascii="Arial" w:cs="Arial" w:eastAsia="Arial" w:hAnsi="Arial"/>
          <w:sz w:val="17"/>
          <w:szCs w:val="17"/>
          <w:i w:val="1"/>
          <w:iCs w:val="1"/>
          <w:color w:val="auto"/>
        </w:rPr>
        <w:t>Note 12. Commitments and Contingencies</w:t>
      </w:r>
      <w:r>
        <w:rPr>
          <w:rFonts w:ascii="Arial" w:cs="Arial" w:eastAsia="Arial" w:hAnsi="Arial"/>
          <w:sz w:val="17"/>
          <w:szCs w:val="17"/>
          <w:color w:val="auto"/>
        </w:rPr>
        <w:t>” for further information.</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27"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Derivative Financial Instruments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 xml:space="preserve">In February 2023 and June 2023, UAWT and ULT entered into interest rate cap agreements with a strike rate of 3.0% and 3.25%, respectively. The agreements were entered into in relation to the warehouse credit facilities which bear floating interest rates, refer to </w:t>
      </w:r>
      <w:r>
        <w:rPr>
          <w:rFonts w:ascii="Arial" w:cs="Arial" w:eastAsia="Arial" w:hAnsi="Arial"/>
          <w:sz w:val="16"/>
          <w:szCs w:val="16"/>
          <w:i w:val="1"/>
          <w:iCs w:val="1"/>
          <w:color w:val="auto"/>
        </w:rPr>
        <w:t>“Note 9. Borrowings”</w:t>
      </w:r>
      <w:r>
        <w:rPr>
          <w:rFonts w:ascii="Arial" w:cs="Arial" w:eastAsia="Arial" w:hAnsi="Arial"/>
          <w:sz w:val="16"/>
          <w:szCs w:val="16"/>
          <w:color w:val="auto"/>
        </w:rPr>
        <w:t xml:space="preserve"> for further information. The interest rate caps provide protection to the credit facilities against exposure to changes in cash flows to the extent the underlying interest rate on the facility exceeds the strike rate. The UAWT interest rate cap matures in April 2029 and the ULT interest rate cap matures June 2025. The interest rate cap agreements meet the definition of a derivative and are reported at fair value. Refer to “</w:t>
      </w:r>
      <w:r>
        <w:rPr>
          <w:rFonts w:ascii="Arial" w:cs="Arial" w:eastAsia="Arial" w:hAnsi="Arial"/>
          <w:sz w:val="16"/>
          <w:szCs w:val="16"/>
          <w:i w:val="1"/>
          <w:iCs w:val="1"/>
          <w:color w:val="auto"/>
        </w:rPr>
        <w:t>Note 6. Fair Value Measurement</w:t>
      </w:r>
      <w:r>
        <w:rPr>
          <w:rFonts w:ascii="Arial" w:cs="Arial" w:eastAsia="Arial" w:hAnsi="Arial"/>
          <w:sz w:val="16"/>
          <w:szCs w:val="16"/>
          <w:color w:val="auto"/>
        </w:rPr>
        <w:t>” for additional information.</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notional amount as well as the fair value of interest rate caps, which is reported as part of other assets on the condensed consolidated balance sheets. There were no material derivative financial instruments held by the Company as of December 31,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7"/>
                <w:szCs w:val="17"/>
                <w:b w:val="1"/>
                <w:bCs w:val="1"/>
                <w:color w:val="auto"/>
              </w:rPr>
              <w:t>June 30, 2023</w:t>
            </w:r>
          </w:p>
        </w:tc>
        <w:tc>
          <w:tcPr>
            <w:tcW w:w="2520" w:type="dxa"/>
            <w:vAlign w:val="bottom"/>
            <w:tcBorders>
              <w:bottom w:val="single" w:sz="8" w:color="auto"/>
            </w:tcBorders>
          </w:tcPr>
          <w:p>
            <w:pPr>
              <w:spacing w:after="0"/>
              <w:rPr>
                <w:sz w:val="19"/>
                <w:szCs w:val="19"/>
                <w:color w:val="auto"/>
              </w:rPr>
            </w:pPr>
          </w:p>
        </w:tc>
      </w:tr>
      <w:tr>
        <w:trPr>
          <w:trHeight w:val="221"/>
        </w:trPr>
        <w:tc>
          <w:tcPr>
            <w:tcW w:w="4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b w:val="1"/>
                <w:bCs w:val="1"/>
                <w:color w:val="auto"/>
              </w:rPr>
              <w:t>Notional Amount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194"/>
              <w:spacing w:after="0"/>
              <w:rPr>
                <w:sz w:val="20"/>
                <w:szCs w:val="20"/>
                <w:color w:val="auto"/>
              </w:rPr>
            </w:pPr>
            <w:r>
              <w:rPr>
                <w:rFonts w:ascii="Arial" w:cs="Arial" w:eastAsia="Arial" w:hAnsi="Arial"/>
                <w:sz w:val="17"/>
                <w:szCs w:val="17"/>
                <w:b w:val="1"/>
                <w:bCs w:val="1"/>
                <w:color w:val="auto"/>
              </w:rPr>
              <w:t>Fair Value</w:t>
            </w:r>
          </w:p>
        </w:tc>
      </w:tr>
      <w:tr>
        <w:trPr>
          <w:trHeight w:val="217"/>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caps</w:t>
            </w: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333,047</w:t>
            </w:r>
          </w:p>
        </w:tc>
        <w:tc>
          <w:tcPr>
            <w:tcW w:w="9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10,339</w:t>
            </w: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recognizes changes in fair value of these instruments in earnings and reports them as part of the interest expense on the condensed consolidated statements of operations and comprehensive income (loss). The table below presents gains recognized on the interest rate caps during the following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0" w:type="dxa"/>
            <w:vAlign w:val="bottom"/>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000" w:type="dxa"/>
            <w:vAlign w:val="bottom"/>
          </w:tcPr>
          <w:p>
            <w:pPr>
              <w:spacing w:after="0"/>
              <w:rPr>
                <w:sz w:val="18"/>
                <w:szCs w:val="18"/>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gains on interest rate caps</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1660" w:type="dxa"/>
            <w:vAlign w:val="bottom"/>
            <w:gridSpan w:val="3"/>
            <w:shd w:val="clear" w:color="auto" w:fill="CCEEFF"/>
          </w:tcPr>
          <w:p>
            <w:pPr>
              <w:jc w:val="right"/>
              <w:ind w:right="934"/>
              <w:spacing w:after="0"/>
              <w:rPr>
                <w:sz w:val="20"/>
                <w:szCs w:val="20"/>
                <w:color w:val="auto"/>
              </w:rPr>
            </w:pPr>
            <w:r>
              <w:rPr>
                <w:rFonts w:ascii="Arial" w:cs="Arial" w:eastAsia="Arial" w:hAnsi="Arial"/>
                <w:sz w:val="17"/>
                <w:szCs w:val="17"/>
                <w:color w:val="auto"/>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2,309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6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69"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Beneficial Interests</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certain committed capital agreements, the Company has risk sharing arrangements in which it is obligated to make payments to the loan buyer or is entitled to receive payments from the loan buyer if credit losses on the underlying loans subject to the arrangements deviate from initial expectations, subject to a dollar cap. The Company has beneficial interests in these arrangements which either meet the definition of a derivative or that meet the criteria of a debt security. As of June 30, 2023 the Company’s capital at risk, which represents the maximum exposure to losses, under these arrangements was $40.2 million.</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following table presents the aggregate unpaid principal balance of the underlying portfolio as well as the fair value of beneficial interests, which are presented as a separate asset line item on the condensed consolidated balance sheets. As of June 30, 2023, beneficial interest liabilities were immaterial. There were no beneficial interests held by the Company as of December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June 30, 2023</w:t>
            </w:r>
          </w:p>
        </w:tc>
        <w:tc>
          <w:tcPr>
            <w:tcW w:w="2380" w:type="dxa"/>
            <w:vAlign w:val="bottom"/>
            <w:tcBorders>
              <w:bottom w:val="single" w:sz="8" w:color="auto"/>
            </w:tcBorders>
          </w:tcPr>
          <w:p>
            <w:pPr>
              <w:spacing w:after="0"/>
              <w:rPr>
                <w:sz w:val="19"/>
                <w:szCs w:val="19"/>
                <w:color w:val="auto"/>
              </w:rPr>
            </w:pPr>
          </w:p>
        </w:tc>
      </w:tr>
      <w:tr>
        <w:trPr>
          <w:trHeight w:val="213"/>
        </w:trPr>
        <w:tc>
          <w:tcPr>
            <w:tcW w:w="4520" w:type="dxa"/>
            <w:vAlign w:val="bottom"/>
          </w:tcPr>
          <w:p>
            <w:pPr>
              <w:spacing w:after="0"/>
              <w:rPr>
                <w:sz w:val="18"/>
                <w:szCs w:val="18"/>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Unpaid Principal Balance</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b w:val="1"/>
                <w:bCs w:val="1"/>
                <w:color w:val="auto"/>
              </w:rPr>
              <w:t>Fair Value</w:t>
            </w:r>
          </w:p>
        </w:tc>
      </w:tr>
      <w:tr>
        <w:trPr>
          <w:trHeight w:val="418"/>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Beneficial interests</w:t>
            </w:r>
          </w:p>
        </w:tc>
        <w:tc>
          <w:tcPr>
            <w:tcW w:w="2760" w:type="dxa"/>
            <w:vAlign w:val="bottom"/>
            <w:shd w:val="clear" w:color="auto" w:fill="CCEEFF"/>
          </w:tcPr>
          <w:p>
            <w:pPr>
              <w:jc w:val="right"/>
              <w:ind w:right="255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ind w:left="80"/>
              <w:spacing w:after="0"/>
              <w:rPr>
                <w:sz w:val="20"/>
                <w:szCs w:val="20"/>
                <w:color w:val="auto"/>
              </w:rPr>
            </w:pPr>
            <w:r>
              <w:rPr>
                <w:rFonts w:ascii="Arial" w:cs="Arial" w:eastAsia="Arial" w:hAnsi="Arial"/>
                <w:sz w:val="17"/>
                <w:szCs w:val="17"/>
                <w:color w:val="auto"/>
              </w:rPr>
              <w:t>742,988</w:t>
            </w:r>
          </w:p>
        </w:tc>
        <w:tc>
          <w:tcPr>
            <w:tcW w:w="8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28,664</w:t>
            </w: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recognizes these beneficial interests at fair value with changes reported as part of the fair value and other adjustments on the condensed consolidated statements of operations and comprehensive income (loss)</w:t>
      </w:r>
      <w:r>
        <w:rPr>
          <w:rFonts w:ascii="Arial" w:cs="Arial" w:eastAsia="Arial" w:hAnsi="Arial"/>
          <w:sz w:val="17"/>
          <w:szCs w:val="17"/>
          <w:color w:val="3051F2"/>
        </w:rPr>
        <w:t>.</w:t>
      </w:r>
      <w:r>
        <w:rPr>
          <w:rFonts w:ascii="Arial" w:cs="Arial" w:eastAsia="Arial" w:hAnsi="Arial"/>
          <w:sz w:val="17"/>
          <w:szCs w:val="17"/>
          <w:color w:val="auto"/>
        </w:rPr>
        <w:t xml:space="preserve"> The table below presents losses recognized on beneficial interests during the following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4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r>
      <w:tr>
        <w:trPr>
          <w:trHeight w:val="418"/>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losses on beneficial interests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20" w:type="dxa"/>
            <w:vAlign w:val="bottom"/>
            <w:gridSpan w:val="3"/>
            <w:shd w:val="clear" w:color="auto" w:fill="CCEEFF"/>
          </w:tcPr>
          <w:p>
            <w:pPr>
              <w:ind w:left="1020"/>
              <w:spacing w:after="0"/>
              <w:rPr>
                <w:sz w:val="20"/>
                <w:szCs w:val="20"/>
                <w:color w:val="auto"/>
              </w:rPr>
            </w:pPr>
            <w:r>
              <w:rPr>
                <w:rFonts w:ascii="Arial" w:cs="Arial" w:eastAsia="Arial" w:hAnsi="Arial"/>
                <w:sz w:val="17"/>
                <w:szCs w:val="17"/>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w:t>
      </w:r>
      <w:r>
        <w:rPr>
          <w:rFonts w:ascii="Arial" w:cs="Arial" w:eastAsia="Arial" w:hAnsi="Arial"/>
          <w:sz w:val="17"/>
          <w:szCs w:val="17"/>
          <w:i w:val="1"/>
          <w:iCs w:val="1"/>
          <w:color w:val="auto"/>
        </w:rPr>
        <w:t>Note 6. Fair Value Measurement</w:t>
      </w:r>
      <w:r>
        <w:rPr>
          <w:rFonts w:ascii="Arial" w:cs="Arial" w:eastAsia="Arial" w:hAnsi="Arial"/>
          <w:sz w:val="17"/>
          <w:szCs w:val="17"/>
          <w:color w:val="auto"/>
        </w:rPr>
        <w:t>” for additional information.</w:t>
      </w:r>
    </w:p>
    <w:p>
      <w:pPr>
        <w:spacing w:after="0" w:line="200" w:lineRule="exact"/>
        <w:rPr>
          <w:sz w:val="20"/>
          <w:szCs w:val="20"/>
          <w:color w:val="auto"/>
        </w:rPr>
      </w:pPr>
    </w:p>
    <w:p>
      <w:pPr>
        <w:spacing w:after="0" w:line="243"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Fair Value Measurement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assets and liabilities measured at fair value and categorized in accordance with the fair value hierarchy: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33"/>
        </w:trPr>
        <w:tc>
          <w:tcPr>
            <w:tcW w:w="62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Level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tcPr>
          <w:p>
            <w:pPr>
              <w:ind w:left="20"/>
              <w:spacing w:after="0"/>
              <w:rPr>
                <w:sz w:val="20"/>
                <w:szCs w:val="20"/>
                <w:color w:val="auto"/>
              </w:rPr>
            </w:pPr>
            <w:r>
              <w:rPr>
                <w:rFonts w:ascii="Arial" w:cs="Arial" w:eastAsia="Arial" w:hAnsi="Arial"/>
                <w:sz w:val="17"/>
                <w:szCs w:val="17"/>
                <w:color w:val="auto"/>
              </w:rPr>
              <w:t>Loans</w:t>
            </w:r>
          </w:p>
        </w:tc>
        <w:tc>
          <w:tcPr>
            <w:tcW w:w="1640" w:type="dxa"/>
            <w:vAlign w:val="bottom"/>
          </w:tcPr>
          <w:p>
            <w:pPr>
              <w:jc w:val="center"/>
              <w:spacing w:after="0"/>
              <w:rPr>
                <w:sz w:val="20"/>
                <w:szCs w:val="20"/>
                <w:color w:val="auto"/>
              </w:rPr>
            </w:pPr>
            <w:r>
              <w:rPr>
                <w:rFonts w:ascii="Arial" w:cs="Arial" w:eastAsia="Arial" w:hAnsi="Arial"/>
                <w:sz w:val="17"/>
                <w:szCs w:val="17"/>
                <w:color w:val="auto"/>
              </w:rPr>
              <w:t>3</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1,010,421</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837,565</w:t>
            </w: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 and residual certificates</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3,907</w:t>
            </w:r>
          </w:p>
        </w:tc>
        <w:tc>
          <w:tcPr>
            <w:tcW w:w="0" w:type="dxa"/>
            <w:vAlign w:val="bottom"/>
          </w:tcPr>
          <w:p>
            <w:pPr>
              <w:spacing w:after="0"/>
              <w:rPr>
                <w:sz w:val="1"/>
                <w:szCs w:val="1"/>
                <w:color w:val="auto"/>
              </w:rPr>
            </w:pPr>
          </w:p>
        </w:tc>
      </w:tr>
      <w:tr>
        <w:trPr>
          <w:trHeight w:val="225"/>
        </w:trPr>
        <w:tc>
          <w:tcPr>
            <w:tcW w:w="6220" w:type="dxa"/>
            <w:vAlign w:val="bottom"/>
          </w:tcPr>
          <w:p>
            <w:pPr>
              <w:ind w:left="20"/>
              <w:spacing w:after="0"/>
              <w:rPr>
                <w:sz w:val="20"/>
                <w:szCs w:val="20"/>
                <w:color w:val="auto"/>
              </w:rPr>
            </w:pPr>
            <w:r>
              <w:rPr>
                <w:rFonts w:ascii="Arial" w:cs="Arial" w:eastAsia="Arial" w:hAnsi="Arial"/>
                <w:sz w:val="17"/>
                <w:szCs w:val="17"/>
                <w:color w:val="auto"/>
              </w:rPr>
              <w:t>Loan servicing assets</w:t>
            </w:r>
          </w:p>
        </w:tc>
        <w:tc>
          <w:tcPr>
            <w:tcW w:w="1640" w:type="dxa"/>
            <w:vAlign w:val="bottom"/>
          </w:tcPr>
          <w:p>
            <w:pPr>
              <w:jc w:val="center"/>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36,467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33,339</w:t>
            </w:r>
          </w:p>
        </w:tc>
        <w:tc>
          <w:tcPr>
            <w:tcW w:w="0" w:type="dxa"/>
            <w:vAlign w:val="bottom"/>
          </w:tcPr>
          <w:p>
            <w:pPr>
              <w:spacing w:after="0"/>
              <w:rPr>
                <w:sz w:val="1"/>
                <w:szCs w:val="1"/>
                <w:color w:val="auto"/>
              </w:rPr>
            </w:pPr>
          </w:p>
        </w:tc>
      </w:tr>
      <w:tr>
        <w:trPr>
          <w:trHeight w:val="226"/>
        </w:trPr>
        <w:tc>
          <w:tcPr>
            <w:tcW w:w="6220" w:type="dxa"/>
            <w:vAlign w:val="bottom"/>
            <w:shd w:val="clear" w:color="auto" w:fill="CCEEFF"/>
          </w:tcPr>
          <w:p>
            <w:pPr>
              <w:ind w:left="20"/>
              <w:spacing w:after="0" w:line="226" w:lineRule="exact"/>
              <w:rPr>
                <w:sz w:val="20"/>
                <w:szCs w:val="20"/>
                <w:color w:val="auto"/>
              </w:rPr>
            </w:pPr>
            <w:r>
              <w:rPr>
                <w:rFonts w:ascii="Arial" w:cs="Arial" w:eastAsia="Arial" w:hAnsi="Arial"/>
                <w:sz w:val="17"/>
                <w:szCs w:val="17"/>
                <w:color w:val="auto"/>
              </w:rPr>
              <w:t>Interest rate caps</w:t>
            </w:r>
            <w:r>
              <w:rPr>
                <w:rFonts w:ascii="Arial" w:cs="Arial" w:eastAsia="Arial" w:hAnsi="Arial"/>
                <w:sz w:val="22"/>
                <w:szCs w:val="22"/>
                <w:color w:val="auto"/>
                <w:vertAlign w:val="superscript"/>
              </w:rPr>
              <w:t>(1)</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10,339</w:t>
            </w:r>
          </w:p>
        </w:tc>
        <w:tc>
          <w:tcPr>
            <w:tcW w:w="0" w:type="dxa"/>
            <w:vAlign w:val="bottom"/>
          </w:tcPr>
          <w:p>
            <w:pPr>
              <w:spacing w:after="0"/>
              <w:rPr>
                <w:sz w:val="1"/>
                <w:szCs w:val="1"/>
                <w:color w:val="auto"/>
              </w:rPr>
            </w:pPr>
          </w:p>
        </w:tc>
      </w:tr>
      <w:tr>
        <w:trPr>
          <w:trHeight w:val="219"/>
        </w:trPr>
        <w:tc>
          <w:tcPr>
            <w:tcW w:w="6220" w:type="dxa"/>
            <w:vAlign w:val="bottom"/>
          </w:tcPr>
          <w:p>
            <w:pPr>
              <w:ind w:left="20"/>
              <w:spacing w:after="0"/>
              <w:rPr>
                <w:sz w:val="20"/>
                <w:szCs w:val="20"/>
                <w:color w:val="auto"/>
              </w:rPr>
            </w:pPr>
            <w:r>
              <w:rPr>
                <w:rFonts w:ascii="Arial" w:cs="Arial" w:eastAsia="Arial" w:hAnsi="Arial"/>
                <w:sz w:val="17"/>
                <w:szCs w:val="17"/>
                <w:color w:val="auto"/>
              </w:rPr>
              <w:t>Beneficial interests</w:t>
            </w:r>
          </w:p>
        </w:tc>
        <w:tc>
          <w:tcPr>
            <w:tcW w:w="1640" w:type="dxa"/>
            <w:vAlign w:val="bottom"/>
          </w:tcPr>
          <w:p>
            <w:pPr>
              <w:jc w:val="center"/>
              <w:spacing w:after="0"/>
              <w:rPr>
                <w:sz w:val="20"/>
                <w:szCs w:val="20"/>
                <w:color w:val="auto"/>
              </w:rPr>
            </w:pPr>
            <w:r>
              <w:rPr>
                <w:rFonts w:ascii="Arial" w:cs="Arial" w:eastAsia="Arial" w:hAnsi="Arial"/>
                <w:sz w:val="17"/>
                <w:szCs w:val="17"/>
                <w:color w:val="auto"/>
              </w:rPr>
              <w:t>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28,664</w:t>
            </w:r>
          </w:p>
        </w:tc>
        <w:tc>
          <w:tcPr>
            <w:tcW w:w="0" w:type="dxa"/>
            <w:vAlign w:val="bottom"/>
          </w:tcPr>
          <w:p>
            <w:pPr>
              <w:spacing w:after="0"/>
              <w:rPr>
                <w:sz w:val="1"/>
                <w:szCs w:val="1"/>
                <w:color w:val="auto"/>
              </w:rPr>
            </w:pPr>
          </w:p>
        </w:tc>
      </w:tr>
      <w:tr>
        <w:trPr>
          <w:trHeight w:val="238"/>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1,053,069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913,814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1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2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liabilities</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231"/>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Trailing fee liabilities</w:t>
            </w: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3</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4,265</w:t>
            </w:r>
          </w:p>
        </w:tc>
        <w:tc>
          <w:tcPr>
            <w:tcW w:w="0" w:type="dxa"/>
            <w:vAlign w:val="bottom"/>
          </w:tcPr>
          <w:p>
            <w:pPr>
              <w:spacing w:after="0"/>
              <w:rPr>
                <w:sz w:val="1"/>
                <w:szCs w:val="1"/>
                <w:color w:val="auto"/>
              </w:rPr>
            </w:pPr>
          </w:p>
        </w:tc>
      </w:tr>
      <w:tr>
        <w:trPr>
          <w:trHeight w:val="232"/>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72" w:lineRule="exact"/>
        <w:rPr>
          <w:sz w:val="20"/>
          <w:szCs w:val="20"/>
          <w:color w:val="auto"/>
        </w:rPr>
      </w:pPr>
    </w:p>
    <w:p>
      <w:pPr>
        <w:ind w:left="320" w:firstLine="302"/>
        <w:spacing w:after="0" w:line="269" w:lineRule="auto"/>
        <w:tabs>
          <w:tab w:leader="none" w:pos="124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fair value of interest rate caps is determined based on the present value of the estimated future cash flows over the contract term using observable market-based inputs as of the valuation date, including implied interest rates.</w:t>
      </w:r>
    </w:p>
    <w:p>
      <w:pPr>
        <w:spacing w:after="0" w:line="212"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Financial instruments are categorized in the fair value hierarchy based on the significance of unobservable factors in the overall fair value measurement. Since the Company’s loans, notes receivable and residual certificates, loan servicing assets and liabilities, beneficial interests, and trailing fee liabilities do not trade in an active market with readily observable prices, the Company uses significant unobservable inputs to measure the fair value of these assets and liabilities.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 1, Level 2 or Level 3 of the fair value hierarchy during the periods presented.</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Loans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Loans included in the Company’s condensed consolidated balance sheets are classified as either held-for-sale or held-for-investment based on the Company’s intent and ability to sell the loans prior to maturity. From time to time the Company transfers loans between classifications based on changes in the Company’s intent. As of December 31, 2022, $882.8 million and $127.6 million of loans held on the Company’s condensed consolidated balance sheets were classified as held-for-sale and held-for-investment, respectively. As of June 30, 2023, $689.9 million and $147.7 million of loans held on the Company’s condensed consolidated balance sheets were classified as held-for-sale and held-for-investment, respectively.</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for loans held-for-investment and held-for-sale: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1"/>
              </w:rPr>
              <w:t>December 31, 2022</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June 30, 2023</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440" w:type="dxa"/>
            <w:vAlign w:val="bottom"/>
          </w:tcPr>
          <w:p>
            <w:pPr>
              <w:spacing w:after="0"/>
              <w:rPr>
                <w:sz w:val="14"/>
                <w:szCs w:val="14"/>
                <w:color w:val="auto"/>
              </w:rPr>
            </w:pPr>
          </w:p>
        </w:tc>
        <w:tc>
          <w:tcPr>
            <w:tcW w:w="136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Minimum</w:t>
            </w:r>
          </w:p>
        </w:tc>
        <w:tc>
          <w:tcPr>
            <w:tcW w:w="80" w:type="dxa"/>
            <w:vAlign w:val="bottom"/>
          </w:tcPr>
          <w:p>
            <w:pPr>
              <w:spacing w:after="0"/>
              <w:rPr>
                <w:sz w:val="14"/>
                <w:szCs w:val="14"/>
                <w:color w:val="auto"/>
              </w:rPr>
            </w:pPr>
          </w:p>
        </w:tc>
        <w:tc>
          <w:tcPr>
            <w:tcW w:w="136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Maximum</w:t>
            </w:r>
          </w:p>
        </w:tc>
        <w:tc>
          <w:tcPr>
            <w:tcW w:w="100" w:type="dxa"/>
            <w:vAlign w:val="bottom"/>
            <w:vMerge w:val="restart"/>
          </w:tcPr>
          <w:p>
            <w:pPr>
              <w:spacing w:after="0"/>
              <w:rPr>
                <w:sz w:val="14"/>
                <w:szCs w:val="14"/>
                <w:color w:val="auto"/>
              </w:rPr>
            </w:pPr>
          </w:p>
        </w:tc>
        <w:tc>
          <w:tcPr>
            <w:tcW w:w="14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w w:val="92"/>
              </w:rPr>
              <w:t>Weighted-Average</w:t>
            </w:r>
          </w:p>
        </w:tc>
        <w:tc>
          <w:tcPr>
            <w:tcW w:w="80" w:type="dxa"/>
            <w:vAlign w:val="bottom"/>
          </w:tcPr>
          <w:p>
            <w:pPr>
              <w:spacing w:after="0"/>
              <w:rPr>
                <w:sz w:val="14"/>
                <w:szCs w:val="14"/>
                <w:color w:val="auto"/>
              </w:rPr>
            </w:pPr>
          </w:p>
        </w:tc>
        <w:tc>
          <w:tcPr>
            <w:tcW w:w="136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Minimum</w:t>
            </w:r>
          </w:p>
        </w:tc>
        <w:tc>
          <w:tcPr>
            <w:tcW w:w="100" w:type="dxa"/>
            <w:vAlign w:val="bottom"/>
          </w:tcPr>
          <w:p>
            <w:pPr>
              <w:spacing w:after="0"/>
              <w:rPr>
                <w:sz w:val="14"/>
                <w:szCs w:val="14"/>
                <w:color w:val="auto"/>
              </w:rPr>
            </w:pPr>
          </w:p>
        </w:tc>
        <w:tc>
          <w:tcPr>
            <w:tcW w:w="134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rPr>
              <w:t>Maximum</w:t>
            </w:r>
          </w:p>
        </w:tc>
        <w:tc>
          <w:tcPr>
            <w:tcW w:w="100" w:type="dxa"/>
            <w:vAlign w:val="bottom"/>
          </w:tcPr>
          <w:p>
            <w:pPr>
              <w:spacing w:after="0"/>
              <w:rPr>
                <w:sz w:val="14"/>
                <w:szCs w:val="14"/>
                <w:color w:val="auto"/>
              </w:rPr>
            </w:pPr>
          </w:p>
        </w:tc>
        <w:tc>
          <w:tcPr>
            <w:tcW w:w="14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160"/>
        </w:trPr>
        <w:tc>
          <w:tcPr>
            <w:tcW w:w="24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589"/>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9.87 %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22.82 %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12.06 %</w:t>
            </w: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7"/>
                <w:szCs w:val="17"/>
                <w:color w:val="auto"/>
              </w:rPr>
              <w:t>0.01 %</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93.09 %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16.93 %</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0.01 %</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92.98 %</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17.04 %</w:t>
            </w:r>
          </w:p>
        </w:tc>
        <w:tc>
          <w:tcPr>
            <w:tcW w:w="0" w:type="dxa"/>
            <w:vAlign w:val="bottom"/>
          </w:tcPr>
          <w:p>
            <w:pPr>
              <w:spacing w:after="0"/>
              <w:rPr>
                <w:sz w:val="1"/>
                <w:szCs w:val="1"/>
                <w:color w:val="auto"/>
              </w:rPr>
            </w:pPr>
          </w:p>
        </w:tc>
      </w:tr>
      <w:tr>
        <w:trPr>
          <w:trHeight w:val="232"/>
        </w:trPr>
        <w:tc>
          <w:tcPr>
            <w:tcW w:w="244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93.43 %</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40.49 %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0.02 %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93.43 %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38.74 %</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hanging="457"/>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13" w:lineRule="exact"/>
        <w:rPr>
          <w:rFonts w:ascii="Arial" w:cs="Arial" w:eastAsia="Arial" w:hAnsi="Arial"/>
          <w:sz w:val="14"/>
          <w:szCs w:val="14"/>
          <w:color w:val="auto"/>
        </w:rPr>
      </w:pPr>
    </w:p>
    <w:p>
      <w:pPr>
        <w:ind w:left="460" w:hanging="457"/>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Discount rates</w:t>
      </w:r>
      <w:r>
        <w:rPr>
          <w:rFonts w:ascii="Arial" w:cs="Arial" w:eastAsia="Arial" w:hAnsi="Arial"/>
          <w:sz w:val="17"/>
          <w:szCs w:val="17"/>
          <w:color w:val="auto"/>
        </w:rPr>
        <w:t>–The discount rates are rates of return used to discount future expected cash flows to arrive at a present value, which represents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Credit risk rates</w:t>
      </w:r>
      <w:r>
        <w:rPr>
          <w:rFonts w:ascii="Arial" w:cs="Arial" w:eastAsia="Arial" w:hAnsi="Arial"/>
          <w:sz w:val="17"/>
          <w:szCs w:val="17"/>
          <w:color w:val="auto"/>
        </w:rPr>
        <w:t>–The credit risk rates are an estimate of the net cumulative principal payments that will not be repaid over the entire life of a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The credit risk rates are expressed as a percentage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original principal amount of the instrument. The estimated net cumulative loss represents the sum of the net losses estimated to occur each month of the life of the instrument, net of the average recovery expected to be received.</w:t>
      </w:r>
    </w:p>
    <w:p>
      <w:pPr>
        <w:spacing w:after="0" w:line="190" w:lineRule="exact"/>
        <w:rPr>
          <w:sz w:val="20"/>
          <w:szCs w:val="20"/>
          <w:color w:val="auto"/>
        </w:rPr>
      </w:pPr>
    </w:p>
    <w:p>
      <w:pPr>
        <w:ind w:firstLine="619"/>
        <w:spacing w:after="0" w:line="349"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an estimate of the cumulative principal prepayments that will occur over the entire life of a loan as a percentage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original principal amount of the loan. The assumption regarding cumulative prepayments impacts the projected balances and expected terms of the loans.</w:t>
      </w:r>
    </w:p>
    <w:p>
      <w:pPr>
        <w:spacing w:after="0" w:line="1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above inputs are similarly used in estimating fair value of related financial instruments. Refer to the Assets and Liabilities related to Securitization Transactions section below for additional information.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presents the sensitivity of the loans held-for-sale and held-for-investment to adverse changes in key assumptions used in the valuation model as of December 31, 2022 and June 30, 2023, respectively.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30"/>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loans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1,010,421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837,565</w:t>
            </w:r>
          </w:p>
        </w:tc>
      </w:tr>
      <w:tr>
        <w:trPr>
          <w:trHeight w:val="205"/>
        </w:trPr>
        <w:tc>
          <w:tcPr>
            <w:tcW w:w="7860" w:type="dxa"/>
            <w:vAlign w:val="bottom"/>
          </w:tcPr>
          <w:p>
            <w:pPr>
              <w:ind w:left="20"/>
              <w:spacing w:after="0"/>
              <w:rPr>
                <w:sz w:val="20"/>
                <w:szCs w:val="20"/>
                <w:color w:val="auto"/>
              </w:rPr>
            </w:pPr>
            <w:r>
              <w:rPr>
                <w:rFonts w:ascii="Arial" w:cs="Arial" w:eastAsia="Arial" w:hAnsi="Arial"/>
                <w:sz w:val="17"/>
                <w:szCs w:val="17"/>
                <w:color w:val="auto"/>
              </w:rPr>
              <w:t>Discount rates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(9,752)</w:t>
            </w:r>
          </w:p>
        </w:tc>
      </w:tr>
      <w:tr>
        <w:trPr>
          <w:trHeight w:val="218"/>
        </w:trPr>
        <w:tc>
          <w:tcPr>
            <w:tcW w:w="7860" w:type="dxa"/>
            <w:vAlign w:val="bottom"/>
          </w:tcPr>
          <w:p>
            <w:pPr>
              <w:ind w:left="220"/>
              <w:spacing w:after="0"/>
              <w:rPr>
                <w:sz w:val="20"/>
                <w:szCs w:val="20"/>
                <w:color w:val="auto"/>
              </w:rPr>
            </w:pPr>
            <w:r>
              <w:rPr>
                <w:rFonts w:ascii="Arial" w:cs="Arial" w:eastAsia="Arial" w:hAnsi="Arial"/>
                <w:sz w:val="17"/>
                <w:szCs w:val="17"/>
                <w:color w:val="auto"/>
              </w:rPr>
              <w:t>200 basis point increase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(19,314)</w:t>
            </w: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credit loss rates on underlying loans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8"/>
        </w:trPr>
        <w:tc>
          <w:tcPr>
            <w:tcW w:w="7860" w:type="dxa"/>
            <w:vAlign w:val="bottom"/>
          </w:tcPr>
          <w:p>
            <w:pPr>
              <w:ind w:left="220"/>
              <w:spacing w:after="0"/>
              <w:rPr>
                <w:sz w:val="20"/>
                <w:szCs w:val="20"/>
                <w:color w:val="auto"/>
              </w:rPr>
            </w:pPr>
            <w:r>
              <w:rPr>
                <w:rFonts w:ascii="Arial" w:cs="Arial" w:eastAsia="Arial" w:hAnsi="Arial"/>
                <w:sz w:val="17"/>
                <w:szCs w:val="17"/>
                <w:color w:val="auto"/>
              </w:rPr>
              <w:t>10% adverse change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(10,152)</w:t>
            </w:r>
          </w:p>
        </w:tc>
      </w:tr>
      <w:tr>
        <w:trPr>
          <w:trHeight w:val="220"/>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(20,302)</w:t>
            </w: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r>
      <w:tr>
        <w:trPr>
          <w:trHeight w:val="218"/>
        </w:trPr>
        <w:tc>
          <w:tcPr>
            <w:tcW w:w="7860" w:type="dxa"/>
            <w:vAlign w:val="bottom"/>
          </w:tcPr>
          <w:p>
            <w:pPr>
              <w:ind w:left="220"/>
              <w:spacing w:after="0"/>
              <w:rPr>
                <w:sz w:val="20"/>
                <w:szCs w:val="20"/>
                <w:color w:val="auto"/>
              </w:rPr>
            </w:pPr>
            <w:r>
              <w:rPr>
                <w:rFonts w:ascii="Arial" w:cs="Arial" w:eastAsia="Arial" w:hAnsi="Arial"/>
                <w:sz w:val="17"/>
                <w:szCs w:val="17"/>
                <w:color w:val="auto"/>
              </w:rPr>
              <w:t>20% adverse change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(4,530)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(4,209)</w:t>
            </w:r>
          </w:p>
        </w:tc>
      </w:tr>
    </w:tbl>
    <w:p>
      <w:pPr>
        <w:spacing w:after="0" w:line="200" w:lineRule="exact"/>
        <w:rPr>
          <w:sz w:val="20"/>
          <w:szCs w:val="20"/>
          <w:color w:val="auto"/>
        </w:rPr>
      </w:pPr>
    </w:p>
    <w:p>
      <w:pPr>
        <w:spacing w:after="0" w:line="35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include a rollforward of the loans classified within Level 3 of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w w:val="97"/>
              </w:rPr>
              <w:t>Loans Held-for-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w w:val="97"/>
              </w:rPr>
              <w:t>Loans Held-for-</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4"/>
        </w:trPr>
        <w:tc>
          <w:tcPr>
            <w:tcW w:w="6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Sale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Investment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597,981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597,981</w:t>
            </w:r>
          </w:p>
        </w:tc>
      </w:tr>
      <w:tr>
        <w:trPr>
          <w:trHeight w:val="218"/>
        </w:trPr>
        <w:tc>
          <w:tcPr>
            <w:tcW w:w="61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Reclassification of loans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(6,113)</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6,113</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696,451</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(583,918)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(583,918)</w:t>
            </w:r>
          </w:p>
        </w:tc>
      </w:tr>
      <w:tr>
        <w:trPr>
          <w:trHeight w:val="23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1,782,442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1,782,442</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Immediate resale of loans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(1,782,442)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(1,782,442)</w:t>
            </w:r>
          </w:p>
        </w:tc>
      </w:tr>
      <w:tr>
        <w:trPr>
          <w:trHeight w:val="22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(55,587)</w:t>
            </w:r>
          </w:p>
        </w:tc>
      </w:tr>
      <w:tr>
        <w:trPr>
          <w:trHeight w:val="225"/>
        </w:trPr>
        <w:tc>
          <w:tcPr>
            <w:tcW w:w="612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(32,806)</w:t>
            </w: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w:t>
            </w: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605,319</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18,444</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623,763</w:t>
            </w: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w w:val="97"/>
              </w:rPr>
              <w:t>Loans Held-for-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w w:val="97"/>
              </w:rPr>
              <w:t>Loans Held-for-</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8"/>
        </w:trPr>
        <w:tc>
          <w:tcPr>
            <w:tcW w:w="6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Sale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Investment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109,792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252,477</w:t>
            </w:r>
          </w:p>
        </w:tc>
        <w:tc>
          <w:tcPr>
            <w:tcW w:w="0" w:type="dxa"/>
            <w:vAlign w:val="bottom"/>
          </w:tcPr>
          <w:p>
            <w:pPr>
              <w:spacing w:after="0"/>
              <w:rPr>
                <w:sz w:val="1"/>
                <w:szCs w:val="1"/>
                <w:color w:val="auto"/>
              </w:rPr>
            </w:pP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color w:val="auto"/>
              </w:rPr>
              <w:t>Reclassification of loans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103,679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(103,679)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1,125,765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1,139,641</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(634,682)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(634,682)</w:t>
            </w:r>
          </w:p>
        </w:tc>
        <w:tc>
          <w:tcPr>
            <w:tcW w:w="0" w:type="dxa"/>
            <w:vAlign w:val="bottom"/>
          </w:tcPr>
          <w:p>
            <w:pPr>
              <w:spacing w:after="0"/>
              <w:rPr>
                <w:sz w:val="1"/>
                <w:szCs w:val="1"/>
                <w:color w:val="auto"/>
              </w:rPr>
            </w:pPr>
          </w:p>
        </w:tc>
      </w:tr>
      <w:tr>
        <w:trPr>
          <w:trHeight w:val="22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4,797,036</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Arial" w:cs="Arial" w:eastAsia="Arial" w:hAnsi="Arial"/>
                <w:sz w:val="17"/>
                <w:szCs w:val="17"/>
                <w:color w:val="auto"/>
              </w:rPr>
              <w:t>Immediate resale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(4,797,036)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(4,797,036)</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(85,313)</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(51,830)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(52,317)</w:t>
            </w:r>
          </w:p>
        </w:tc>
        <w:tc>
          <w:tcPr>
            <w:tcW w:w="0" w:type="dxa"/>
            <w:vAlign w:val="bottom"/>
          </w:tcPr>
          <w:p>
            <w:pPr>
              <w:spacing w:after="0"/>
              <w:rPr>
                <w:sz w:val="1"/>
                <w:szCs w:val="1"/>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0" w:type="dxa"/>
            <w:vAlign w:val="bottom"/>
          </w:tcPr>
          <w:p>
            <w:pPr>
              <w:spacing w:after="0"/>
              <w:rPr>
                <w:sz w:val="1"/>
                <w:szCs w:val="1"/>
                <w:color w:val="auto"/>
              </w:rPr>
            </w:pP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605,319</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18,444</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623,763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w w:val="97"/>
              </w:rPr>
              <w:t>Loans Held-for-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w w:val="97"/>
              </w:rPr>
              <w:t>Loans Held-for-</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6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Sale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Investment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839,482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142,747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982,229</w:t>
            </w:r>
          </w:p>
        </w:tc>
        <w:tc>
          <w:tcPr>
            <w:tcW w:w="0" w:type="dxa"/>
            <w:vAlign w:val="bottom"/>
          </w:tcPr>
          <w:p>
            <w:pPr>
              <w:spacing w:after="0"/>
              <w:rPr>
                <w:sz w:val="1"/>
                <w:szCs w:val="1"/>
                <w:color w:val="auto"/>
              </w:rPr>
            </w:pPr>
          </w:p>
        </w:tc>
      </w:tr>
      <w:tr>
        <w:trPr>
          <w:trHeight w:val="211"/>
        </w:trPr>
        <w:tc>
          <w:tcPr>
            <w:tcW w:w="61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448,773</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41,378</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490,151</w:t>
            </w:r>
          </w:p>
        </w:tc>
        <w:tc>
          <w:tcPr>
            <w:tcW w:w="0" w:type="dxa"/>
            <w:vAlign w:val="bottom"/>
          </w:tcPr>
          <w:p>
            <w:pPr>
              <w:spacing w:after="0"/>
              <w:rPr>
                <w:sz w:val="1"/>
                <w:szCs w:val="1"/>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(550,860)</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291,570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291,570</w:t>
            </w:r>
          </w:p>
        </w:tc>
        <w:tc>
          <w:tcPr>
            <w:tcW w:w="0" w:type="dxa"/>
            <w:vAlign w:val="bottom"/>
          </w:tcPr>
          <w:p>
            <w:pPr>
              <w:spacing w:after="0"/>
              <w:rPr>
                <w:sz w:val="1"/>
                <w:szCs w:val="1"/>
                <w:color w:val="auto"/>
              </w:rPr>
            </w:pPr>
          </w:p>
        </w:tc>
      </w:tr>
      <w:tr>
        <w:trPr>
          <w:trHeight w:val="22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Immediate resale of loans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(291,570)</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(22,583)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(69,885)</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(14,145)</w:t>
            </w:r>
          </w:p>
        </w:tc>
        <w:tc>
          <w:tcPr>
            <w:tcW w:w="0" w:type="dxa"/>
            <w:vAlign w:val="bottom"/>
          </w:tcPr>
          <w:p>
            <w:pPr>
              <w:spacing w:after="0"/>
              <w:rPr>
                <w:sz w:val="1"/>
                <w:szCs w:val="1"/>
                <w:color w:val="auto"/>
              </w:rPr>
            </w:pPr>
          </w:p>
        </w:tc>
      </w:tr>
      <w:tr>
        <w:trPr>
          <w:trHeight w:val="21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32"/>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689,851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147,714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837,565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w w:val="97"/>
              </w:rPr>
              <w:t>Loans Held-for-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7"/>
                <w:szCs w:val="17"/>
                <w:b w:val="1"/>
                <w:bCs w:val="1"/>
                <w:color w:val="auto"/>
                <w:w w:val="97"/>
              </w:rPr>
              <w:t>Loans Held-for-</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8"/>
        </w:trPr>
        <w:tc>
          <w:tcPr>
            <w:tcW w:w="6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Sale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Investment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882,810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127,611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1,010,421</w:t>
            </w:r>
          </w:p>
        </w:tc>
        <w:tc>
          <w:tcPr>
            <w:tcW w:w="0" w:type="dxa"/>
            <w:vAlign w:val="bottom"/>
          </w:tcPr>
          <w:p>
            <w:pPr>
              <w:spacing w:after="0"/>
              <w:rPr>
                <w:sz w:val="1"/>
                <w:szCs w:val="1"/>
                <w:color w:val="auto"/>
              </w:rPr>
            </w:pPr>
          </w:p>
        </w:tc>
      </w:tr>
      <w:tr>
        <w:trPr>
          <w:trHeight w:val="218"/>
        </w:trPr>
        <w:tc>
          <w:tcPr>
            <w:tcW w:w="61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569,388</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88,579</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657,967</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(618,392)</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680,959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680,959</w:t>
            </w:r>
          </w:p>
        </w:tc>
        <w:tc>
          <w:tcPr>
            <w:tcW w:w="0" w:type="dxa"/>
            <w:vAlign w:val="bottom"/>
          </w:tcPr>
          <w:p>
            <w:pPr>
              <w:spacing w:after="0"/>
              <w:rPr>
                <w:sz w:val="1"/>
                <w:szCs w:val="1"/>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Immediate resale of loans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(680,959)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(680,959)</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(108,803)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(43,455)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(152,258)</w:t>
            </w:r>
          </w:p>
        </w:tc>
        <w:tc>
          <w:tcPr>
            <w:tcW w:w="0" w:type="dxa"/>
            <w:vAlign w:val="bottom"/>
          </w:tcPr>
          <w:p>
            <w:pPr>
              <w:spacing w:after="0"/>
              <w:rPr>
                <w:sz w:val="1"/>
                <w:szCs w:val="1"/>
                <w:color w:val="auto"/>
              </w:rPr>
            </w:pPr>
          </w:p>
        </w:tc>
      </w:tr>
      <w:tr>
        <w:trPr>
          <w:trHeight w:val="22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(62,306)</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w:t>
            </w: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689,851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147,714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837,565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aggregate fair value and aggregate principal outstanding of all loans and loans that were 90 days or more past due included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Loans</w:t>
            </w:r>
          </w:p>
        </w:tc>
        <w:tc>
          <w:tcPr>
            <w:tcW w:w="1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Loans &gt; 90 Days Past Due</w:t>
            </w:r>
          </w:p>
        </w:tc>
      </w:tr>
      <w:tr>
        <w:trPr>
          <w:trHeight w:val="217"/>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7"/>
                <w:szCs w:val="17"/>
                <w:b w:val="1"/>
                <w:bCs w:val="1"/>
                <w:color w:val="auto"/>
                <w:w w:val="97"/>
              </w:rPr>
              <w:t>December 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274"/>
              <w:spacing w:after="0"/>
              <w:rPr>
                <w:sz w:val="20"/>
                <w:szCs w:val="20"/>
                <w:color w:val="auto"/>
              </w:rPr>
            </w:pPr>
            <w:r>
              <w:rPr>
                <w:rFonts w:ascii="Arial" w:cs="Arial" w:eastAsia="Arial" w:hAnsi="Arial"/>
                <w:sz w:val="17"/>
                <w:szCs w:val="17"/>
                <w:b w:val="1"/>
                <w:bCs w:val="1"/>
                <w:color w:val="auto"/>
                <w:w w:val="91"/>
              </w:rPr>
              <w:t>June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114"/>
              <w:spacing w:after="0"/>
              <w:rPr>
                <w:sz w:val="20"/>
                <w:szCs w:val="20"/>
                <w:color w:val="auto"/>
              </w:rPr>
            </w:pPr>
            <w:r>
              <w:rPr>
                <w:rFonts w:ascii="Arial" w:cs="Arial" w:eastAsia="Arial" w:hAnsi="Arial"/>
                <w:sz w:val="17"/>
                <w:szCs w:val="17"/>
                <w:b w:val="1"/>
                <w:bCs w:val="1"/>
                <w:color w:val="auto"/>
                <w:w w:val="90"/>
              </w:rPr>
              <w:t>December 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r>
      <w:tr>
        <w:trPr>
          <w:trHeight w:val="227"/>
        </w:trPr>
        <w:tc>
          <w:tcPr>
            <w:tcW w:w="4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principal balance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1,047,714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872,469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center"/>
              <w:ind w:left="814"/>
              <w:spacing w:after="0"/>
              <w:rPr>
                <w:sz w:val="20"/>
                <w:szCs w:val="20"/>
                <w:color w:val="auto"/>
              </w:rPr>
            </w:pPr>
            <w:r>
              <w:rPr>
                <w:rFonts w:ascii="Arial" w:cs="Arial" w:eastAsia="Arial" w:hAnsi="Arial"/>
                <w:sz w:val="17"/>
                <w:szCs w:val="17"/>
                <w:color w:val="auto"/>
                <w:w w:val="89"/>
              </w:rPr>
              <w:t>9,006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13,255</w:t>
            </w:r>
          </w:p>
        </w:tc>
      </w:tr>
      <w:tr>
        <w:trPr>
          <w:trHeight w:val="225"/>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fair value and accrued interest adjustments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4"/>
              </w:rPr>
              <w:t>(34,904)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774"/>
              <w:spacing w:after="0"/>
              <w:rPr>
                <w:sz w:val="20"/>
                <w:szCs w:val="20"/>
                <w:color w:val="auto"/>
              </w:rPr>
            </w:pPr>
            <w:r>
              <w:rPr>
                <w:rFonts w:ascii="Arial" w:cs="Arial" w:eastAsia="Arial" w:hAnsi="Arial"/>
                <w:sz w:val="17"/>
                <w:szCs w:val="17"/>
                <w:color w:val="auto"/>
                <w:w w:val="92"/>
              </w:rPr>
              <w:t>(7,006)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(11,094)</w:t>
            </w:r>
          </w:p>
        </w:tc>
      </w:tr>
      <w:tr>
        <w:trPr>
          <w:trHeight w:val="239"/>
        </w:trPr>
        <w:tc>
          <w:tcPr>
            <w:tcW w:w="440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Fair value</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1,010,421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837,565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center"/>
              <w:ind w:left="814"/>
              <w:spacing w:after="0"/>
              <w:rPr>
                <w:sz w:val="20"/>
                <w:szCs w:val="20"/>
                <w:color w:val="auto"/>
              </w:rPr>
            </w:pPr>
            <w:r>
              <w:rPr>
                <w:rFonts w:ascii="Arial" w:cs="Arial" w:eastAsia="Arial" w:hAnsi="Arial"/>
                <w:sz w:val="17"/>
                <w:szCs w:val="17"/>
                <w:color w:val="auto"/>
                <w:w w:val="89"/>
              </w:rPr>
              <w:t>2,000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60" w:hanging="457"/>
        <w:spacing w:after="0" w:line="250" w:lineRule="auto"/>
        <w:tabs>
          <w:tab w:leader="none" w:pos="38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$397.7 million and $413.0 million of auto loans as of December 31, 2022 and June 30, 2023, respectively, of which an immaterial amount is 90 days or more past due for each period presented.</w:t>
      </w:r>
    </w:p>
    <w:p>
      <w:pPr>
        <w:spacing w:after="0" w:line="22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related to Securitization Transactions</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December 31, 2022 and June 30, 2023, the Company held notes receivable and residual certificates with an aggregate fair value of $6.2 million and $3.9 million, respectively, within other assets on the Company’s condensed consolidated balance sheets. The balances consist of securitization notes and residual certificates retained from securitization transactions.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discounted cash flow methodology, which is used to estimate the fair value of notes receivable and residual certificates, uses the same projected net cash flows as their related loans. This model uses inputs that are inherently judgmental and reflect the Company’s best estimates of the assumptions a market participant would use to calculate fair value.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of assets related to securitization transactions: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0"/>
              </w:rPr>
              <w:t>December 31, 2022</w:t>
            </w:r>
          </w:p>
        </w:tc>
        <w:tc>
          <w:tcPr>
            <w:tcW w:w="1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June 30, 2023</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66"/>
        </w:trPr>
        <w:tc>
          <w:tcPr>
            <w:tcW w:w="3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194"/>
              <w:spacing w:after="0" w:line="166" w:lineRule="exact"/>
              <w:rPr>
                <w:sz w:val="20"/>
                <w:szCs w:val="20"/>
                <w:color w:val="auto"/>
              </w:rPr>
            </w:pPr>
            <w:r>
              <w:rPr>
                <w:rFonts w:ascii="Arial" w:cs="Arial" w:eastAsia="Arial" w:hAnsi="Arial"/>
                <w:sz w:val="17"/>
                <w:szCs w:val="17"/>
                <w:b w:val="1"/>
                <w:bCs w:val="1"/>
                <w:color w:val="auto"/>
              </w:rPr>
              <w:t>Weighted-</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174"/>
              <w:spacing w:after="0" w:line="166" w:lineRule="exact"/>
              <w:rPr>
                <w:sz w:val="20"/>
                <w:szCs w:val="20"/>
                <w:color w:val="auto"/>
              </w:rPr>
            </w:pPr>
            <w:r>
              <w:rPr>
                <w:rFonts w:ascii="Arial" w:cs="Arial" w:eastAsia="Arial" w:hAnsi="Arial"/>
                <w:sz w:val="17"/>
                <w:szCs w:val="17"/>
                <w:b w:val="1"/>
                <w:bCs w:val="1"/>
                <w:color w:val="auto"/>
              </w:rPr>
              <w:t>Weighted-</w:t>
            </w:r>
          </w:p>
        </w:tc>
      </w:tr>
      <w:tr>
        <w:trPr>
          <w:trHeight w:val="228"/>
        </w:trPr>
        <w:tc>
          <w:tcPr>
            <w:tcW w:w="3080" w:type="dxa"/>
            <w:vAlign w:val="bottom"/>
          </w:tcPr>
          <w:p>
            <w:pPr>
              <w:spacing w:after="0"/>
              <w:rPr>
                <w:sz w:val="19"/>
                <w:szCs w:val="19"/>
                <w:color w:val="auto"/>
              </w:rPr>
            </w:pPr>
          </w:p>
        </w:tc>
        <w:tc>
          <w:tcPr>
            <w:tcW w:w="1260" w:type="dxa"/>
            <w:vAlign w:val="bottom"/>
          </w:tcPr>
          <w:p>
            <w:pPr>
              <w:jc w:val="right"/>
              <w:ind w:right="194"/>
              <w:spacing w:after="0"/>
              <w:rPr>
                <w:sz w:val="20"/>
                <w:szCs w:val="20"/>
                <w:color w:val="auto"/>
              </w:rPr>
            </w:pPr>
            <w:r>
              <w:rPr>
                <w:rFonts w:ascii="Arial" w:cs="Arial" w:eastAsia="Arial" w:hAnsi="Arial"/>
                <w:sz w:val="17"/>
                <w:szCs w:val="17"/>
                <w:b w:val="1"/>
                <w:bCs w:val="1"/>
                <w:color w:val="auto"/>
              </w:rPr>
              <w:t>Minimum</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Maximum</w:t>
            </w:r>
          </w:p>
        </w:tc>
        <w:tc>
          <w:tcPr>
            <w:tcW w:w="1280" w:type="dxa"/>
            <w:vAlign w:val="bottom"/>
          </w:tcPr>
          <w:p>
            <w:pPr>
              <w:jc w:val="right"/>
              <w:ind w:right="194"/>
              <w:spacing w:after="0" w:line="227" w:lineRule="exact"/>
              <w:rPr>
                <w:sz w:val="20"/>
                <w:szCs w:val="20"/>
                <w:color w:val="auto"/>
              </w:rPr>
            </w:pPr>
            <w:r>
              <w:rPr>
                <w:rFonts w:ascii="Arial" w:cs="Arial" w:eastAsia="Arial" w:hAnsi="Arial"/>
                <w:sz w:val="17"/>
                <w:szCs w:val="17"/>
                <w:b w:val="1"/>
                <w:bCs w:val="1"/>
                <w:color w:val="auto"/>
              </w:rPr>
              <w:t xml:space="preserve">Average </w:t>
            </w:r>
            <w:r>
              <w:rPr>
                <w:rFonts w:ascii="Arial" w:cs="Arial" w:eastAsia="Arial" w:hAnsi="Arial"/>
                <w:sz w:val="22"/>
                <w:szCs w:val="22"/>
                <w:b w:val="1"/>
                <w:bCs w:val="1"/>
                <w:color w:val="auto"/>
                <w:vertAlign w:val="superscript"/>
              </w:rPr>
              <w:t>(2)</w:t>
            </w:r>
          </w:p>
        </w:tc>
        <w:tc>
          <w:tcPr>
            <w:tcW w:w="8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Arial" w:cs="Arial" w:eastAsia="Arial" w:hAnsi="Arial"/>
                <w:sz w:val="17"/>
                <w:szCs w:val="17"/>
                <w:b w:val="1"/>
                <w:bCs w:val="1"/>
                <w:color w:val="auto"/>
              </w:rPr>
              <w:t>Minimum</w:t>
            </w:r>
          </w:p>
        </w:tc>
        <w:tc>
          <w:tcPr>
            <w:tcW w:w="100" w:type="dxa"/>
            <w:vAlign w:val="bottom"/>
          </w:tcPr>
          <w:p>
            <w:pPr>
              <w:spacing w:after="0"/>
              <w:rPr>
                <w:sz w:val="19"/>
                <w:szCs w:val="19"/>
                <w:color w:val="auto"/>
              </w:rPr>
            </w:pPr>
          </w:p>
        </w:tc>
        <w:tc>
          <w:tcPr>
            <w:tcW w:w="1280" w:type="dxa"/>
            <w:vAlign w:val="bottom"/>
          </w:tcPr>
          <w:p>
            <w:pPr>
              <w:jc w:val="right"/>
              <w:ind w:right="174"/>
              <w:spacing w:after="0"/>
              <w:rPr>
                <w:sz w:val="20"/>
                <w:szCs w:val="20"/>
                <w:color w:val="auto"/>
              </w:rPr>
            </w:pPr>
            <w:r>
              <w:rPr>
                <w:rFonts w:ascii="Arial" w:cs="Arial" w:eastAsia="Arial" w:hAnsi="Arial"/>
                <w:sz w:val="17"/>
                <w:szCs w:val="17"/>
                <w:b w:val="1"/>
                <w:bCs w:val="1"/>
                <w:color w:val="auto"/>
              </w:rPr>
              <w:t>Maximum</w:t>
            </w:r>
          </w:p>
        </w:tc>
        <w:tc>
          <w:tcPr>
            <w:tcW w:w="80" w:type="dxa"/>
            <w:vAlign w:val="bottom"/>
          </w:tcPr>
          <w:p>
            <w:pPr>
              <w:spacing w:after="0"/>
              <w:rPr>
                <w:sz w:val="19"/>
                <w:szCs w:val="19"/>
                <w:color w:val="auto"/>
              </w:rPr>
            </w:pPr>
          </w:p>
        </w:tc>
        <w:tc>
          <w:tcPr>
            <w:tcW w:w="1280" w:type="dxa"/>
            <w:vAlign w:val="bottom"/>
          </w:tcPr>
          <w:p>
            <w:pPr>
              <w:jc w:val="right"/>
              <w:ind w:right="154"/>
              <w:spacing w:after="0" w:line="227" w:lineRule="exact"/>
              <w:rPr>
                <w:sz w:val="20"/>
                <w:szCs w:val="20"/>
                <w:color w:val="auto"/>
              </w:rPr>
            </w:pPr>
            <w:r>
              <w:rPr>
                <w:rFonts w:ascii="Arial" w:cs="Arial" w:eastAsia="Arial" w:hAnsi="Arial"/>
                <w:sz w:val="17"/>
                <w:szCs w:val="17"/>
                <w:b w:val="1"/>
                <w:bCs w:val="1"/>
                <w:color w:val="auto"/>
              </w:rPr>
              <w:t xml:space="preserve">Average </w:t>
            </w:r>
            <w:r>
              <w:rPr>
                <w:rFonts w:ascii="Arial" w:cs="Arial" w:eastAsia="Arial" w:hAnsi="Arial"/>
                <w:sz w:val="22"/>
                <w:szCs w:val="22"/>
                <w:b w:val="1"/>
                <w:bCs w:val="1"/>
                <w:color w:val="auto"/>
                <w:vertAlign w:val="superscript"/>
              </w:rPr>
              <w:t>(2)</w:t>
            </w:r>
          </w:p>
        </w:tc>
      </w:tr>
      <w:tr>
        <w:trPr>
          <w:trHeight w:val="21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0"/>
              </w:rPr>
              <w:t>Notes receivable and residual certificates</w:t>
            </w: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1260" w:type="dxa"/>
            <w:vAlign w:val="bottom"/>
          </w:tcPr>
          <w:p>
            <w:pPr>
              <w:jc w:val="right"/>
              <w:spacing w:after="0"/>
              <w:rPr>
                <w:sz w:val="20"/>
                <w:szCs w:val="20"/>
                <w:color w:val="auto"/>
              </w:rPr>
            </w:pPr>
            <w:r>
              <w:rPr>
                <w:rFonts w:ascii="Arial" w:cs="Arial" w:eastAsia="Arial" w:hAnsi="Arial"/>
                <w:sz w:val="17"/>
                <w:szCs w:val="17"/>
                <w:color w:val="auto"/>
              </w:rPr>
              <w:t>8.42 %</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22.27 %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12.79 %</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10.50 %</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22.82 %</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13.34 %</w:t>
            </w:r>
          </w:p>
        </w:tc>
      </w:tr>
      <w:tr>
        <w:trPr>
          <w:trHeight w:val="226"/>
        </w:trPr>
        <w:tc>
          <w:tcPr>
            <w:tcW w:w="3080" w:type="dxa"/>
            <w:vAlign w:val="bottom"/>
            <w:shd w:val="clear" w:color="auto" w:fill="CCEEFF"/>
          </w:tcPr>
          <w:p>
            <w:pPr>
              <w:ind w:left="20"/>
              <w:spacing w:after="0" w:line="226"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50.69 %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0.59 %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50.69 %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17.96 %</w:t>
            </w:r>
          </w:p>
        </w:tc>
      </w:tr>
      <w:tr>
        <w:trPr>
          <w:trHeight w:val="291"/>
        </w:trPr>
        <w:tc>
          <w:tcPr>
            <w:tcW w:w="3080" w:type="dxa"/>
            <w:vAlign w:val="bottom"/>
          </w:tcPr>
          <w:p>
            <w:pPr>
              <w:ind w:left="20"/>
              <w:spacing w:after="0"/>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10.90 %</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88.73 %</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42.66 %</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10.90 %</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87.53 %</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43.62 %</w:t>
            </w:r>
          </w:p>
        </w:tc>
      </w:tr>
    </w:tbl>
    <w:p>
      <w:pPr>
        <w:ind w:left="460" w:hanging="457"/>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financial instruments</w:t>
      </w:r>
    </w:p>
    <w:p>
      <w:pPr>
        <w:spacing w:after="0" w:line="13" w:lineRule="exact"/>
        <w:rPr>
          <w:rFonts w:ascii="Arial" w:cs="Arial" w:eastAsia="Arial" w:hAnsi="Arial"/>
          <w:sz w:val="14"/>
          <w:szCs w:val="14"/>
          <w:color w:val="auto"/>
        </w:rPr>
      </w:pPr>
    </w:p>
    <w:p>
      <w:pPr>
        <w:ind w:left="460" w:hanging="457"/>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under a discounted cash flow methodology of 20% would result in a 33% decrease in the fair value of the residual certificates as of June 30, 2023. The remaining classes of securities are all overcollateralized such that changes in credit risk rates are not expected to have significant impacts on their fair values.</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1.10% and 0.99% as of December 31, 2022 and June 30, 2023, respectively. On average, a hypothetical 200 basis point increase in discount rates results in a decrease in fair value of securitization notes and residual certificates of 2.18% and 1.96% as of December 31, 2022 and June 30, 2023, respectively.</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 of securitization notes and residual certificates are not sensitive to adverse changes in expected prepayment rates as such changes would not result in a significant impact on the fair value as of December 31, 2022 and June 30, 2023.</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include a rollforward of the notes receivable and residual certificates related to securitization transactions classified by the Company within Level 3 of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214"/>
              <w:spacing w:after="0"/>
              <w:rPr>
                <w:sz w:val="20"/>
                <w:szCs w:val="20"/>
                <w:color w:val="auto"/>
              </w:rPr>
            </w:pPr>
            <w:r>
              <w:rPr>
                <w:rFonts w:ascii="Arial" w:cs="Arial" w:eastAsia="Arial" w:hAnsi="Arial"/>
                <w:sz w:val="17"/>
                <w:szCs w:val="17"/>
                <w:b w:val="1"/>
                <w:bCs w:val="1"/>
                <w:color w:val="auto"/>
                <w:w w:val="94"/>
              </w:rPr>
              <w:t>Notes Receivable and</w:t>
            </w:r>
          </w:p>
        </w:tc>
      </w:tr>
      <w:tr>
        <w:trPr>
          <w:trHeight w:val="224"/>
        </w:trPr>
        <w:tc>
          <w:tcPr>
            <w:tcW w:w="9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7"/>
              </w:rPr>
              <w:t>Residual Certificates</w:t>
            </w:r>
          </w:p>
        </w:tc>
      </w:tr>
      <w:tr>
        <w:trPr>
          <w:trHeight w:val="213"/>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6,384</w:t>
            </w:r>
          </w:p>
        </w:tc>
      </w:tr>
      <w:tr>
        <w:trPr>
          <w:trHeight w:val="211"/>
        </w:trPr>
        <w:tc>
          <w:tcPr>
            <w:tcW w:w="906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(1,845)</w:t>
            </w:r>
          </w:p>
        </w:tc>
      </w:tr>
      <w:tr>
        <w:trPr>
          <w:trHeight w:val="220"/>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11"/>
        </w:trPr>
        <w:tc>
          <w:tcPr>
            <w:tcW w:w="906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4,698</w:t>
            </w:r>
          </w:p>
        </w:tc>
      </w:tr>
      <w:tr>
        <w:trPr>
          <w:trHeight w:val="20"/>
        </w:trPr>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214"/>
              <w:spacing w:after="0"/>
              <w:rPr>
                <w:sz w:val="20"/>
                <w:szCs w:val="20"/>
                <w:color w:val="auto"/>
              </w:rPr>
            </w:pPr>
            <w:r>
              <w:rPr>
                <w:rFonts w:ascii="Arial" w:cs="Arial" w:eastAsia="Arial" w:hAnsi="Arial"/>
                <w:sz w:val="17"/>
                <w:szCs w:val="17"/>
                <w:b w:val="1"/>
                <w:bCs w:val="1"/>
                <w:color w:val="auto"/>
                <w:w w:val="94"/>
              </w:rPr>
              <w:t>Notes Receivable and</w:t>
            </w:r>
          </w:p>
        </w:tc>
      </w:tr>
      <w:tr>
        <w:trPr>
          <w:trHeight w:val="228"/>
        </w:trPr>
        <w:tc>
          <w:tcPr>
            <w:tcW w:w="9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7"/>
              </w:rPr>
              <w:t>Residual Certificates</w:t>
            </w:r>
          </w:p>
        </w:tc>
      </w:tr>
      <w:tr>
        <w:trPr>
          <w:trHeight w:val="20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8,288</w:t>
            </w:r>
          </w:p>
        </w:tc>
      </w:tr>
      <w:tr>
        <w:trPr>
          <w:trHeight w:val="218"/>
        </w:trPr>
        <w:tc>
          <w:tcPr>
            <w:tcW w:w="906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(3,912)</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r>
      <w:tr>
        <w:trPr>
          <w:trHeight w:val="211"/>
        </w:trPr>
        <w:tc>
          <w:tcPr>
            <w:tcW w:w="906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4,698</w:t>
            </w:r>
          </w:p>
        </w:tc>
      </w:tr>
      <w:tr>
        <w:trPr>
          <w:trHeight w:val="20"/>
        </w:trPr>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214"/>
              <w:spacing w:after="0"/>
              <w:rPr>
                <w:sz w:val="20"/>
                <w:szCs w:val="20"/>
                <w:color w:val="auto"/>
              </w:rPr>
            </w:pPr>
            <w:r>
              <w:rPr>
                <w:rFonts w:ascii="Arial" w:cs="Arial" w:eastAsia="Arial" w:hAnsi="Arial"/>
                <w:sz w:val="17"/>
                <w:szCs w:val="17"/>
                <w:b w:val="1"/>
                <w:bCs w:val="1"/>
                <w:color w:val="auto"/>
                <w:w w:val="94"/>
              </w:rPr>
              <w:t>Notes Receivable and</w:t>
            </w:r>
          </w:p>
        </w:tc>
      </w:tr>
      <w:tr>
        <w:trPr>
          <w:trHeight w:val="219"/>
        </w:trPr>
        <w:tc>
          <w:tcPr>
            <w:tcW w:w="9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7"/>
              </w:rPr>
              <w:t>Residual Certificates</w:t>
            </w:r>
          </w:p>
        </w:tc>
      </w:tr>
      <w:tr>
        <w:trPr>
          <w:trHeight w:val="212"/>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2023</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5,009</w:t>
            </w:r>
          </w:p>
        </w:tc>
      </w:tr>
      <w:tr>
        <w:trPr>
          <w:trHeight w:val="211"/>
        </w:trPr>
        <w:tc>
          <w:tcPr>
            <w:tcW w:w="906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(1,430)</w:t>
            </w:r>
          </w:p>
        </w:tc>
      </w:tr>
      <w:tr>
        <w:trPr>
          <w:trHeight w:val="219"/>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21"/>
        </w:trPr>
        <w:tc>
          <w:tcPr>
            <w:tcW w:w="906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2023</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3,907</w:t>
            </w:r>
          </w:p>
        </w:tc>
      </w:tr>
      <w:tr>
        <w:trPr>
          <w:trHeight w:val="23"/>
        </w:trPr>
        <w:tc>
          <w:tcPr>
            <w:tcW w:w="9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214"/>
              <w:spacing w:after="0"/>
              <w:rPr>
                <w:sz w:val="20"/>
                <w:szCs w:val="20"/>
                <w:color w:val="auto"/>
              </w:rPr>
            </w:pPr>
            <w:r>
              <w:rPr>
                <w:rFonts w:ascii="Arial" w:cs="Arial" w:eastAsia="Arial" w:hAnsi="Arial"/>
                <w:sz w:val="17"/>
                <w:szCs w:val="17"/>
                <w:b w:val="1"/>
                <w:bCs w:val="1"/>
                <w:color w:val="auto"/>
                <w:w w:val="94"/>
              </w:rPr>
              <w:t>Notes Receivable and</w:t>
            </w:r>
          </w:p>
        </w:tc>
      </w:tr>
      <w:tr>
        <w:trPr>
          <w:trHeight w:val="228"/>
        </w:trPr>
        <w:tc>
          <w:tcPr>
            <w:tcW w:w="9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7"/>
              </w:rPr>
              <w:t>Residual Certificates</w:t>
            </w:r>
          </w:p>
        </w:tc>
      </w:tr>
      <w:tr>
        <w:trPr>
          <w:trHeight w:val="20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6,181</w:t>
            </w:r>
          </w:p>
        </w:tc>
      </w:tr>
      <w:tr>
        <w:trPr>
          <w:trHeight w:val="218"/>
        </w:trPr>
        <w:tc>
          <w:tcPr>
            <w:tcW w:w="906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(2,996)</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w:t>
            </w:r>
          </w:p>
        </w:tc>
      </w:tr>
      <w:tr>
        <w:trPr>
          <w:trHeight w:val="211"/>
        </w:trPr>
        <w:tc>
          <w:tcPr>
            <w:tcW w:w="906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2023</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3,907</w:t>
            </w:r>
          </w:p>
        </w:tc>
      </w:tr>
      <w:tr>
        <w:trPr>
          <w:trHeight w:val="20"/>
        </w:trPr>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Loan Servicing Assets and Liabilities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for loan servicing assets and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1309"/>
              <w:spacing w:after="0"/>
              <w:rPr>
                <w:sz w:val="20"/>
                <w:szCs w:val="20"/>
                <w:color w:val="auto"/>
              </w:rPr>
            </w:pPr>
            <w:r>
              <w:rPr>
                <w:rFonts w:ascii="Arial" w:cs="Arial" w:eastAsia="Arial" w:hAnsi="Arial"/>
                <w:sz w:val="17"/>
                <w:szCs w:val="17"/>
                <w:b w:val="1"/>
                <w:bCs w:val="1"/>
                <w:color w:val="auto"/>
                <w:w w:val="92"/>
              </w:rPr>
              <w:t>December 31, 2022</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w w:val="88"/>
              </w:rPr>
              <w:t>June 30, 2023</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14"/>
                <w:szCs w:val="14"/>
                <w:color w:val="auto"/>
              </w:rPr>
            </w:pPr>
          </w:p>
        </w:tc>
        <w:tc>
          <w:tcPr>
            <w:tcW w:w="12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Minimum</w:t>
            </w:r>
          </w:p>
        </w:tc>
        <w:tc>
          <w:tcPr>
            <w:tcW w:w="100" w:type="dxa"/>
            <w:vAlign w:val="bottom"/>
          </w:tcPr>
          <w:p>
            <w:pPr>
              <w:spacing w:after="0"/>
              <w:rPr>
                <w:sz w:val="14"/>
                <w:szCs w:val="14"/>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Maximum</w:t>
            </w:r>
          </w:p>
        </w:tc>
        <w:tc>
          <w:tcPr>
            <w:tcW w:w="10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100" w:type="dxa"/>
            <w:vAlign w:val="bottom"/>
          </w:tcPr>
          <w:p>
            <w:pPr>
              <w:spacing w:after="0"/>
              <w:rPr>
                <w:sz w:val="14"/>
                <w:szCs w:val="14"/>
                <w:color w:val="auto"/>
              </w:rPr>
            </w:pPr>
          </w:p>
        </w:tc>
        <w:tc>
          <w:tcPr>
            <w:tcW w:w="124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Minimum</w:t>
            </w:r>
          </w:p>
        </w:tc>
        <w:tc>
          <w:tcPr>
            <w:tcW w:w="80" w:type="dxa"/>
            <w:vAlign w:val="bottom"/>
          </w:tcPr>
          <w:p>
            <w:pPr>
              <w:spacing w:after="0"/>
              <w:rPr>
                <w:sz w:val="14"/>
                <w:szCs w:val="14"/>
                <w:color w:val="auto"/>
              </w:rPr>
            </w:pPr>
          </w:p>
        </w:tc>
        <w:tc>
          <w:tcPr>
            <w:tcW w:w="126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Maximum</w:t>
            </w:r>
          </w:p>
        </w:tc>
        <w:tc>
          <w:tcPr>
            <w:tcW w:w="10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ind w:right="589"/>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ind w:right="589"/>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17.20 %</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13.00 %</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16.99 %</w:t>
            </w:r>
          </w:p>
        </w:tc>
        <w:tc>
          <w:tcPr>
            <w:tcW w:w="0" w:type="dxa"/>
            <w:vAlign w:val="bottom"/>
          </w:tcPr>
          <w:p>
            <w:pPr>
              <w:spacing w:after="0"/>
              <w:rPr>
                <w:sz w:val="1"/>
                <w:szCs w:val="1"/>
                <w:color w:val="auto"/>
              </w:rPr>
            </w:pPr>
          </w:p>
        </w:tc>
      </w:tr>
      <w:tr>
        <w:trPr>
          <w:trHeight w:val="219"/>
        </w:trPr>
        <w:tc>
          <w:tcPr>
            <w:tcW w:w="286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7"/>
                <w:szCs w:val="17"/>
                <w:color w:val="auto"/>
              </w:rPr>
              <w:t>0.03 %</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91.76 %</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16.22 %</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0.05 %</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65.36 %</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15.31 %</w:t>
            </w:r>
          </w:p>
        </w:tc>
        <w:tc>
          <w:tcPr>
            <w:tcW w:w="0" w:type="dxa"/>
            <w:vAlign w:val="bottom"/>
          </w:tcPr>
          <w:p>
            <w:pPr>
              <w:spacing w:after="0"/>
              <w:rPr>
                <w:sz w:val="1"/>
                <w:szCs w:val="1"/>
                <w:color w:val="auto"/>
              </w:rPr>
            </w:pPr>
          </w:p>
        </w:tc>
      </w:tr>
      <w:tr>
        <w:trPr>
          <w:trHeight w:val="245"/>
        </w:trPr>
        <w:tc>
          <w:tcPr>
            <w:tcW w:w="2860" w:type="dxa"/>
            <w:vAlign w:val="bottom"/>
            <w:shd w:val="clear" w:color="auto" w:fill="CCEEFF"/>
          </w:tcPr>
          <w:p>
            <w:pPr>
              <w:ind w:left="20"/>
              <w:spacing w:after="0" w:line="245" w:lineRule="exact"/>
              <w:rPr>
                <w:sz w:val="20"/>
                <w:szCs w:val="20"/>
                <w:color w:val="auto"/>
              </w:rPr>
            </w:pPr>
            <w:r>
              <w:rPr>
                <w:rFonts w:ascii="Arial" w:cs="Arial" w:eastAsia="Arial" w:hAnsi="Arial"/>
                <w:sz w:val="17"/>
                <w:szCs w:val="17"/>
                <w:color w:val="auto"/>
              </w:rPr>
              <w:t xml:space="preserve">Market-servicing rate </w:t>
            </w:r>
            <w:r>
              <w:rPr>
                <w:rFonts w:ascii="Arial" w:cs="Arial" w:eastAsia="Arial" w:hAnsi="Arial"/>
                <w:sz w:val="22"/>
                <w:szCs w:val="22"/>
                <w:color w:val="auto"/>
                <w:vertAlign w:val="superscript"/>
              </w:rPr>
              <w:t>(3)(4)(5)</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3.72 %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3.72 %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0" w:type="dxa"/>
            <w:vAlign w:val="bottom"/>
          </w:tcPr>
          <w:p>
            <w:pPr>
              <w:spacing w:after="0"/>
              <w:rPr>
                <w:sz w:val="1"/>
                <w:szCs w:val="1"/>
                <w:color w:val="auto"/>
              </w:rPr>
            </w:pPr>
          </w:p>
        </w:tc>
      </w:tr>
      <w:tr>
        <w:trPr>
          <w:trHeight w:val="297"/>
        </w:trPr>
        <w:tc>
          <w:tcPr>
            <w:tcW w:w="2860" w:type="dxa"/>
            <w:vAlign w:val="bottom"/>
          </w:tcPr>
          <w:p>
            <w:pPr>
              <w:ind w:left="20"/>
              <w:spacing w:after="0"/>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7"/>
                <w:szCs w:val="17"/>
                <w:color w:val="auto"/>
              </w:rPr>
              <w:t>0.53 %</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91.99 %</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41.19 %</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2.17 %</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96.90 %</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41.76 %</w:t>
            </w:r>
          </w:p>
        </w:tc>
        <w:tc>
          <w:tcPr>
            <w:tcW w:w="0" w:type="dxa"/>
            <w:vAlign w:val="bottom"/>
          </w:tcPr>
          <w:p>
            <w:pPr>
              <w:spacing w:after="0"/>
              <w:rPr>
                <w:sz w:val="1"/>
                <w:szCs w:val="1"/>
                <w:color w:val="auto"/>
              </w:rPr>
            </w:pPr>
          </w:p>
        </w:tc>
      </w:tr>
    </w:tbl>
    <w:p>
      <w:pPr>
        <w:ind w:left="460" w:hanging="457"/>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spacing w:after="0" w:line="7" w:lineRule="exact"/>
        <w:rPr>
          <w:rFonts w:ascii="Arial" w:cs="Arial" w:eastAsia="Arial" w:hAnsi="Arial"/>
          <w:sz w:val="14"/>
          <w:szCs w:val="14"/>
          <w:color w:val="auto"/>
        </w:rPr>
      </w:pPr>
    </w:p>
    <w:p>
      <w:pPr>
        <w:ind w:left="460" w:hanging="457"/>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6" w:lineRule="exact"/>
        <w:rPr>
          <w:rFonts w:ascii="Arial" w:cs="Arial" w:eastAsia="Arial" w:hAnsi="Arial"/>
          <w:sz w:val="14"/>
          <w:szCs w:val="14"/>
          <w:color w:val="auto"/>
        </w:rPr>
      </w:pPr>
    </w:p>
    <w:p>
      <w:pPr>
        <w:ind w:left="460" w:hanging="457"/>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spacing w:after="0" w:line="6" w:lineRule="exact"/>
        <w:rPr>
          <w:rFonts w:ascii="Arial" w:cs="Arial" w:eastAsia="Arial" w:hAnsi="Arial"/>
          <w:sz w:val="14"/>
          <w:szCs w:val="14"/>
          <w:color w:val="auto"/>
        </w:rPr>
      </w:pPr>
    </w:p>
    <w:p>
      <w:pPr>
        <w:ind w:left="460" w:hanging="457"/>
        <w:spacing w:after="0" w:line="238"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ind w:left="460" w:hanging="457"/>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personal loans and auto loans</w:t>
      </w:r>
    </w:p>
    <w:p>
      <w:pPr>
        <w:spacing w:after="0" w:line="23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–The discount rates are the Company’s estimate of the rates of return that market participants would require when investing in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Credit risk rate</w:t>
      </w:r>
      <w:r>
        <w:rPr>
          <w:rFonts w:ascii="Arial" w:cs="Arial" w:eastAsia="Arial" w:hAnsi="Arial"/>
          <w:sz w:val="17"/>
          <w:szCs w:val="17"/>
          <w:color w:val="auto"/>
        </w:rPr>
        <w:t>s–The credit risk rates are the Company’s estimate of the net cumulative principal payments that will not be repaid over the entire life of a</w:t>
      </w:r>
      <w:r>
        <w:rPr>
          <w:rFonts w:ascii="Arial" w:cs="Arial" w:eastAsia="Arial" w:hAnsi="Arial"/>
          <w:sz w:val="17"/>
          <w:szCs w:val="17"/>
          <w:i w:val="1"/>
          <w:iCs w:val="1"/>
          <w:color w:val="auto"/>
        </w:rPr>
        <w:t xml:space="preserve"> </w:t>
      </w:r>
      <w:r>
        <w:rPr>
          <w:rFonts w:ascii="Arial" w:cs="Arial" w:eastAsia="Arial" w:hAnsi="Arial"/>
          <w:sz w:val="17"/>
          <w:szCs w:val="17"/>
          <w:color w:val="auto"/>
        </w:rPr>
        <w:t>loan expressed as a percentage of the original principal amount of the loan. The assumption regarding net cumulative losses impacts the projected balances and expected terms of the loans, which are used to project future servicing revenues.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Market-servicing rates</w:t>
      </w:r>
      <w:r>
        <w:rPr>
          <w:rFonts w:ascii="Arial" w:cs="Arial" w:eastAsia="Arial" w:hAnsi="Arial"/>
          <w:sz w:val="17"/>
          <w:szCs w:val="17"/>
          <w:color w:val="auto"/>
        </w:rPr>
        <w:t>–Market-servicing rate is an estimated measure of adequate compensation for a market participant, if one was required. The rate is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Prepayment rates</w:t>
      </w:r>
      <w:r>
        <w:rPr>
          <w:rFonts w:ascii="Arial" w:cs="Arial" w:eastAsia="Arial" w:hAnsi="Arial"/>
          <w:sz w:val="17"/>
          <w:szCs w:val="17"/>
          <w:color w:val="auto"/>
        </w:rPr>
        <w:t>–Prepayment rates are the Company’s estimate of the cumulative principal prepayments that will occur over the entire life of a loan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the original principal amount of the loan. The assumption regarding cumulative prepayments impacts the projected balances and expected terms of the loans, which are used to project future servicing revenues.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table below presents the fair value sensitivity of loan servicing assets and liabilities to adverse changes in key assumptions. The fair value of loan servicing assets and liabilities is not sensitive to adverse changes in discount rates and prepayment rates as such changes would not result in a significant impact on the fair value as of December 31, 2022 and June 30, 2023,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30"/>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32"/>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loan servicing assets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36,467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33,339</w:t>
            </w:r>
          </w:p>
        </w:tc>
      </w:tr>
      <w:tr>
        <w:trPr>
          <w:trHeight w:val="205"/>
        </w:trPr>
        <w:tc>
          <w:tcPr>
            <w:tcW w:w="7860" w:type="dxa"/>
            <w:vAlign w:val="bottom"/>
          </w:tcPr>
          <w:p>
            <w:pPr>
              <w:ind w:left="20"/>
              <w:spacing w:after="0"/>
              <w:rPr>
                <w:sz w:val="20"/>
                <w:szCs w:val="20"/>
                <w:color w:val="auto"/>
              </w:rPr>
            </w:pPr>
            <w:r>
              <w:rPr>
                <w:rFonts w:ascii="Arial" w:cs="Arial" w:eastAsia="Arial" w:hAnsi="Arial"/>
                <w:sz w:val="17"/>
                <w:szCs w:val="17"/>
                <w:color w:val="auto"/>
              </w:rPr>
              <w:t>Expected market-servicing rates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(8,937)</w:t>
            </w:r>
          </w:p>
        </w:tc>
      </w:tr>
      <w:tr>
        <w:trPr>
          <w:trHeight w:val="218"/>
        </w:trPr>
        <w:tc>
          <w:tcPr>
            <w:tcW w:w="7860" w:type="dxa"/>
            <w:vAlign w:val="bottom"/>
          </w:tcPr>
          <w:p>
            <w:pPr>
              <w:ind w:left="220"/>
              <w:spacing w:after="0"/>
              <w:rPr>
                <w:sz w:val="20"/>
                <w:szCs w:val="20"/>
                <w:color w:val="auto"/>
              </w:rPr>
            </w:pPr>
            <w:r>
              <w:rPr>
                <w:rFonts w:ascii="Arial" w:cs="Arial" w:eastAsia="Arial" w:hAnsi="Arial"/>
                <w:sz w:val="17"/>
                <w:szCs w:val="17"/>
                <w:color w:val="auto"/>
              </w:rPr>
              <w:t>20% market-servicing rates increase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(19,950)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(17,853)</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33"/>
        </w:trPr>
        <w:tc>
          <w:tcPr>
            <w:tcW w:w="7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25"/>
        </w:trPr>
        <w:tc>
          <w:tcPr>
            <w:tcW w:w="7840" w:type="dxa"/>
            <w:vAlign w:val="bottom"/>
            <w:shd w:val="clear" w:color="auto" w:fill="CCEEFF"/>
          </w:tcPr>
          <w:p>
            <w:pPr>
              <w:jc w:val="right"/>
              <w:ind w:right="5034"/>
              <w:spacing w:after="0"/>
              <w:rPr>
                <w:sz w:val="20"/>
                <w:szCs w:val="20"/>
                <w:color w:val="auto"/>
              </w:rPr>
            </w:pPr>
            <w:r>
              <w:rPr>
                <w:rFonts w:ascii="Arial" w:cs="Arial" w:eastAsia="Arial" w:hAnsi="Arial"/>
                <w:sz w:val="17"/>
                <w:szCs w:val="17"/>
                <w:b w:val="1"/>
                <w:bCs w:val="1"/>
                <w:color w:val="auto"/>
                <w:w w:val="90"/>
              </w:rPr>
              <w:t>Fair value of loan servicing liabilities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2,577</w:t>
            </w:r>
          </w:p>
        </w:tc>
      </w:tr>
      <w:tr>
        <w:trPr>
          <w:trHeight w:val="231"/>
        </w:trPr>
        <w:tc>
          <w:tcPr>
            <w:tcW w:w="7840" w:type="dxa"/>
            <w:vAlign w:val="bottom"/>
            <w:tcBorders>
              <w:top w:val="single" w:sz="8" w:color="CCEEFF"/>
            </w:tcBorders>
          </w:tcPr>
          <w:p>
            <w:pPr>
              <w:jc w:val="right"/>
              <w:ind w:right="5514"/>
              <w:spacing w:after="0"/>
              <w:rPr>
                <w:sz w:val="20"/>
                <w:szCs w:val="20"/>
                <w:color w:val="auto"/>
              </w:rPr>
            </w:pPr>
            <w:r>
              <w:rPr>
                <w:rFonts w:ascii="Arial" w:cs="Arial" w:eastAsia="Arial" w:hAnsi="Arial"/>
                <w:sz w:val="17"/>
                <w:szCs w:val="17"/>
                <w:color w:val="auto"/>
                <w:w w:val="91"/>
              </w:rPr>
              <w:t>Expected market-servicing rates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39"/>
        </w:trPr>
        <w:tc>
          <w:tcPr>
            <w:tcW w:w="7840" w:type="dxa"/>
            <w:vAlign w:val="bottom"/>
            <w:shd w:val="clear" w:color="auto" w:fill="CCEEFF"/>
          </w:tcPr>
          <w:p>
            <w:pPr>
              <w:jc w:val="right"/>
              <w:ind w:right="5034"/>
              <w:spacing w:after="0"/>
              <w:rPr>
                <w:sz w:val="20"/>
                <w:szCs w:val="20"/>
                <w:color w:val="auto"/>
              </w:rPr>
            </w:pPr>
            <w:r>
              <w:rPr>
                <w:rFonts w:ascii="Arial" w:cs="Arial" w:eastAsia="Arial" w:hAnsi="Arial"/>
                <w:sz w:val="17"/>
                <w:szCs w:val="17"/>
                <w:color w:val="auto"/>
                <w:w w:val="98"/>
              </w:rPr>
              <w:t>10% market-servicing rates increase</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w:t>
            </w:r>
          </w:p>
        </w:tc>
      </w:tr>
      <w:tr>
        <w:trPr>
          <w:trHeight w:val="218"/>
        </w:trPr>
        <w:tc>
          <w:tcPr>
            <w:tcW w:w="7840" w:type="dxa"/>
            <w:vAlign w:val="bottom"/>
          </w:tcPr>
          <w:p>
            <w:pPr>
              <w:jc w:val="right"/>
              <w:ind w:right="5034"/>
              <w:spacing w:after="0"/>
              <w:rPr>
                <w:sz w:val="20"/>
                <w:szCs w:val="20"/>
                <w:color w:val="auto"/>
              </w:rPr>
            </w:pPr>
            <w:r>
              <w:rPr>
                <w:rFonts w:ascii="Arial" w:cs="Arial" w:eastAsia="Arial" w:hAnsi="Arial"/>
                <w:sz w:val="17"/>
                <w:szCs w:val="17"/>
                <w:color w:val="auto"/>
                <w:w w:val="98"/>
              </w:rPr>
              <w:t>20% market-servicing rates increase</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4,640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2,936</w:t>
            </w:r>
          </w:p>
        </w:tc>
      </w:tr>
    </w:tbl>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present a rollforward of the loan servicing assets and liabilities classified by the Company within Level 3 of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w w:val="88"/>
              </w:rPr>
              <w:t>Loan Servicing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74"/>
              <w:spacing w:after="0"/>
              <w:rPr>
                <w:sz w:val="20"/>
                <w:szCs w:val="20"/>
                <w:color w:val="auto"/>
              </w:rPr>
            </w:pPr>
            <w:r>
              <w:rPr>
                <w:rFonts w:ascii="Arial" w:cs="Arial" w:eastAsia="Arial" w:hAnsi="Arial"/>
                <w:sz w:val="17"/>
                <w:szCs w:val="17"/>
                <w:b w:val="1"/>
                <w:bCs w:val="1"/>
                <w:color w:val="auto"/>
                <w:w w:val="96"/>
              </w:rPr>
              <w:t>Loan Servicing</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8,290</w:t>
            </w: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6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9,408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6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(2,306)</w:t>
            </w: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60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35,171</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6,366</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w w:val="88"/>
              </w:rPr>
              <w:t>Loan Servicing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Loan Servicing</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1"/>
              </w:rPr>
              <w:t>Liabilities</w:t>
            </w: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18,388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center"/>
              <w:ind w:left="854"/>
              <w:spacing w:after="0"/>
              <w:rPr>
                <w:sz w:val="20"/>
                <w:szCs w:val="20"/>
                <w:color w:val="auto"/>
              </w:rPr>
            </w:pPr>
            <w:r>
              <w:rPr>
                <w:rFonts w:ascii="Arial" w:cs="Arial" w:eastAsia="Arial" w:hAnsi="Arial"/>
                <w:sz w:val="17"/>
                <w:szCs w:val="17"/>
                <w:color w:val="auto"/>
                <w:w w:val="93"/>
              </w:rPr>
              <w:t>8,780</w:t>
            </w: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6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20,018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left="854"/>
              <w:spacing w:after="0"/>
              <w:rPr>
                <w:sz w:val="20"/>
                <w:szCs w:val="20"/>
                <w:color w:val="auto"/>
              </w:rPr>
            </w:pPr>
            <w:r>
              <w:rPr>
                <w:rFonts w:ascii="Arial" w:cs="Arial" w:eastAsia="Arial" w:hAnsi="Arial"/>
                <w:sz w:val="17"/>
                <w:szCs w:val="17"/>
                <w:color w:val="auto"/>
                <w:w w:val="93"/>
              </w:rPr>
              <w:t>2,286</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6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w w:val="96"/>
              </w:rPr>
              <w:t>(3,235)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2"/>
              </w:rPr>
              <w:t>(4,700)</w:t>
            </w: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60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ind w:left="500"/>
              <w:spacing w:after="0"/>
              <w:rPr>
                <w:sz w:val="20"/>
                <w:szCs w:val="20"/>
                <w:color w:val="auto"/>
              </w:rPr>
            </w:pPr>
            <w:r>
              <w:rPr>
                <w:rFonts w:ascii="Arial" w:cs="Arial" w:eastAsia="Arial" w:hAnsi="Arial"/>
                <w:sz w:val="17"/>
                <w:szCs w:val="17"/>
                <w:color w:val="auto"/>
              </w:rPr>
              <w:t>35,171</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tcPr>
          <w:p>
            <w:pPr>
              <w:jc w:val="center"/>
              <w:ind w:left="854"/>
              <w:spacing w:after="0"/>
              <w:rPr>
                <w:sz w:val="20"/>
                <w:szCs w:val="20"/>
                <w:color w:val="auto"/>
              </w:rPr>
            </w:pPr>
            <w:r>
              <w:rPr>
                <w:rFonts w:ascii="Arial" w:cs="Arial" w:eastAsia="Arial" w:hAnsi="Arial"/>
                <w:sz w:val="17"/>
                <w:szCs w:val="17"/>
                <w:color w:val="auto"/>
                <w:w w:val="93"/>
              </w:rPr>
              <w:t>6,366</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w w:val="87"/>
              </w:rPr>
              <w:t>Loan Servicing Assets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74"/>
              <w:spacing w:after="0"/>
              <w:rPr>
                <w:sz w:val="20"/>
                <w:szCs w:val="20"/>
                <w:color w:val="auto"/>
              </w:rPr>
            </w:pPr>
            <w:r>
              <w:rPr>
                <w:rFonts w:ascii="Arial" w:cs="Arial" w:eastAsia="Arial" w:hAnsi="Arial"/>
                <w:sz w:val="17"/>
                <w:szCs w:val="17"/>
                <w:b w:val="1"/>
                <w:bCs w:val="1"/>
                <w:color w:val="auto"/>
                <w:w w:val="96"/>
              </w:rPr>
              <w:t>Loan Servicing</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2023</w:t>
            </w: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34,650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3,142</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6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3,375</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6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(4,686)</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2023</w:t>
            </w:r>
          </w:p>
        </w:tc>
        <w:tc>
          <w:tcPr>
            <w:tcW w:w="6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33,339</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w w:val="87"/>
              </w:rPr>
              <w:t>Loan Servicing Assets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74"/>
              <w:spacing w:after="0"/>
              <w:rPr>
                <w:sz w:val="20"/>
                <w:szCs w:val="20"/>
                <w:color w:val="auto"/>
              </w:rPr>
            </w:pPr>
            <w:r>
              <w:rPr>
                <w:rFonts w:ascii="Arial" w:cs="Arial" w:eastAsia="Arial" w:hAnsi="Arial"/>
                <w:sz w:val="17"/>
                <w:szCs w:val="17"/>
                <w:b w:val="1"/>
                <w:bCs w:val="1"/>
                <w:color w:val="auto"/>
                <w:w w:val="96"/>
              </w:rPr>
              <w:t>Loan Servicing</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1640" w:type="dxa"/>
            <w:vAlign w:val="bottom"/>
            <w:tcBorders>
              <w:bottom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2022</w:t>
            </w:r>
          </w:p>
        </w:tc>
        <w:tc>
          <w:tcPr>
            <w:tcW w:w="5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36,467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5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7,037</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(10,165)</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(1,468)</w:t>
            </w:r>
          </w:p>
        </w:tc>
        <w:tc>
          <w:tcPr>
            <w:tcW w:w="0" w:type="dxa"/>
            <w:vAlign w:val="bottom"/>
          </w:tcPr>
          <w:p>
            <w:pPr>
              <w:spacing w:after="0"/>
              <w:rPr>
                <w:sz w:val="1"/>
                <w:szCs w:val="1"/>
                <w:color w:val="auto"/>
              </w:rPr>
            </w:pPr>
          </w:p>
        </w:tc>
      </w:tr>
      <w:tr>
        <w:trPr>
          <w:trHeight w:val="221"/>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2023</w:t>
            </w:r>
          </w:p>
        </w:tc>
        <w:tc>
          <w:tcPr>
            <w:tcW w:w="5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33,339</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Beneficial Interests</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connection with certain loan sale agreements, the Company is obligated to make payments to the loan buyer or is entitled to receive payments from the buyer if credit losses on personal loans subject to the arrangement deviate from initial expectations, subject to a dollar cap. As of June 30, 2023, the Company held beneficial interests assets related to these arrangements of $28.7 million. The Company held no beneficial interests as of December 31, 2022.</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Beneficial interests are measured at estimated fair value using a discounted cash flow model. The fair valuation methodology considers projected defaults, losses and recoveries to project future losses and net cash flows on the underlying loans. Net cash flows are discounted using an estimate of market rates of return that reflect the risk premium related to those cash flows. The models use inputs that are inherently judgmental and reflect the Company’s best estimates of the assumptions a market participant would use to calculate fair value.</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fair value measurements of beneficial interests as of June 30, 2023:</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6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ind w:left="700"/>
              <w:spacing w:after="0"/>
              <w:rPr>
                <w:sz w:val="20"/>
                <w:szCs w:val="20"/>
                <w:color w:val="auto"/>
              </w:rPr>
            </w:pPr>
            <w:r>
              <w:rPr>
                <w:rFonts w:ascii="Arial" w:cs="Arial" w:eastAsia="Arial" w:hAnsi="Arial"/>
                <w:sz w:val="17"/>
                <w:szCs w:val="17"/>
                <w:b w:val="1"/>
                <w:bCs w:val="1"/>
                <w:color w:val="auto"/>
                <w:w w:val="96"/>
              </w:rPr>
              <w:t>Minimum</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680"/>
              <w:spacing w:after="0"/>
              <w:rPr>
                <w:sz w:val="20"/>
                <w:szCs w:val="20"/>
                <w:color w:val="auto"/>
              </w:rPr>
            </w:pPr>
            <w:r>
              <w:rPr>
                <w:rFonts w:ascii="Arial" w:cs="Arial" w:eastAsia="Arial" w:hAnsi="Arial"/>
                <w:sz w:val="17"/>
                <w:szCs w:val="17"/>
                <w:b w:val="1"/>
                <w:bCs w:val="1"/>
                <w:color w:val="auto"/>
                <w:w w:val="99"/>
              </w:rPr>
              <w:t>Maximum</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1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Weighted-Average</w:t>
            </w:r>
            <w:r>
              <w:rPr>
                <w:rFonts w:ascii="Arial" w:cs="Arial" w:eastAsia="Arial" w:hAnsi="Arial"/>
                <w:sz w:val="22"/>
                <w:szCs w:val="22"/>
                <w:b w:val="1"/>
                <w:bCs w:val="1"/>
                <w:color w:val="auto"/>
                <w:vertAlign w:val="superscript"/>
              </w:rPr>
              <w:t>(1)</w:t>
            </w: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Beneficial interests</w:t>
            </w: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8"/>
        </w:trPr>
        <w:tc>
          <w:tcPr>
            <w:tcW w:w="6060" w:type="dxa"/>
            <w:vAlign w:val="bottom"/>
            <w:gridSpan w:val="2"/>
          </w:tcPr>
          <w:p>
            <w:pPr>
              <w:ind w:left="120"/>
              <w:spacing w:after="0"/>
              <w:rPr>
                <w:sz w:val="20"/>
                <w:szCs w:val="20"/>
                <w:color w:val="auto"/>
              </w:rPr>
            </w:pPr>
            <w:r>
              <w:rPr>
                <w:rFonts w:ascii="Arial" w:cs="Arial" w:eastAsia="Arial" w:hAnsi="Arial"/>
                <w:sz w:val="17"/>
                <w:szCs w:val="17"/>
                <w:color w:val="auto"/>
              </w:rPr>
              <w:t>Discount rate</w:t>
            </w:r>
          </w:p>
        </w:tc>
        <w:tc>
          <w:tcPr>
            <w:tcW w:w="700" w:type="dxa"/>
            <w:vAlign w:val="bottom"/>
          </w:tcPr>
          <w:p>
            <w:pPr>
              <w:jc w:val="right"/>
              <w:spacing w:after="0"/>
              <w:rPr>
                <w:sz w:val="20"/>
                <w:szCs w:val="20"/>
                <w:color w:val="auto"/>
              </w:rPr>
            </w:pPr>
            <w:r>
              <w:rPr>
                <w:rFonts w:ascii="Arial" w:cs="Arial" w:eastAsia="Arial" w:hAnsi="Arial"/>
                <w:sz w:val="17"/>
                <w:szCs w:val="17"/>
                <w:color w:val="auto"/>
              </w:rPr>
              <w:t>7.00 %</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6"/>
              </w:rPr>
              <w:t>14.00 %</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13.75 %</w:t>
            </w:r>
          </w:p>
        </w:tc>
      </w:tr>
      <w:tr>
        <w:trPr>
          <w:trHeight w:val="220"/>
        </w:trPr>
        <w:tc>
          <w:tcPr>
            <w:tcW w:w="606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Credit risk rate spread </w:t>
            </w:r>
            <w:r>
              <w:rPr>
                <w:rFonts w:ascii="Arial" w:cs="Arial" w:eastAsia="Arial" w:hAnsi="Arial"/>
                <w:sz w:val="22"/>
                <w:szCs w:val="22"/>
                <w:color w:val="auto"/>
                <w:vertAlign w:val="superscript"/>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0.00 %</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(12.10)%</w:t>
            </w:r>
          </w:p>
        </w:tc>
      </w:tr>
    </w:tbl>
    <w:p>
      <w:pPr>
        <w:spacing w:after="0" w:line="304" w:lineRule="exact"/>
        <w:rPr>
          <w:sz w:val="20"/>
          <w:szCs w:val="20"/>
          <w:color w:val="auto"/>
        </w:rPr>
      </w:pPr>
    </w:p>
    <w:p>
      <w:pPr>
        <w:ind w:left="200" w:hanging="197"/>
        <w:spacing w:after="0"/>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13" w:lineRule="exact"/>
        <w:rPr>
          <w:rFonts w:ascii="Arial" w:cs="Arial" w:eastAsia="Arial" w:hAnsi="Arial"/>
          <w:sz w:val="14"/>
          <w:szCs w:val="14"/>
          <w:color w:val="auto"/>
        </w:rPr>
      </w:pPr>
    </w:p>
    <w:p>
      <w:pPr>
        <w:ind w:left="200" w:hanging="197"/>
        <w:spacing w:after="0"/>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Expressed as a percentage of cumulative loss expectations as of the valuation date compared to the origination date.</w:t>
      </w:r>
    </w:p>
    <w:p>
      <w:pPr>
        <w:spacing w:after="0" w:line="23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Discount rates</w:t>
      </w:r>
      <w:r>
        <w:rPr>
          <w:rFonts w:ascii="Arial" w:cs="Arial" w:eastAsia="Arial" w:hAnsi="Arial"/>
          <w:sz w:val="17"/>
          <w:szCs w:val="17"/>
          <w:color w:val="auto"/>
        </w:rPr>
        <w:t>–The discount rates are rates of return used to discount future expected cash flows to arrive at a present value, which represents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The discount rates used for the projected net cash flows are the Company’s estimates of the rates of return that market participants would require when investing in these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Credit risk rate spreads</w:t>
      </w:r>
      <w:r>
        <w:rPr>
          <w:rFonts w:ascii="Arial" w:cs="Arial" w:eastAsia="Arial" w:hAnsi="Arial"/>
          <w:sz w:val="17"/>
          <w:szCs w:val="17"/>
          <w:color w:val="auto"/>
        </w:rPr>
        <w:t>–Credit risk rates for beneficial interests are determined the same way as for underlying loan portfolios. Credit risk rates are an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cumulative losses, net of average recoveries, of the underlying portfolio, which represent the amount of principal that will not be repaid over the entire life of a financial instrument. The credit risk rate spreads are the relative difference, expressed as a percentage, between the expected credit risk rate on origination date and the estimated credit risk rate as of a valuation date.</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sensitivity of beneficial interests to adverse changes in key assumptions used in the valuation model as of June 30, 2023.</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b w:val="1"/>
                <w:bCs w:val="1"/>
                <w:color w:val="auto"/>
              </w:rPr>
              <w:t>June 30, 2023</w:t>
            </w:r>
          </w:p>
        </w:tc>
      </w:tr>
      <w:tr>
        <w:trPr>
          <w:trHeight w:val="226"/>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beneficial interests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28,664</w:t>
            </w:r>
          </w:p>
        </w:tc>
        <w:tc>
          <w:tcPr>
            <w:tcW w:w="40" w:type="dxa"/>
            <w:vAlign w:val="bottom"/>
            <w:shd w:val="clear" w:color="auto" w:fill="CCEEFF"/>
          </w:tcPr>
          <w:p>
            <w:pPr>
              <w:spacing w:after="0"/>
              <w:rPr>
                <w:sz w:val="19"/>
                <w:szCs w:val="19"/>
                <w:color w:val="auto"/>
              </w:rPr>
            </w:pPr>
          </w:p>
        </w:tc>
      </w:tr>
      <w:tr>
        <w:trPr>
          <w:trHeight w:val="198"/>
        </w:trPr>
        <w:tc>
          <w:tcPr>
            <w:tcW w:w="9140" w:type="dxa"/>
            <w:vAlign w:val="bottom"/>
            <w:gridSpan w:val="2"/>
          </w:tcPr>
          <w:p>
            <w:pPr>
              <w:ind w:left="20"/>
              <w:spacing w:after="0"/>
              <w:rPr>
                <w:sz w:val="20"/>
                <w:szCs w:val="20"/>
                <w:color w:val="auto"/>
              </w:rPr>
            </w:pPr>
            <w:r>
              <w:rPr>
                <w:rFonts w:ascii="Arial" w:cs="Arial" w:eastAsia="Arial" w:hAnsi="Arial"/>
                <w:sz w:val="17"/>
                <w:szCs w:val="17"/>
                <w:color w:val="auto"/>
              </w:rPr>
              <w:t>Discount rate</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233"/>
        </w:trPr>
        <w:tc>
          <w:tcPr>
            <w:tcW w:w="40" w:type="dxa"/>
            <w:vAlign w:val="bottom"/>
            <w:shd w:val="clear" w:color="auto" w:fill="CCEEFF"/>
          </w:tcPr>
          <w:p>
            <w:pPr>
              <w:spacing w:after="0"/>
              <w:rPr>
                <w:sz w:val="20"/>
                <w:szCs w:val="20"/>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7"/>
                <w:szCs w:val="17"/>
                <w:color w:val="auto"/>
              </w:rPr>
              <w:t>100 basis point increase</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(724)</w:t>
            </w:r>
          </w:p>
        </w:tc>
      </w:tr>
      <w:tr>
        <w:trPr>
          <w:trHeight w:val="218"/>
        </w:trPr>
        <w:tc>
          <w:tcPr>
            <w:tcW w:w="4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7"/>
                <w:szCs w:val="17"/>
                <w:color w:val="auto"/>
              </w:rPr>
              <w:t>200 basis point increase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7"/>
                <w:szCs w:val="17"/>
                <w:color w:val="auto"/>
              </w:rPr>
              <w:t>(1,422)</w:t>
            </w:r>
          </w:p>
        </w:tc>
      </w:tr>
      <w:tr>
        <w:trPr>
          <w:trHeight w:val="220"/>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credit rate spreads on underlying loans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9100" w:type="dxa"/>
            <w:vAlign w:val="bottom"/>
          </w:tcPr>
          <w:p>
            <w:pPr>
              <w:ind w:left="80"/>
              <w:spacing w:after="0"/>
              <w:rPr>
                <w:sz w:val="20"/>
                <w:szCs w:val="20"/>
                <w:color w:val="auto"/>
              </w:rPr>
            </w:pPr>
            <w:r>
              <w:rPr>
                <w:rFonts w:ascii="Arial" w:cs="Arial" w:eastAsia="Arial" w:hAnsi="Arial"/>
                <w:sz w:val="17"/>
                <w:szCs w:val="17"/>
                <w:color w:val="auto"/>
              </w:rPr>
              <w:t>10% adverse change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7"/>
                <w:szCs w:val="17"/>
                <w:color w:val="auto"/>
              </w:rPr>
              <w:t>(5,033)</w:t>
            </w:r>
          </w:p>
        </w:tc>
      </w:tr>
      <w:tr>
        <w:trPr>
          <w:trHeight w:val="226"/>
        </w:trPr>
        <w:tc>
          <w:tcPr>
            <w:tcW w:w="40" w:type="dxa"/>
            <w:vAlign w:val="bottom"/>
            <w:shd w:val="clear" w:color="auto" w:fill="CCEEFF"/>
          </w:tcPr>
          <w:p>
            <w:pPr>
              <w:spacing w:after="0"/>
              <w:rPr>
                <w:sz w:val="19"/>
                <w:szCs w:val="19"/>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7"/>
                <w:szCs w:val="17"/>
                <w:color w:val="auto"/>
              </w:rPr>
              <w:t>20% adverse change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(12,962)</w:t>
            </w:r>
          </w:p>
        </w:tc>
      </w:tr>
      <w:tr>
        <w:trPr>
          <w:trHeight w:val="733"/>
        </w:trPr>
        <w:tc>
          <w:tcPr>
            <w:tcW w:w="40" w:type="dxa"/>
            <w:vAlign w:val="bottom"/>
          </w:tcPr>
          <w:p>
            <w:pPr>
              <w:spacing w:after="0"/>
              <w:rPr>
                <w:sz w:val="24"/>
                <w:szCs w:val="24"/>
                <w:color w:val="auto"/>
              </w:rPr>
            </w:pPr>
          </w:p>
        </w:tc>
        <w:tc>
          <w:tcPr>
            <w:tcW w:w="9100" w:type="dxa"/>
            <w:vAlign w:val="bottom"/>
          </w:tcPr>
          <w:p>
            <w:pPr>
              <w:ind w:left="560"/>
              <w:spacing w:after="0"/>
              <w:rPr>
                <w:sz w:val="20"/>
                <w:szCs w:val="20"/>
                <w:color w:val="auto"/>
              </w:rPr>
            </w:pPr>
            <w:r>
              <w:rPr>
                <w:rFonts w:ascii="Arial" w:cs="Arial" w:eastAsia="Arial" w:hAnsi="Arial"/>
                <w:sz w:val="17"/>
                <w:szCs w:val="17"/>
                <w:color w:val="auto"/>
              </w:rPr>
              <w:t>The following tables present a rollforward of beneficial interests: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4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3"/>
              </w:rPr>
              <w:t>Beneficial Interests</w:t>
            </w:r>
          </w:p>
        </w:tc>
      </w:tr>
      <w:tr>
        <w:trPr>
          <w:trHeight w:val="213"/>
        </w:trPr>
        <w:tc>
          <w:tcPr>
            <w:tcW w:w="40" w:type="dxa"/>
            <w:vAlign w:val="bottom"/>
          </w:tcPr>
          <w:p>
            <w:pPr>
              <w:spacing w:after="0"/>
              <w:rPr>
                <w:sz w:val="18"/>
                <w:szCs w:val="18"/>
                <w:color w:val="auto"/>
              </w:rPr>
            </w:pPr>
          </w:p>
        </w:tc>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March 31, 2023</w:t>
            </w: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9100" w:type="dxa"/>
            <w:vAlign w:val="bottom"/>
          </w:tcPr>
          <w:p>
            <w:pPr>
              <w:ind w:left="20"/>
              <w:spacing w:after="0"/>
              <w:rPr>
                <w:sz w:val="20"/>
                <w:szCs w:val="20"/>
                <w:color w:val="auto"/>
              </w:rPr>
            </w:pPr>
            <w:r>
              <w:rPr>
                <w:rFonts w:ascii="Arial" w:cs="Arial" w:eastAsia="Arial" w:hAnsi="Arial"/>
                <w:sz w:val="17"/>
                <w:szCs w:val="17"/>
                <w:color w:val="auto"/>
              </w:rPr>
              <w:t>Additions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30,535</w:t>
            </w:r>
          </w:p>
        </w:tc>
        <w:tc>
          <w:tcPr>
            <w:tcW w:w="4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4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9100" w:type="dxa"/>
            <w:vAlign w:val="bottom"/>
          </w:tcPr>
          <w:p>
            <w:pPr>
              <w:ind w:left="20"/>
              <w:spacing w:after="0"/>
              <w:rPr>
                <w:sz w:val="20"/>
                <w:szCs w:val="20"/>
                <w:color w:val="auto"/>
              </w:rPr>
            </w:pPr>
            <w:r>
              <w:rPr>
                <w:rFonts w:ascii="Arial" w:cs="Arial" w:eastAsia="Arial" w:hAnsi="Arial"/>
                <w:sz w:val="17"/>
                <w:szCs w:val="17"/>
                <w:b w:val="1"/>
                <w:bCs w:val="1"/>
                <w:color w:val="auto"/>
              </w:rPr>
              <w:t>Fair value as of June 30, 2023</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28,664</w:t>
            </w:r>
          </w:p>
        </w:tc>
        <w:tc>
          <w:tcPr>
            <w:tcW w:w="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2"/>
        </w:trPr>
        <w:tc>
          <w:tcPr>
            <w:tcW w:w="4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3"/>
              </w:rPr>
              <w:t>Beneficial Interests</w:t>
            </w:r>
          </w:p>
        </w:tc>
      </w:tr>
      <w:tr>
        <w:trPr>
          <w:trHeight w:val="212"/>
        </w:trPr>
        <w:tc>
          <w:tcPr>
            <w:tcW w:w="40" w:type="dxa"/>
            <w:vAlign w:val="bottom"/>
          </w:tcPr>
          <w:p>
            <w:pPr>
              <w:spacing w:after="0"/>
              <w:rPr>
                <w:sz w:val="18"/>
                <w:szCs w:val="18"/>
                <w:color w:val="auto"/>
              </w:rPr>
            </w:pPr>
          </w:p>
        </w:tc>
        <w:tc>
          <w:tcPr>
            <w:tcW w:w="9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December 31, 2022</w:t>
            </w: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Arial" w:cs="Arial" w:eastAsia="Arial" w:hAnsi="Arial"/>
                <w:sz w:val="17"/>
                <w:szCs w:val="17"/>
                <w:color w:val="auto"/>
              </w:rPr>
              <w:t>Additions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30,535</w:t>
            </w:r>
          </w:p>
        </w:tc>
        <w:tc>
          <w:tcPr>
            <w:tcW w:w="4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40" w:type="dxa"/>
            <w:vAlign w:val="bottom"/>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Arial" w:cs="Arial" w:eastAsia="Arial" w:hAnsi="Arial"/>
                <w:sz w:val="17"/>
                <w:szCs w:val="17"/>
                <w:b w:val="1"/>
                <w:bCs w:val="1"/>
                <w:color w:val="auto"/>
              </w:rPr>
              <w:t>Fair value as of June 30, 2023</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28,664</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Trailing Fee Liabilities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pays certain bank partners monthly trailing fees based on the amount and timing of principal and interest payments made by borrowers of the underlying loans. Significant inputs used for estimating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value of trailing fee liabilities included discount rates of 6.36% to 22.28% and credit risk rates of 0.01% to 93.09% as of December 31, 2022 and discount rates of 9.87% to 22.82% and credit risk rates of 0.01% to 92.98% as of June 30, 2023.</w:t>
      </w:r>
    </w:p>
    <w:p>
      <w:pPr>
        <w:spacing w:after="0" w:line="19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fair value sensitivity of trailing fee liabilities to adverse changes in key assumptions would not result in a material impact on the Company’s financial position or the results of operations.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include a rollforward of trailing fee liabilities classified by the Company within Level 3 of the fair value hierarchy: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7"/>
                <w:szCs w:val="17"/>
                <w:b w:val="1"/>
                <w:bCs w:val="1"/>
                <w:color w:val="auto"/>
              </w:rPr>
              <w:t>Trailing Fee</w:t>
            </w:r>
          </w:p>
        </w:tc>
      </w:tr>
      <w:tr>
        <w:trPr>
          <w:trHeight w:val="228"/>
        </w:trPr>
        <w:tc>
          <w:tcPr>
            <w:tcW w:w="9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r>
      <w:tr>
        <w:trPr>
          <w:trHeight w:val="217"/>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5,241</w:t>
            </w:r>
          </w:p>
        </w:tc>
      </w:tr>
      <w:tr>
        <w:trPr>
          <w:trHeight w:val="211"/>
        </w:trPr>
        <w:tc>
          <w:tcPr>
            <w:tcW w:w="9580" w:type="dxa"/>
            <w:vAlign w:val="bottom"/>
          </w:tcPr>
          <w:p>
            <w:pPr>
              <w:ind w:left="20"/>
              <w:spacing w:after="0"/>
              <w:rPr>
                <w:sz w:val="20"/>
                <w:szCs w:val="20"/>
                <w:color w:val="auto"/>
              </w:rPr>
            </w:pPr>
            <w:r>
              <w:rPr>
                <w:rFonts w:ascii="Arial" w:cs="Arial" w:eastAsia="Arial" w:hAnsi="Arial"/>
                <w:sz w:val="17"/>
                <w:szCs w:val="17"/>
                <w:color w:val="auto"/>
              </w:rPr>
              <w:t>Issuances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1,119</w:t>
            </w:r>
          </w:p>
        </w:tc>
      </w:tr>
      <w:tr>
        <w:trPr>
          <w:trHeight w:val="233"/>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and settlements</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r>
      <w:tr>
        <w:trPr>
          <w:trHeight w:val="218"/>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r>
      <w:tr>
        <w:trPr>
          <w:trHeight w:val="237"/>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7"/>
                <w:szCs w:val="17"/>
                <w:b w:val="1"/>
                <w:bCs w:val="1"/>
                <w:color w:val="auto"/>
              </w:rPr>
              <w:t>Trailing Fee</w:t>
            </w:r>
          </w:p>
        </w:tc>
      </w:tr>
      <w:tr>
        <w:trPr>
          <w:trHeight w:val="224"/>
        </w:trPr>
        <w:tc>
          <w:tcPr>
            <w:tcW w:w="9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r>
      <w:tr>
        <w:trPr>
          <w:trHeight w:val="212"/>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4,315</w:t>
            </w:r>
          </w:p>
        </w:tc>
      </w:tr>
      <w:tr>
        <w:trPr>
          <w:trHeight w:val="218"/>
        </w:trPr>
        <w:tc>
          <w:tcPr>
            <w:tcW w:w="9580" w:type="dxa"/>
            <w:vAlign w:val="bottom"/>
          </w:tcPr>
          <w:p>
            <w:pPr>
              <w:ind w:left="20"/>
              <w:spacing w:after="0"/>
              <w:rPr>
                <w:sz w:val="20"/>
                <w:szCs w:val="20"/>
                <w:color w:val="auto"/>
              </w:rPr>
            </w:pPr>
            <w:r>
              <w:rPr>
                <w:rFonts w:ascii="Arial" w:cs="Arial" w:eastAsia="Arial" w:hAnsi="Arial"/>
                <w:sz w:val="17"/>
                <w:szCs w:val="17"/>
                <w:color w:val="auto"/>
              </w:rPr>
              <w:t>Issuances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2,786</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and settlements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r>
      <w:tr>
        <w:trPr>
          <w:trHeight w:val="218"/>
        </w:trPr>
        <w:tc>
          <w:tcPr>
            <w:tcW w:w="958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r>
      <w:tr>
        <w:trPr>
          <w:trHeight w:val="24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7"/>
                <w:szCs w:val="17"/>
                <w:b w:val="1"/>
                <w:bCs w:val="1"/>
                <w:color w:val="auto"/>
              </w:rPr>
              <w:t>Trailing Fee</w:t>
            </w:r>
          </w:p>
        </w:tc>
      </w:tr>
      <w:tr>
        <w:trPr>
          <w:trHeight w:val="224"/>
        </w:trPr>
        <w:tc>
          <w:tcPr>
            <w:tcW w:w="9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r>
      <w:tr>
        <w:trPr>
          <w:trHeight w:val="212"/>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2023</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4,449</w:t>
            </w:r>
          </w:p>
        </w:tc>
      </w:tr>
      <w:tr>
        <w:trPr>
          <w:trHeight w:val="238"/>
        </w:trPr>
        <w:tc>
          <w:tcPr>
            <w:tcW w:w="9580" w:type="dxa"/>
            <w:vAlign w:val="bottom"/>
          </w:tcPr>
          <w:p>
            <w:pPr>
              <w:ind w:left="20"/>
              <w:spacing w:after="0"/>
              <w:rPr>
                <w:sz w:val="20"/>
                <w:szCs w:val="20"/>
                <w:color w:val="auto"/>
              </w:rPr>
            </w:pPr>
            <w:r>
              <w:rPr>
                <w:rFonts w:ascii="Arial" w:cs="Arial" w:eastAsia="Arial" w:hAnsi="Arial"/>
                <w:sz w:val="17"/>
                <w:szCs w:val="17"/>
                <w:color w:val="auto"/>
              </w:rPr>
              <w:t>Issuances</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516</w:t>
            </w:r>
          </w:p>
        </w:tc>
      </w:tr>
      <w:tr>
        <w:trPr>
          <w:trHeight w:val="220"/>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and settlements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r>
      <w:tr>
        <w:trPr>
          <w:trHeight w:val="218"/>
        </w:trPr>
        <w:tc>
          <w:tcPr>
            <w:tcW w:w="958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4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2023</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4,265</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7"/>
                <w:szCs w:val="17"/>
                <w:b w:val="1"/>
                <w:bCs w:val="1"/>
                <w:color w:val="auto"/>
              </w:rPr>
              <w:t>Trailing Fee</w:t>
            </w:r>
          </w:p>
        </w:tc>
      </w:tr>
      <w:tr>
        <w:trPr>
          <w:trHeight w:val="224"/>
        </w:trPr>
        <w:tc>
          <w:tcPr>
            <w:tcW w:w="9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Liabilities</w:t>
            </w:r>
          </w:p>
        </w:tc>
      </w:tr>
      <w:tr>
        <w:trPr>
          <w:trHeight w:val="212"/>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2022</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4,852</w:t>
            </w:r>
          </w:p>
        </w:tc>
      </w:tr>
      <w:tr>
        <w:trPr>
          <w:trHeight w:val="238"/>
        </w:trPr>
        <w:tc>
          <w:tcPr>
            <w:tcW w:w="9580" w:type="dxa"/>
            <w:vAlign w:val="bottom"/>
          </w:tcPr>
          <w:p>
            <w:pPr>
              <w:ind w:left="20"/>
              <w:spacing w:after="0"/>
              <w:rPr>
                <w:sz w:val="20"/>
                <w:szCs w:val="20"/>
                <w:color w:val="auto"/>
              </w:rPr>
            </w:pPr>
            <w:r>
              <w:rPr>
                <w:rFonts w:ascii="Arial" w:cs="Arial" w:eastAsia="Arial" w:hAnsi="Arial"/>
                <w:sz w:val="17"/>
                <w:szCs w:val="17"/>
                <w:color w:val="auto"/>
              </w:rPr>
              <w:t>Issuances</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834</w:t>
            </w:r>
          </w:p>
        </w:tc>
      </w:tr>
      <w:tr>
        <w:trPr>
          <w:trHeight w:val="220"/>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and settlements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r>
      <w:tr>
        <w:trPr>
          <w:trHeight w:val="218"/>
        </w:trPr>
        <w:tc>
          <w:tcPr>
            <w:tcW w:w="958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38"/>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2023</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4,265</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69"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Goodwill and Intangible Assets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Goodwill</w:t>
      </w:r>
    </w:p>
    <w:p>
      <w:pPr>
        <w:spacing w:after="0" w:line="243"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During the six months ended June 30, 2023, there were no changes in the carrying amount of goodwill of $67.1 million on the Company’s condensed consolidated balance sheets.</w:t>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43" w:lineRule="exact"/>
        <w:rPr>
          <w:sz w:val="20"/>
          <w:szCs w:val="20"/>
          <w:color w:val="auto"/>
        </w:rPr>
      </w:pPr>
    </w:p>
    <w:p>
      <w:pPr>
        <w:ind w:right="100" w:firstLine="619"/>
        <w:spacing w:after="0" w:line="349" w:lineRule="auto"/>
        <w:rPr>
          <w:sz w:val="20"/>
          <w:szCs w:val="20"/>
          <w:color w:val="auto"/>
        </w:rPr>
      </w:pPr>
      <w:r>
        <w:rPr>
          <w:rFonts w:ascii="Arial" w:cs="Arial" w:eastAsia="Arial" w:hAnsi="Arial"/>
          <w:sz w:val="15"/>
          <w:szCs w:val="15"/>
          <w:color w:val="auto"/>
        </w:rPr>
        <w:t>Acquired intangible assets subject to amortization consist of developed technology and customer relationships, and are recorded net of amortization and included within other assets on the condensed consolidated balance sheets. The gross and net carrying values and accumulated amortization are as follows:</w:t>
      </w:r>
    </w:p>
    <w:p>
      <w:pPr>
        <w:spacing w:after="0" w:line="27" w:lineRule="exact"/>
        <w:rPr>
          <w:sz w:val="20"/>
          <w:szCs w:val="20"/>
          <w:color w:val="auto"/>
        </w:rPr>
      </w:pPr>
    </w:p>
    <w:tbl>
      <w:tblPr>
        <w:tblLayout w:type="fixed"/>
        <w:tblInd w:w="620" w:type="dxa"/>
        <w:tblCellMar>
          <w:top w:w="0" w:type="dxa"/>
          <w:left w:w="0" w:type="dxa"/>
          <w:bottom w:w="0" w:type="dxa"/>
          <w:right w:w="0" w:type="dxa"/>
        </w:tblCellMar>
      </w:tblPr>
      <w:tr>
        <w:trPr>
          <w:trHeight w:val="217"/>
        </w:trPr>
        <w:tc>
          <w:tcPr>
            <w:tcW w:w="7780" w:type="dxa"/>
            <w:vAlign w:val="bottom"/>
          </w:tcPr>
          <w:p>
            <w:pPr>
              <w:spacing w:after="0"/>
              <w:rPr>
                <w:sz w:val="20"/>
                <w:szCs w:val="20"/>
                <w:color w:val="auto"/>
              </w:rPr>
            </w:pPr>
            <w:r>
              <w:rPr>
                <w:rFonts w:ascii="Arial" w:cs="Arial" w:eastAsia="Arial" w:hAnsi="Arial"/>
                <w:sz w:val="17"/>
                <w:szCs w:val="17"/>
                <w:b w:val="1"/>
                <w:bCs w:val="1"/>
                <w:i w:val="1"/>
                <w:iCs w:val="1"/>
                <w:color w:val="auto"/>
              </w:rPr>
              <w:t>Developed Technology</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w w:val="91"/>
              </w:rPr>
              <w:t>December 31, 2022</w:t>
            </w:r>
          </w:p>
        </w:tc>
        <w:tc>
          <w:tcPr>
            <w:tcW w:w="100" w:type="dxa"/>
            <w:vAlign w:val="bottom"/>
          </w:tcPr>
          <w:p>
            <w:pPr>
              <w:spacing w:after="0"/>
              <w:rPr>
                <w:sz w:val="16"/>
                <w:szCs w:val="16"/>
                <w:color w:val="auto"/>
              </w:rPr>
            </w:pPr>
          </w:p>
        </w:tc>
        <w:tc>
          <w:tcPr>
            <w:tcW w:w="1160" w:type="dxa"/>
            <w:vAlign w:val="bottom"/>
          </w:tcPr>
          <w:p>
            <w:pPr>
              <w:jc w:val="center"/>
              <w:ind w:left="434"/>
              <w:spacing w:after="0"/>
              <w:rPr>
                <w:sz w:val="20"/>
                <w:szCs w:val="20"/>
                <w:color w:val="auto"/>
              </w:rPr>
            </w:pPr>
            <w:r>
              <w:rPr>
                <w:rFonts w:ascii="Arial" w:cs="Arial" w:eastAsia="Arial" w:hAnsi="Arial"/>
                <w:sz w:val="17"/>
                <w:szCs w:val="17"/>
                <w:b w:val="1"/>
                <w:bCs w:val="1"/>
                <w:color w:val="auto"/>
                <w:w w:val="88"/>
              </w:rPr>
              <w:t>June 30,</w:t>
            </w:r>
          </w:p>
        </w:tc>
        <w:tc>
          <w:tcPr>
            <w:tcW w:w="0" w:type="dxa"/>
            <w:vAlign w:val="bottom"/>
          </w:tcPr>
          <w:p>
            <w:pPr>
              <w:spacing w:after="0"/>
              <w:rPr>
                <w:sz w:val="1"/>
                <w:szCs w:val="1"/>
                <w:color w:val="auto"/>
              </w:rPr>
            </w:pPr>
          </w:p>
        </w:tc>
      </w:tr>
      <w:tr>
        <w:trPr>
          <w:trHeight w:val="228"/>
        </w:trPr>
        <w:tc>
          <w:tcPr>
            <w:tcW w:w="77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b w:val="1"/>
                <w:bCs w:val="1"/>
                <w:color w:val="auto"/>
                <w:w w:val="89"/>
              </w:rPr>
              <w:t>2023</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carrying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Accumulated amortization</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(5,483)</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carrying value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Customer Relationships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left="434"/>
              <w:spacing w:after="0"/>
              <w:rPr>
                <w:sz w:val="20"/>
                <w:szCs w:val="20"/>
                <w:color w:val="auto"/>
              </w:rPr>
            </w:pPr>
            <w:r>
              <w:rPr>
                <w:rFonts w:ascii="Arial" w:cs="Arial" w:eastAsia="Arial" w:hAnsi="Arial"/>
                <w:sz w:val="17"/>
                <w:szCs w:val="17"/>
                <w:b w:val="1"/>
                <w:bCs w:val="1"/>
                <w:color w:val="auto"/>
                <w:w w:val="88"/>
              </w:rPr>
              <w:t>June 30,</w:t>
            </w:r>
          </w:p>
        </w:tc>
        <w:tc>
          <w:tcPr>
            <w:tcW w:w="0" w:type="dxa"/>
            <w:vAlign w:val="bottom"/>
          </w:tcPr>
          <w:p>
            <w:pPr>
              <w:spacing w:after="0"/>
              <w:rPr>
                <w:sz w:val="1"/>
                <w:szCs w:val="1"/>
                <w:color w:val="auto"/>
              </w:rPr>
            </w:pPr>
          </w:p>
        </w:tc>
      </w:tr>
      <w:tr>
        <w:trPr>
          <w:trHeight w:val="224"/>
        </w:trPr>
        <w:tc>
          <w:tcPr>
            <w:tcW w:w="77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91"/>
              </w:rPr>
              <w:t>December 31, 2022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b w:val="1"/>
                <w:bCs w:val="1"/>
                <w:color w:val="auto"/>
                <w:w w:val="89"/>
              </w:rPr>
              <w:t>2023</w:t>
            </w: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carrying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13,700</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carrying value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11,702</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Amortization expense was $1.1 million for each of the three months ended June 30, 2022 and 2023 and was $2.1 million for each of the six months ended June 30, 2022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40" w:type="dxa"/>
            <w:vAlign w:val="bottom"/>
          </w:tcPr>
          <w:p>
            <w:pPr>
              <w:ind w:left="620"/>
              <w:spacing w:after="0"/>
              <w:rPr>
                <w:sz w:val="20"/>
                <w:szCs w:val="20"/>
                <w:color w:val="auto"/>
              </w:rPr>
            </w:pPr>
            <w:r>
              <w:rPr>
                <w:rFonts w:ascii="Arial" w:cs="Arial" w:eastAsia="Arial" w:hAnsi="Arial"/>
                <w:sz w:val="17"/>
                <w:szCs w:val="17"/>
                <w:color w:val="auto"/>
              </w:rPr>
              <w:t>Expected future amortization expense for intangible assets as of June 30, 2023 is as follows: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8"/>
        </w:trPr>
        <w:tc>
          <w:tcPr>
            <w:tcW w:w="9640" w:type="dxa"/>
            <w:vAlign w:val="bottom"/>
          </w:tcPr>
          <w:p>
            <w:pPr>
              <w:ind w:left="20"/>
              <w:spacing w:after="0"/>
              <w:rPr>
                <w:sz w:val="20"/>
                <w:szCs w:val="20"/>
                <w:color w:val="auto"/>
              </w:rPr>
            </w:pPr>
            <w:r>
              <w:rPr>
                <w:rFonts w:ascii="Arial" w:cs="Arial" w:eastAsia="Arial" w:hAnsi="Arial"/>
                <w:sz w:val="17"/>
                <w:szCs w:val="17"/>
                <w:b w:val="1"/>
                <w:bCs w:val="1"/>
                <w:color w:val="auto"/>
              </w:rPr>
              <w:t>Fiscal Years: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r>
      <w:tr>
        <w:trPr>
          <w:trHeight w:val="225"/>
        </w:trPr>
        <w:tc>
          <w:tcPr>
            <w:tcW w:w="9640" w:type="dxa"/>
            <w:vAlign w:val="bottom"/>
          </w:tcPr>
          <w:p>
            <w:pPr>
              <w:ind w:left="20"/>
              <w:spacing w:after="0"/>
              <w:rPr>
                <w:sz w:val="20"/>
                <w:szCs w:val="20"/>
                <w:color w:val="auto"/>
              </w:rPr>
            </w:pPr>
            <w:r>
              <w:rPr>
                <w:rFonts w:ascii="Arial" w:cs="Arial" w:eastAsia="Arial" w:hAnsi="Arial"/>
                <w:sz w:val="17"/>
                <w:szCs w:val="17"/>
                <w:color w:val="auto"/>
              </w:rPr>
              <w:t>2024</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1,925</w:t>
            </w:r>
          </w:p>
        </w:tc>
      </w:tr>
      <w:tr>
        <w:trPr>
          <w:trHeight w:val="226"/>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r>
      <w:tr>
        <w:trPr>
          <w:trHeight w:val="218"/>
        </w:trPr>
        <w:tc>
          <w:tcPr>
            <w:tcW w:w="9640" w:type="dxa"/>
            <w:vAlign w:val="bottom"/>
          </w:tcPr>
          <w:p>
            <w:pPr>
              <w:ind w:left="20"/>
              <w:spacing w:after="0"/>
              <w:rPr>
                <w:sz w:val="20"/>
                <w:szCs w:val="20"/>
                <w:color w:val="auto"/>
              </w:rPr>
            </w:pPr>
            <w:r>
              <w:rPr>
                <w:rFonts w:ascii="Arial" w:cs="Arial" w:eastAsia="Arial" w:hAnsi="Arial"/>
                <w:sz w:val="17"/>
                <w:szCs w:val="17"/>
                <w:color w:val="auto"/>
              </w:rPr>
              <w:t>2026</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1,142</w:t>
            </w:r>
          </w:p>
        </w:tc>
      </w:tr>
      <w:tr>
        <w:trPr>
          <w:trHeight w:val="233"/>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r>
      <w:tr>
        <w:trPr>
          <w:trHeight w:val="218"/>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5,992</w:t>
            </w:r>
          </w:p>
        </w:tc>
      </w:tr>
      <w:tr>
        <w:trPr>
          <w:trHeight w:val="238"/>
        </w:trPr>
        <w:tc>
          <w:tcPr>
            <w:tcW w:w="9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13,481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ind w:left="980"/>
              <w:spacing w:after="0"/>
              <w:rPr>
                <w:sz w:val="20"/>
                <w:szCs w:val="20"/>
                <w:color w:val="auto"/>
              </w:rPr>
            </w:pPr>
            <w:r>
              <w:rPr>
                <w:rFonts w:ascii="Arial" w:cs="Arial" w:eastAsia="Arial" w:hAnsi="Arial"/>
                <w:sz w:val="17"/>
                <w:szCs w:val="17"/>
                <w:b w:val="1"/>
                <w:bCs w:val="1"/>
                <w:color w:val="auto"/>
              </w:rPr>
              <w:t>8.  Balance Sheet Components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13"/>
        </w:trPr>
        <w:tc>
          <w:tcPr>
            <w:tcW w:w="778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Other Assets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8"/>
        </w:trPr>
        <w:tc>
          <w:tcPr>
            <w:tcW w:w="7780" w:type="dxa"/>
            <w:vAlign w:val="bottom"/>
          </w:tcPr>
          <w:p>
            <w:pPr>
              <w:ind w:left="620"/>
              <w:spacing w:after="0"/>
              <w:rPr>
                <w:sz w:val="20"/>
                <w:szCs w:val="20"/>
                <w:color w:val="auto"/>
              </w:rPr>
            </w:pPr>
            <w:r>
              <w:rPr>
                <w:rFonts w:ascii="Arial" w:cs="Arial" w:eastAsia="Arial" w:hAnsi="Arial"/>
                <w:sz w:val="17"/>
                <w:szCs w:val="17"/>
                <w:color w:val="auto"/>
              </w:rPr>
              <w:t>Other assets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7"/>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454"/>
              <w:spacing w:after="0"/>
              <w:rPr>
                <w:sz w:val="20"/>
                <w:szCs w:val="20"/>
                <w:color w:val="auto"/>
              </w:rPr>
            </w:pPr>
            <w:r>
              <w:rPr>
                <w:rFonts w:ascii="Arial" w:cs="Arial" w:eastAsia="Arial" w:hAnsi="Arial"/>
                <w:sz w:val="17"/>
                <w:szCs w:val="17"/>
                <w:b w:val="1"/>
                <w:bCs w:val="1"/>
                <w:color w:val="auto"/>
              </w:rPr>
              <w:t>June 30,</w:t>
            </w:r>
          </w:p>
        </w:tc>
      </w:tr>
      <w:tr>
        <w:trPr>
          <w:trHeight w:val="230"/>
        </w:trPr>
        <w:tc>
          <w:tcPr>
            <w:tcW w:w="7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fees and other receivables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46,051</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Loan servicing assets (at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36,467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33,339</w:t>
            </w: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17,598</w:t>
            </w:r>
          </w:p>
        </w:tc>
      </w:tr>
      <w:tr>
        <w:trPr>
          <w:trHeight w:val="219"/>
        </w:trPr>
        <w:tc>
          <w:tcPr>
            <w:tcW w:w="7780" w:type="dxa"/>
            <w:vAlign w:val="bottom"/>
          </w:tcPr>
          <w:p>
            <w:pPr>
              <w:ind w:left="20"/>
              <w:spacing w:after="0" w:line="219" w:lineRule="exact"/>
              <w:rPr>
                <w:sz w:val="20"/>
                <w:szCs w:val="20"/>
                <w:color w:val="auto"/>
              </w:rPr>
            </w:pPr>
            <w:r>
              <w:rPr>
                <w:rFonts w:ascii="Arial" w:cs="Arial" w:eastAsia="Arial" w:hAnsi="Arial"/>
                <w:sz w:val="17"/>
                <w:szCs w:val="17"/>
                <w:color w:val="auto"/>
              </w:rPr>
              <w:t>Intangible assets, net</w:t>
            </w:r>
            <w:r>
              <w:rPr>
                <w:rFonts w:ascii="Arial" w:cs="Arial" w:eastAsia="Arial" w:hAnsi="Arial"/>
                <w:sz w:val="22"/>
                <w:szCs w:val="22"/>
                <w:color w:val="auto"/>
                <w:vertAlign w:val="superscript"/>
              </w:rPr>
              <w:t>(1)</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15,631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13,493</w:t>
            </w:r>
          </w:p>
        </w:tc>
      </w:tr>
      <w:tr>
        <w:trPr>
          <w:trHeight w:val="219"/>
        </w:trPr>
        <w:tc>
          <w:tcPr>
            <w:tcW w:w="77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Interest rate caps</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10,339</w:t>
            </w:r>
          </w:p>
        </w:tc>
      </w:tr>
      <w:tr>
        <w:trPr>
          <w:trHeight w:val="225"/>
        </w:trPr>
        <w:tc>
          <w:tcPr>
            <w:tcW w:w="7780" w:type="dxa"/>
            <w:vAlign w:val="bottom"/>
          </w:tcPr>
          <w:p>
            <w:pPr>
              <w:ind w:left="20"/>
              <w:spacing w:after="0"/>
              <w:rPr>
                <w:sz w:val="20"/>
                <w:szCs w:val="20"/>
                <w:color w:val="auto"/>
              </w:rPr>
            </w:pPr>
            <w:r>
              <w:rPr>
                <w:rFonts w:ascii="Arial" w:cs="Arial" w:eastAsia="Arial" w:hAnsi="Arial"/>
                <w:sz w:val="17"/>
                <w:szCs w:val="17"/>
                <w:color w:val="auto"/>
              </w:rPr>
              <w:t>Deposits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10,002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10,235</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 and residual certificates (at fair value)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3,907</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22,678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16,957</w:t>
            </w:r>
          </w:p>
        </w:tc>
      </w:tr>
      <w:tr>
        <w:trPr>
          <w:trHeight w:val="246"/>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assets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154,351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151,919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60" w:hanging="457"/>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Refer to “</w:t>
      </w:r>
      <w:r>
        <w:rPr>
          <w:rFonts w:ascii="Arial" w:cs="Arial" w:eastAsia="Arial" w:hAnsi="Arial"/>
          <w:sz w:val="14"/>
          <w:szCs w:val="14"/>
          <w:i w:val="1"/>
          <w:iCs w:val="1"/>
          <w:color w:val="auto"/>
        </w:rPr>
        <w:t>Note 7. Goodwill and Intangible Assets</w:t>
      </w:r>
      <w:r>
        <w:rPr>
          <w:rFonts w:ascii="Arial" w:cs="Arial" w:eastAsia="Arial" w:hAnsi="Arial"/>
          <w:sz w:val="14"/>
          <w:szCs w:val="14"/>
          <w:color w:val="auto"/>
        </w:rPr>
        <w:t>” for further information.</w:t>
      </w:r>
    </w:p>
    <w:p>
      <w:pPr>
        <w:spacing w:after="0" w:line="13" w:lineRule="exact"/>
        <w:rPr>
          <w:rFonts w:ascii="Arial" w:cs="Arial" w:eastAsia="Arial" w:hAnsi="Arial"/>
          <w:sz w:val="14"/>
          <w:szCs w:val="14"/>
          <w:color w:val="auto"/>
        </w:rPr>
      </w:pPr>
    </w:p>
    <w:p>
      <w:pPr>
        <w:ind w:left="460" w:hanging="457"/>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Refer to “</w:t>
      </w:r>
      <w:r>
        <w:rPr>
          <w:rFonts w:ascii="Arial" w:cs="Arial" w:eastAsia="Arial" w:hAnsi="Arial"/>
          <w:sz w:val="14"/>
          <w:szCs w:val="14"/>
          <w:i w:val="1"/>
          <w:iCs w:val="1"/>
          <w:color w:val="auto"/>
        </w:rPr>
        <w:t>Note 4. Derivative Financial Instruments”</w:t>
      </w:r>
      <w:r>
        <w:rPr>
          <w:rFonts w:ascii="Arial" w:cs="Arial" w:eastAsia="Arial" w:hAnsi="Arial"/>
          <w:sz w:val="14"/>
          <w:szCs w:val="14"/>
          <w:color w:val="auto"/>
        </w:rPr>
        <w:t xml:space="preserve"> for further information.</w:t>
      </w:r>
    </w:p>
    <w:p>
      <w:pPr>
        <w:spacing w:after="0" w:line="23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Servicing fees and other receivables represent amounts recognized as revenue but not yet collected in relation to servicing and other agreements with institutional investors and lending partners.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Property, Equipment, and Software, Net</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38"/>
        </w:trPr>
        <w:tc>
          <w:tcPr>
            <w:tcW w:w="7780" w:type="dxa"/>
            <w:vAlign w:val="bottom"/>
          </w:tcPr>
          <w:p>
            <w:pPr>
              <w:ind w:left="620"/>
              <w:spacing w:after="0"/>
              <w:rPr>
                <w:sz w:val="20"/>
                <w:szCs w:val="20"/>
                <w:color w:val="auto"/>
              </w:rPr>
            </w:pPr>
            <w:r>
              <w:rPr>
                <w:rFonts w:ascii="Arial" w:cs="Arial" w:eastAsia="Arial" w:hAnsi="Arial"/>
                <w:sz w:val="17"/>
                <w:szCs w:val="17"/>
                <w:color w:val="auto"/>
              </w:rPr>
              <w:t>Property, equipment, and software,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7"/>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454"/>
              <w:spacing w:after="0"/>
              <w:rPr>
                <w:sz w:val="20"/>
                <w:szCs w:val="20"/>
                <w:color w:val="auto"/>
              </w:rPr>
            </w:pPr>
            <w:r>
              <w:rPr>
                <w:rFonts w:ascii="Arial" w:cs="Arial" w:eastAsia="Arial" w:hAnsi="Arial"/>
                <w:sz w:val="17"/>
                <w:szCs w:val="17"/>
                <w:b w:val="1"/>
                <w:bCs w:val="1"/>
                <w:color w:val="auto"/>
              </w:rPr>
              <w:t>June 30,</w:t>
            </w:r>
          </w:p>
        </w:tc>
      </w:tr>
      <w:tr>
        <w:trPr>
          <w:trHeight w:val="230"/>
        </w:trPr>
        <w:tc>
          <w:tcPr>
            <w:tcW w:w="7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 software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48,137</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13,074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13,937</w:t>
            </w: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and networking equipment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6,054</w:t>
            </w:r>
          </w:p>
        </w:tc>
      </w:tr>
      <w:tr>
        <w:trPr>
          <w:trHeight w:val="21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Furniture and fixtures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4,711</w:t>
            </w:r>
          </w:p>
        </w:tc>
      </w:tr>
      <w:tr>
        <w:trPr>
          <w:trHeight w:val="213"/>
        </w:trPr>
        <w:tc>
          <w:tcPr>
            <w:tcW w:w="7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equipment, and software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72,839</w:t>
            </w:r>
          </w:p>
        </w:tc>
      </w:tr>
      <w:tr>
        <w:trPr>
          <w:trHeight w:val="219"/>
        </w:trPr>
        <w:tc>
          <w:tcPr>
            <w:tcW w:w="7780" w:type="dxa"/>
            <w:vAlign w:val="bottom"/>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(25,829)</w:t>
            </w:r>
          </w:p>
        </w:tc>
      </w:tr>
      <w:tr>
        <w:trPr>
          <w:trHeight w:val="245"/>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equipment, and software, net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47,010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Depreciation and amortization expense on property, equipment, and software was $2.3 million and $4.0 million for the three and six months ended June 30, 2022, respectively, and was $4.4 million and $10.9 million for the three and six months ended June 30, 2023, respectively. Capitalized internally developed software balances, net of accumulated amortization, were $27.4 million and $30.7 million as of December 31, 2022 and June 30, 2023, respectively. The Company also recognized impairment charges to internally developed software of $2.6 million during the six months ended June 30, 2023, as a result of the January 2023 Plan. There were no impairment charges during the three months ended June 30, 2023. Refer to “</w:t>
      </w:r>
      <w:r>
        <w:rPr>
          <w:rFonts w:ascii="Arial" w:cs="Arial" w:eastAsia="Arial" w:hAnsi="Arial"/>
          <w:sz w:val="15"/>
          <w:szCs w:val="15"/>
          <w:i w:val="1"/>
          <w:iCs w:val="1"/>
          <w:color w:val="auto"/>
        </w:rPr>
        <w:t>Note 15. Reorganization Expenses</w:t>
      </w:r>
      <w:r>
        <w:rPr>
          <w:rFonts w:ascii="Arial" w:cs="Arial" w:eastAsia="Arial" w:hAnsi="Arial"/>
          <w:sz w:val="15"/>
          <w:szCs w:val="15"/>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Accrued Expenses and Other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38"/>
        </w:trPr>
        <w:tc>
          <w:tcPr>
            <w:tcW w:w="7780" w:type="dxa"/>
            <w:vAlign w:val="bottom"/>
          </w:tcPr>
          <w:p>
            <w:pPr>
              <w:ind w:left="620"/>
              <w:spacing w:after="0"/>
              <w:rPr>
                <w:sz w:val="20"/>
                <w:szCs w:val="20"/>
                <w:color w:val="auto"/>
              </w:rPr>
            </w:pPr>
            <w:r>
              <w:rPr>
                <w:rFonts w:ascii="Arial" w:cs="Arial" w:eastAsia="Arial" w:hAnsi="Arial"/>
                <w:sz w:val="17"/>
                <w:szCs w:val="17"/>
                <w:color w:val="auto"/>
              </w:rPr>
              <w:t>Accrued expenses and other liabilities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7"/>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454"/>
              <w:spacing w:after="0"/>
              <w:rPr>
                <w:sz w:val="20"/>
                <w:szCs w:val="20"/>
                <w:color w:val="auto"/>
              </w:rPr>
            </w:pPr>
            <w:r>
              <w:rPr>
                <w:rFonts w:ascii="Arial" w:cs="Arial" w:eastAsia="Arial" w:hAnsi="Arial"/>
                <w:sz w:val="17"/>
                <w:szCs w:val="17"/>
                <w:b w:val="1"/>
                <w:bCs w:val="1"/>
                <w:color w:val="auto"/>
              </w:rPr>
              <w:t>June 30,</w:t>
            </w:r>
          </w:p>
        </w:tc>
      </w:tr>
      <w:tr>
        <w:trPr>
          <w:trHeight w:val="230"/>
        </w:trPr>
        <w:tc>
          <w:tcPr>
            <w:tcW w:w="7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20,864</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Accrued payroll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21,825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16,470</w:t>
            </w: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liabilities (at fair value)</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2,577</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Trailing fee liability (at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4,265</w:t>
            </w:r>
          </w:p>
        </w:tc>
      </w:tr>
      <w:tr>
        <w:trPr>
          <w:trHeight w:val="21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12,795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3,513</w:t>
            </w:r>
          </w:p>
        </w:tc>
      </w:tr>
      <w:tr>
        <w:trPr>
          <w:trHeight w:val="226"/>
        </w:trPr>
        <w:tc>
          <w:tcPr>
            <w:tcW w:w="7780" w:type="dxa"/>
            <w:vAlign w:val="bottom"/>
          </w:tcPr>
          <w:p>
            <w:pPr>
              <w:ind w:left="20"/>
              <w:spacing w:after="0"/>
              <w:rPr>
                <w:sz w:val="20"/>
                <w:szCs w:val="20"/>
                <w:color w:val="auto"/>
              </w:rPr>
            </w:pPr>
            <w:r>
              <w:rPr>
                <w:rFonts w:ascii="Arial" w:cs="Arial" w:eastAsia="Arial" w:hAnsi="Arial"/>
                <w:sz w:val="17"/>
                <w:szCs w:val="17"/>
                <w:color w:val="auto"/>
              </w:rPr>
              <w:t>Total accrued expenses and other liabilities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66,946</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47,689</w:t>
            </w: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Borrowings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aggregate principal outstanding of all debt mentioned in this note that are included in the condensed consolidated balance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1060"/>
              <w:spacing w:after="0"/>
              <w:rPr>
                <w:sz w:val="20"/>
                <w:szCs w:val="20"/>
                <w:color w:val="auto"/>
              </w:rPr>
            </w:pPr>
            <w:r>
              <w:rPr>
                <w:rFonts w:ascii="Arial" w:cs="Arial" w:eastAsia="Arial" w:hAnsi="Arial"/>
                <w:sz w:val="17"/>
                <w:szCs w:val="17"/>
                <w:b w:val="1"/>
                <w:bCs w:val="1"/>
                <w:color w:val="auto"/>
                <w:w w:val="95"/>
              </w:rPr>
              <w:t>Borrowings</w:t>
            </w:r>
          </w:p>
        </w:tc>
        <w:tc>
          <w:tcPr>
            <w:tcW w:w="1200" w:type="dxa"/>
            <w:vAlign w:val="bottom"/>
            <w:tcBorders>
              <w:bottom w:val="single" w:sz="8" w:color="auto"/>
            </w:tcBorders>
          </w:tcPr>
          <w:p>
            <w:pPr>
              <w:spacing w:after="0"/>
              <w:rPr>
                <w:sz w:val="20"/>
                <w:szCs w:val="20"/>
                <w:color w:val="auto"/>
              </w:rPr>
            </w:pPr>
          </w:p>
        </w:tc>
      </w:tr>
      <w:tr>
        <w:trPr>
          <w:trHeight w:val="214"/>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ind w:left="120"/>
              <w:spacing w:after="0"/>
              <w:rPr>
                <w:sz w:val="20"/>
                <w:szCs w:val="20"/>
                <w:color w:val="auto"/>
              </w:rPr>
            </w:pPr>
            <w:r>
              <w:rPr>
                <w:rFonts w:ascii="Arial" w:cs="Arial" w:eastAsia="Arial" w:hAnsi="Arial"/>
                <w:sz w:val="17"/>
                <w:szCs w:val="17"/>
                <w:b w:val="1"/>
                <w:bCs w:val="1"/>
                <w:color w:val="auto"/>
              </w:rPr>
              <w:t>December 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434"/>
              <w:spacing w:after="0"/>
              <w:rPr>
                <w:sz w:val="20"/>
                <w:szCs w:val="20"/>
                <w:color w:val="auto"/>
              </w:rPr>
            </w:pPr>
            <w:r>
              <w:rPr>
                <w:rFonts w:ascii="Arial" w:cs="Arial" w:eastAsia="Arial" w:hAnsi="Arial"/>
                <w:sz w:val="17"/>
                <w:szCs w:val="17"/>
                <w:b w:val="1"/>
                <w:bCs w:val="1"/>
                <w:color w:val="auto"/>
                <w:w w:val="96"/>
              </w:rPr>
              <w:t>June 30,</w:t>
            </w:r>
          </w:p>
        </w:tc>
      </w:tr>
      <w:tr>
        <w:trPr>
          <w:trHeight w:val="224"/>
        </w:trPr>
        <w:tc>
          <w:tcPr>
            <w:tcW w:w="7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facilities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336,452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279,178</w:t>
            </w:r>
          </w:p>
        </w:tc>
      </w:tr>
      <w:tr>
        <w:trPr>
          <w:trHeight w:val="21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Convertible senior notes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661,250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661,250</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payments due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997,702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940,428</w:t>
            </w:r>
          </w:p>
        </w:tc>
      </w:tr>
      <w:tr>
        <w:trPr>
          <w:trHeight w:val="23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discount</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91"/>
              </w:rPr>
              <w:t>(11,308)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(9,775)</w:t>
            </w: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borrowings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986,394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930,653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Warehouse Credit Facilities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Upstart Loan Trust Warehouse Credit Facility</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November 2015, the Company’s consolidated VIE, ULT, entered into a revolving credit and security agreement with a third-party lender (the “ULT Warehouse Credit Facility”). The credit and security agreement for the ULT Warehouse Credit Facility was amended and restated in its entirety in May 2020 and has been further amended from time to time. Under the revolving credit and security agreement, as amended from time to time, ULT may borrow up to $175.0 million until the earlier of June 15, 2025 and the occurrence of an accelerated amortization event. Accelerated amortization events include, but are not limited to, failure to satisfy certain loan performance metrics or the occurrence of an event of default. The proceeds may only be used to purchase unsecured personal loans and to pay fees and expenses related to the credit facility. The ULT Warehouse Credit Facility matures on the earlier of June 15, 2026 or acceleration of the facility following an event of default, upon which date 100% of the outstanding principal amount, together with any accrued and unpaid interest, becomes due and payable. The ULT Warehouse Credit Facility bears a floating interest rate of Compounded Secured Overnight Financing Rate (“SOFR”) plus a spread ranging from 2.75% to 4.13% per annum, due and payable monthly in arrears. The Company is also subject to a monthly unused fee ranging from 0.15% to 1.00% per annum on the undrawn balance. The maximum advance rate under the ULT Warehouse Credit Facility on outstanding principal of loans held by ULT was 72.5% as of December 31, 2022 and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June 2023, ULT entered into an interest rate cap agreement intended to protect against exposure to changes in cash flows attributable to interest rate risk on the warehouse facility. Refer to “</w:t>
      </w:r>
      <w:r>
        <w:rPr>
          <w:rFonts w:ascii="Arial" w:cs="Arial" w:eastAsia="Arial" w:hAnsi="Arial"/>
          <w:sz w:val="17"/>
          <w:szCs w:val="17"/>
          <w:i w:val="1"/>
          <w:iCs w:val="1"/>
          <w:color w:val="auto"/>
        </w:rPr>
        <w:t>Note 4. Derivative Financial Instruments</w:t>
      </w:r>
      <w:r>
        <w:rPr>
          <w:rFonts w:ascii="Arial" w:cs="Arial" w:eastAsia="Arial" w:hAnsi="Arial"/>
          <w:sz w:val="17"/>
          <w:szCs w:val="17"/>
          <w:color w:val="auto"/>
        </w:rPr>
        <w:t>” for further details related to the agreement.</w:t>
      </w:r>
    </w:p>
    <w:p>
      <w:pPr>
        <w:spacing w:after="0" w:line="19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ULT Warehouse Credit Facility contains certain financial covenants. As of December 31, 2022 and June 30, 2023,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includes the aggregate balances held by ULT that were pledged as collateral for the ULT Warehouse Credit Facility and included in loans at fair value and restricted cash in the condensed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ULT Warehouse Credit Facility</w:t>
            </w:r>
          </w:p>
        </w:tc>
      </w:tr>
      <w:tr>
        <w:trPr>
          <w:trHeight w:val="175"/>
        </w:trPr>
        <w:tc>
          <w:tcPr>
            <w:tcW w:w="7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14"/>
              <w:spacing w:after="0" w:line="175" w:lineRule="exact"/>
              <w:rPr>
                <w:sz w:val="20"/>
                <w:szCs w:val="20"/>
                <w:color w:val="auto"/>
              </w:rPr>
            </w:pPr>
            <w:r>
              <w:rPr>
                <w:rFonts w:ascii="Arial" w:cs="Arial" w:eastAsia="Arial" w:hAnsi="Arial"/>
                <w:sz w:val="17"/>
                <w:szCs w:val="17"/>
                <w:b w:val="1"/>
                <w:bCs w:val="1"/>
                <w:color w:val="auto"/>
              </w:rPr>
              <w:t>June 30,</w:t>
            </w:r>
          </w:p>
        </w:tc>
      </w:tr>
      <w:tr>
        <w:trPr>
          <w:trHeight w:val="224"/>
        </w:trPr>
        <w:tc>
          <w:tcPr>
            <w:tcW w:w="7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2"/>
              </w:rPr>
              <w:t>December 31, 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r>
      <w:tr>
        <w:trPr>
          <w:trHeight w:val="21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borrowings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163,773</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91,479</w:t>
            </w:r>
          </w:p>
        </w:tc>
      </w:tr>
      <w:tr>
        <w:trPr>
          <w:trHeight w:val="238"/>
        </w:trPr>
        <w:tc>
          <w:tcPr>
            <w:tcW w:w="7540" w:type="dxa"/>
            <w:vAlign w:val="bottom"/>
          </w:tcPr>
          <w:p>
            <w:pPr>
              <w:ind w:left="20"/>
              <w:spacing w:after="0"/>
              <w:rPr>
                <w:sz w:val="20"/>
                <w:szCs w:val="20"/>
                <w:color w:val="auto"/>
              </w:rPr>
            </w:pPr>
            <w:r>
              <w:rPr>
                <w:rFonts w:ascii="Arial" w:cs="Arial" w:eastAsia="Arial" w:hAnsi="Arial"/>
                <w:sz w:val="17"/>
                <w:szCs w:val="17"/>
                <w:color w:val="auto"/>
              </w:rPr>
              <w:t>Aggregate outstanding principal of loans pledged as collateral</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228,895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123,381</w:t>
            </w:r>
          </w:p>
        </w:tc>
      </w:tr>
      <w:tr>
        <w:trPr>
          <w:trHeight w:val="25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loans purchased and held by ULT</w:t>
            </w: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126,622</w:t>
            </w:r>
          </w:p>
        </w:tc>
      </w:tr>
      <w:tr>
        <w:trPr>
          <w:trHeight w:val="230"/>
        </w:trPr>
        <w:tc>
          <w:tcPr>
            <w:tcW w:w="7540" w:type="dxa"/>
            <w:vAlign w:val="bottom"/>
          </w:tcPr>
          <w:p>
            <w:pPr>
              <w:ind w:left="20"/>
              <w:spacing w:after="0"/>
              <w:rPr>
                <w:sz w:val="20"/>
                <w:szCs w:val="20"/>
                <w:color w:val="auto"/>
              </w:rPr>
            </w:pPr>
            <w:r>
              <w:rPr>
                <w:rFonts w:ascii="Arial" w:cs="Arial" w:eastAsia="Arial" w:hAnsi="Arial"/>
                <w:sz w:val="17"/>
                <w:szCs w:val="17"/>
                <w:color w:val="auto"/>
              </w:rPr>
              <w:t>Restricted cash pledged as collateral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8,547</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4,904</w:t>
            </w: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Upstart Auto Warehouse Trust Credit Facility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December 2021, the Company’s consolidated VIE, UAWT, entered into a revolving credit and security agreement with a third-party lender (the “UAWT Warehouse Credit Facility”). The credit and security agreement for the UAWT Warehouse Credit Facility was amended and restated in its entirety in August 2022 and has been further amended from time to time.</w:t>
      </w:r>
    </w:p>
    <w:p>
      <w:pPr>
        <w:spacing w:after="0" w:line="20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On January 31, 2023, UAWT entered into the Omnibus Amendment to the Credit Agreement with the existing third-party lender which extended the last date by which UAWT may make a drawdown from its existing $200 million UAWT Warehouse Credit Facility until the earlier of June 2024 or an accelerated amortization event. An accelerated amortization event includes, but is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 Facility matures in June 2025, at which time all outstanding amounts owed must be repaid. As of June 30, 2023 the UAWT Warehouse Credit Facility bears interest per annum at a rate equivalent to the weighted-average cost of commercial paper notes issued by the lender (the “UAWT Benchmark Rate”), plus a spread ranging from 3.0% to 4.0%, and the maximum advance rate under the credit facility on outstanding principal of loans held by UAWT was 82.5% as of December 31, 2022 and 80% as of June 30, 2023. All other key terms of the Omnibus Amendment to the Credit Agreement were the same as those as of December 31, 2022.</w:t>
      </w:r>
    </w:p>
    <w:p>
      <w:pPr>
        <w:spacing w:after="0" w:line="19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In February 2023, UAWT entered into an interest rate cap agreement intended to protect against exposure to changes in cash flows attributable to interest rate risk on the warehouse facility. Refer to “</w:t>
      </w:r>
      <w:r>
        <w:rPr>
          <w:rFonts w:ascii="Arial" w:cs="Arial" w:eastAsia="Arial" w:hAnsi="Arial"/>
          <w:sz w:val="16"/>
          <w:szCs w:val="16"/>
          <w:i w:val="1"/>
          <w:iCs w:val="1"/>
          <w:color w:val="auto"/>
        </w:rPr>
        <w:t>Note 4. Derivative Financial Instruments</w:t>
      </w:r>
      <w:r>
        <w:rPr>
          <w:rFonts w:ascii="Arial" w:cs="Arial" w:eastAsia="Arial" w:hAnsi="Arial"/>
          <w:sz w:val="16"/>
          <w:szCs w:val="16"/>
          <w:color w:val="auto"/>
        </w:rPr>
        <w:t>” for further details related to the agreement.</w:t>
      </w:r>
    </w:p>
    <w:p>
      <w:pPr>
        <w:spacing w:after="0" w:line="16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UAWT Warehouse Credit Facility contains certain financial covenants. As of December 31, 2022 and June 30, 2023, UAWT was in compliance with all applicable covenants under the UAWT Warehouse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Facility. The creditors of UAWT have no recourse to the general credit of the Company, except for certain limited obligations of UAWT to its creditors that are guaranteed by the Company.</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includes the aggregate balances held by UAWT that were pledged as collateral for the UAWT Warehouse Credit Facility and included in loans at fair value and restricted cash in the condensed consolidated balance sheets as of December 31, 2022 and June 30,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7"/>
                <w:szCs w:val="17"/>
                <w:b w:val="1"/>
                <w:bCs w:val="1"/>
                <w:color w:val="auto"/>
              </w:rPr>
              <w:t>UAWT Warehouse Credit Facility</w:t>
            </w:r>
          </w:p>
        </w:tc>
      </w:tr>
      <w:tr>
        <w:trPr>
          <w:trHeight w:val="228"/>
        </w:trPr>
        <w:tc>
          <w:tcPr>
            <w:tcW w:w="6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w w:val="97"/>
              </w:rPr>
              <w:t>December 31, 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June 30, 2023</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borrowings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172,679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187,699</w:t>
            </w:r>
          </w:p>
        </w:tc>
      </w:tr>
      <w:tr>
        <w:trPr>
          <w:trHeight w:val="230"/>
        </w:trPr>
        <w:tc>
          <w:tcPr>
            <w:tcW w:w="6960" w:type="dxa"/>
            <w:vAlign w:val="bottom"/>
          </w:tcPr>
          <w:p>
            <w:pPr>
              <w:ind w:left="20"/>
              <w:spacing w:after="0"/>
              <w:rPr>
                <w:sz w:val="20"/>
                <w:szCs w:val="20"/>
                <w:color w:val="auto"/>
              </w:rPr>
            </w:pPr>
            <w:r>
              <w:rPr>
                <w:rFonts w:ascii="Arial" w:cs="Arial" w:eastAsia="Arial" w:hAnsi="Arial"/>
                <w:sz w:val="17"/>
                <w:szCs w:val="17"/>
                <w:color w:val="auto"/>
              </w:rPr>
              <w:t>Aggregate outstanding principal of loans pledged as collateral</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221,847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272,094</w:t>
            </w:r>
          </w:p>
        </w:tc>
      </w:tr>
      <w:tr>
        <w:trPr>
          <w:trHeight w:val="27"/>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loans purchased and held by UAWT</w:t>
            </w: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268,117</w:t>
            </w:r>
          </w:p>
        </w:tc>
      </w:tr>
      <w:tr>
        <w:trPr>
          <w:trHeight w:val="230"/>
        </w:trPr>
        <w:tc>
          <w:tcPr>
            <w:tcW w:w="6960" w:type="dxa"/>
            <w:vAlign w:val="bottom"/>
          </w:tcPr>
          <w:p>
            <w:pPr>
              <w:ind w:left="20"/>
              <w:spacing w:after="0"/>
              <w:rPr>
                <w:sz w:val="20"/>
                <w:szCs w:val="20"/>
                <w:color w:val="auto"/>
              </w:rPr>
            </w:pPr>
            <w:r>
              <w:rPr>
                <w:rFonts w:ascii="Arial" w:cs="Arial" w:eastAsia="Arial" w:hAnsi="Arial"/>
                <w:sz w:val="17"/>
                <w:szCs w:val="17"/>
                <w:color w:val="auto"/>
              </w:rPr>
              <w:t>Restricted cash pledged as collateral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843</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383</w:t>
            </w: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Holders may convert their Notes at their option any time prior to the close of business on the business day immediately preceding May 15, 2026 only under the following circumstances:</w:t>
      </w:r>
    </w:p>
    <w:p>
      <w:pPr>
        <w:spacing w:after="0" w:line="190" w:lineRule="exact"/>
        <w:rPr>
          <w:sz w:val="20"/>
          <w:szCs w:val="20"/>
          <w:color w:val="auto"/>
        </w:rPr>
      </w:pPr>
    </w:p>
    <w:p>
      <w:pPr>
        <w:jc w:val="both"/>
        <w:ind w:firstLine="622"/>
        <w:spacing w:after="0" w:line="290" w:lineRule="auto"/>
        <w:tabs>
          <w:tab w:leader="none" w:pos="8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83" w:lineRule="exact"/>
        <w:rPr>
          <w:rFonts w:ascii="Arial" w:cs="Arial" w:eastAsia="Arial" w:hAnsi="Arial"/>
          <w:sz w:val="16"/>
          <w:szCs w:val="16"/>
          <w:color w:val="auto"/>
        </w:rPr>
      </w:pPr>
    </w:p>
    <w:p>
      <w:pPr>
        <w:jc w:val="both"/>
        <w:ind w:firstLine="622"/>
        <w:spacing w:after="0" w:line="266" w:lineRule="auto"/>
        <w:tabs>
          <w:tab w:leader="none" w:pos="8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ind w:firstLine="622"/>
        <w:spacing w:after="0" w:line="279" w:lineRule="auto"/>
        <w:tabs>
          <w:tab w:leader="none" w:pos="8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call any or all of the Notes for redemption, at any time prior to the close of business on the second scheduled trading day immediately preceding the redemption date; or</w:t>
      </w:r>
    </w:p>
    <w:p>
      <w:pPr>
        <w:spacing w:after="0" w:line="190" w:lineRule="exact"/>
        <w:rPr>
          <w:rFonts w:ascii="Arial" w:cs="Arial" w:eastAsia="Arial" w:hAnsi="Arial"/>
          <w:sz w:val="17"/>
          <w:szCs w:val="17"/>
          <w:color w:val="auto"/>
        </w:rPr>
      </w:pPr>
    </w:p>
    <w:p>
      <w:pPr>
        <w:ind w:left="860" w:hanging="238"/>
        <w:spacing w:after="0"/>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upon the occurrence of specified corporate events.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19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The Company recorded immaterial coupon interest expense for all periods presented. The Company also recorded $0.8 million and $1.5 million for the three and six months ended June 30, 2022, respectively, and $0.8 million and $1.5 million for the three and six months ended June 30, 2023, respectively, of amortization of debt issuance costs within other income, net on the condensed consolidated statements of operations and comprehensive income (loss). The effective interest rate of the Notes is 0.7%.</w:t>
      </w:r>
    </w:p>
    <w:p>
      <w:pPr>
        <w:spacing w:after="0" w:line="2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estimated fair value of the Notes as of December 31, 2022 and June 30, 2023 was approximately $364.8 million and $444.6 million, respectively, which represent Level 2 valuations in the fair value hierarchy. The estimated fair value was determined based on the estimated or actual bids and offers of the Notes in an over-the-counter market. The carrying value of the Notes of December 31, 2022 and June 30, 2023 was $649.9 million and $651.5 million, respectively.</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Capped Call Transactions</w:t>
      </w:r>
    </w:p>
    <w:p>
      <w:pPr>
        <w:spacing w:after="0" w:line="24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aggregate amount of maturities of all borrowings as of June 30,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28"/>
        </w:trPr>
        <w:tc>
          <w:tcPr>
            <w:tcW w:w="128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86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1280" w:type="dxa"/>
            <w:vAlign w:val="bottom"/>
          </w:tcPr>
          <w:p>
            <w:pPr>
              <w:ind w:left="20"/>
              <w:spacing w:after="0"/>
              <w:rPr>
                <w:sz w:val="20"/>
                <w:szCs w:val="20"/>
                <w:color w:val="auto"/>
              </w:rPr>
            </w:pPr>
            <w:r>
              <w:rPr>
                <w:rFonts w:ascii="Arial" w:cs="Arial" w:eastAsia="Arial" w:hAnsi="Arial"/>
                <w:sz w:val="17"/>
                <w:szCs w:val="17"/>
                <w:color w:val="auto"/>
              </w:rPr>
              <w:t>2024</w:t>
            </w:r>
          </w:p>
        </w:tc>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187,699</w:t>
            </w:r>
          </w:p>
        </w:tc>
      </w:tr>
      <w:tr>
        <w:trPr>
          <w:trHeight w:val="218"/>
        </w:trPr>
        <w:tc>
          <w:tcPr>
            <w:tcW w:w="1280" w:type="dxa"/>
            <w:vAlign w:val="bottom"/>
          </w:tcPr>
          <w:p>
            <w:pPr>
              <w:ind w:left="20"/>
              <w:spacing w:after="0"/>
              <w:rPr>
                <w:sz w:val="20"/>
                <w:szCs w:val="20"/>
                <w:color w:val="auto"/>
              </w:rPr>
            </w:pPr>
            <w:r>
              <w:rPr>
                <w:rFonts w:ascii="Arial" w:cs="Arial" w:eastAsia="Arial" w:hAnsi="Arial"/>
                <w:sz w:val="17"/>
                <w:szCs w:val="17"/>
                <w:color w:val="auto"/>
              </w:rPr>
              <w:t>2026</w:t>
            </w:r>
          </w:p>
        </w:tc>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752,729</w:t>
            </w:r>
          </w:p>
        </w:tc>
      </w:tr>
      <w:tr>
        <w:trPr>
          <w:trHeight w:val="220"/>
        </w:trPr>
        <w:tc>
          <w:tcPr>
            <w:tcW w:w="1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8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1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8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8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940,428</w:t>
            </w:r>
          </w:p>
        </w:tc>
      </w:tr>
      <w:tr>
        <w:trPr>
          <w:trHeight w:val="20"/>
        </w:trPr>
        <w:tc>
          <w:tcPr>
            <w:tcW w:w="12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05"/>
        </w:trPr>
        <w:tc>
          <w:tcPr>
            <w:tcW w:w="1280" w:type="dxa"/>
            <w:vAlign w:val="bottom"/>
          </w:tcPr>
          <w:p>
            <w:pPr>
              <w:ind w:left="980"/>
              <w:spacing w:after="0"/>
              <w:rPr>
                <w:sz w:val="20"/>
                <w:szCs w:val="20"/>
                <w:color w:val="auto"/>
              </w:rPr>
            </w:pPr>
            <w:r>
              <w:rPr>
                <w:rFonts w:ascii="Arial" w:cs="Arial" w:eastAsia="Arial" w:hAnsi="Arial"/>
                <w:sz w:val="17"/>
                <w:szCs w:val="17"/>
                <w:b w:val="1"/>
                <w:bCs w:val="1"/>
                <w:color w:val="auto"/>
              </w:rPr>
              <w:t>10.</w:t>
            </w:r>
          </w:p>
        </w:tc>
        <w:tc>
          <w:tcPr>
            <w:tcW w:w="8620" w:type="dxa"/>
            <w:vAlign w:val="bottom"/>
            <w:gridSpan w:val="2"/>
          </w:tcPr>
          <w:p>
            <w:pPr>
              <w:jc w:val="right"/>
              <w:ind w:right="6914"/>
              <w:spacing w:after="0"/>
              <w:rPr>
                <w:sz w:val="20"/>
                <w:szCs w:val="20"/>
                <w:color w:val="auto"/>
              </w:rPr>
            </w:pPr>
            <w:r>
              <w:rPr>
                <w:rFonts w:ascii="Arial" w:cs="Arial" w:eastAsia="Arial" w:hAnsi="Arial"/>
                <w:sz w:val="17"/>
                <w:szCs w:val="17"/>
                <w:b w:val="1"/>
                <w:bCs w:val="1"/>
                <w:color w:val="auto"/>
                <w:w w:val="94"/>
              </w:rPr>
              <w:t>Stockholders' Equity</w:t>
            </w:r>
          </w:p>
        </w:tc>
        <w:tc>
          <w:tcPr>
            <w:tcW w:w="1340" w:type="dxa"/>
            <w:vAlign w:val="bottom"/>
          </w:tcPr>
          <w:p>
            <w:pPr>
              <w:spacing w:after="0"/>
              <w:rPr>
                <w:sz w:val="24"/>
                <w:szCs w:val="24"/>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Common Stock Reserved for Future Issuance</w:t>
      </w:r>
    </w:p>
    <w:p>
      <w:pPr>
        <w:spacing w:after="0" w:line="2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60" w:type="dxa"/>
            <w:vAlign w:val="bottom"/>
          </w:tcPr>
          <w:p>
            <w:pPr>
              <w:spacing w:after="0"/>
              <w:rPr>
                <w:sz w:val="19"/>
                <w:szCs w:val="19"/>
                <w:color w:val="auto"/>
              </w:rPr>
            </w:pPr>
          </w:p>
        </w:tc>
        <w:tc>
          <w:tcPr>
            <w:tcW w:w="1640" w:type="dxa"/>
            <w:vAlign w:val="bottom"/>
          </w:tcPr>
          <w:p>
            <w:pPr>
              <w:jc w:val="right"/>
              <w:ind w:right="234"/>
              <w:spacing w:after="0"/>
              <w:rPr>
                <w:sz w:val="20"/>
                <w:szCs w:val="20"/>
                <w:color w:val="auto"/>
              </w:rPr>
            </w:pPr>
            <w:r>
              <w:rPr>
                <w:rFonts w:ascii="Arial" w:cs="Arial" w:eastAsia="Arial" w:hAnsi="Arial"/>
                <w:sz w:val="17"/>
                <w:szCs w:val="17"/>
                <w:b w:val="1"/>
                <w:bCs w:val="1"/>
                <w:color w:val="auto"/>
              </w:rPr>
              <w:t>December 31,</w:t>
            </w:r>
          </w:p>
        </w:tc>
        <w:tc>
          <w:tcPr>
            <w:tcW w:w="100" w:type="dxa"/>
            <w:vAlign w:val="bottom"/>
          </w:tcPr>
          <w:p>
            <w:pPr>
              <w:spacing w:after="0"/>
              <w:rPr>
                <w:sz w:val="19"/>
                <w:szCs w:val="19"/>
                <w:color w:val="auto"/>
              </w:rPr>
            </w:pPr>
          </w:p>
        </w:tc>
        <w:tc>
          <w:tcPr>
            <w:tcW w:w="164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30"/>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12,547,010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13,370,041</w:t>
            </w: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Restricted stock units outstanding</w:t>
            </w:r>
          </w:p>
        </w:tc>
        <w:tc>
          <w:tcPr>
            <w:tcW w:w="1640" w:type="dxa"/>
            <w:vAlign w:val="bottom"/>
          </w:tcPr>
          <w:p>
            <w:pPr>
              <w:jc w:val="right"/>
              <w:spacing w:after="0"/>
              <w:rPr>
                <w:sz w:val="20"/>
                <w:szCs w:val="20"/>
                <w:color w:val="auto"/>
              </w:rPr>
            </w:pPr>
            <w:r>
              <w:rPr>
                <w:rFonts w:ascii="Arial" w:cs="Arial" w:eastAsia="Arial" w:hAnsi="Arial"/>
                <w:sz w:val="17"/>
                <w:szCs w:val="17"/>
                <w:color w:val="auto"/>
              </w:rPr>
              <w:t>6,046,796</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7,274,949</w:t>
            </w: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Performance-based restricted stock unit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Shares available for future issuance under 2020 plan</w:t>
            </w:r>
          </w:p>
        </w:tc>
        <w:tc>
          <w:tcPr>
            <w:tcW w:w="1640" w:type="dxa"/>
            <w:vAlign w:val="bottom"/>
          </w:tcPr>
          <w:p>
            <w:pPr>
              <w:jc w:val="right"/>
              <w:spacing w:after="0"/>
              <w:rPr>
                <w:sz w:val="20"/>
                <w:szCs w:val="20"/>
                <w:color w:val="auto"/>
              </w:rPr>
            </w:pPr>
            <w:r>
              <w:rPr>
                <w:rFonts w:ascii="Arial" w:cs="Arial" w:eastAsia="Arial" w:hAnsi="Arial"/>
                <w:sz w:val="17"/>
                <w:szCs w:val="17"/>
                <w:color w:val="auto"/>
              </w:rPr>
              <w:t>5,842,057</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6,298,961</w:t>
            </w:r>
          </w:p>
        </w:tc>
      </w:tr>
      <w:tr>
        <w:trPr>
          <w:trHeight w:val="21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Shares available for issuance under employee stock purchase plan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2,543,089</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3,043,551</w:t>
            </w:r>
          </w:p>
        </w:tc>
      </w:tr>
      <w:tr>
        <w:trPr>
          <w:trHeight w:val="226"/>
        </w:trPr>
        <w:tc>
          <w:tcPr>
            <w:tcW w:w="7860" w:type="dxa"/>
            <w:vAlign w:val="bottom"/>
          </w:tcPr>
          <w:p>
            <w:pPr>
              <w:ind w:left="20"/>
              <w:spacing w:after="0"/>
              <w:rPr>
                <w:sz w:val="20"/>
                <w:szCs w:val="20"/>
                <w:color w:val="auto"/>
              </w:rPr>
            </w:pPr>
            <w:r>
              <w:rPr>
                <w:rFonts w:ascii="Arial" w:cs="Arial" w:eastAsia="Arial" w:hAnsi="Arial"/>
                <w:sz w:val="17"/>
                <w:szCs w:val="17"/>
                <w:color w:val="auto"/>
              </w:rPr>
              <w:t>Total</w:t>
            </w:r>
          </w:p>
        </w:tc>
        <w:tc>
          <w:tcPr>
            <w:tcW w:w="1640" w:type="dxa"/>
            <w:vAlign w:val="bottom"/>
          </w:tcPr>
          <w:p>
            <w:pPr>
              <w:jc w:val="right"/>
              <w:spacing w:after="0"/>
              <w:rPr>
                <w:sz w:val="20"/>
                <w:szCs w:val="20"/>
                <w:color w:val="auto"/>
              </w:rPr>
            </w:pPr>
            <w:r>
              <w:rPr>
                <w:rFonts w:ascii="Arial" w:cs="Arial" w:eastAsia="Arial" w:hAnsi="Arial"/>
                <w:sz w:val="17"/>
                <w:szCs w:val="17"/>
                <w:color w:val="auto"/>
              </w:rPr>
              <w:t>27,666,452</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29,987,502</w:t>
            </w:r>
          </w:p>
        </w:tc>
      </w:tr>
      <w:tr>
        <w:trPr>
          <w:trHeight w:val="20"/>
        </w:trPr>
        <w:tc>
          <w:tcPr>
            <w:tcW w:w="78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six months ended June 30, 2023, the Company made no repurchases of common stock. As of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2023, $222.1 million remains available for future purchases of our common stock under the share repurchase program.</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Company's 2020 Equity Incentive Plan authorizes grants of incentive stock options, non-statutory stock options, stock appreciation rights, restricted stock, restricted stock units, and performance awards to eligible participants.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stock option activity for the six months ended June 30,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1"/>
              </w:rPr>
              <w:t>Weighted-Average</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1"/>
              </w:rPr>
              <w:t>Weighted-Average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restart"/>
          </w:tcPr>
          <w:p>
            <w:pPr>
              <w:jc w:val="center"/>
              <w:ind w:right="134"/>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168"/>
        </w:trPr>
        <w:tc>
          <w:tcPr>
            <w:tcW w:w="4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1"/>
              </w:rPr>
              <w:t>Remaining</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spacing w:after="0" w:line="175" w:lineRule="exact"/>
              <w:rPr>
                <w:sz w:val="20"/>
                <w:szCs w:val="20"/>
                <w:color w:val="auto"/>
              </w:rPr>
            </w:pPr>
            <w:r>
              <w:rPr>
                <w:rFonts w:ascii="Arial" w:cs="Arial" w:eastAsia="Arial" w:hAnsi="Arial"/>
                <w:sz w:val="17"/>
                <w:szCs w:val="17"/>
                <w:b w:val="1"/>
                <w:bCs w:val="1"/>
                <w:color w:val="auto"/>
                <w:w w:val="91"/>
              </w:rPr>
              <w:t>Exercise Price Per</w:t>
            </w:r>
          </w:p>
        </w:tc>
        <w:tc>
          <w:tcPr>
            <w:tcW w:w="120" w:type="dxa"/>
            <w:vAlign w:val="bottom"/>
          </w:tcPr>
          <w:p>
            <w:pPr>
              <w:spacing w:after="0"/>
              <w:rPr>
                <w:sz w:val="15"/>
                <w:szCs w:val="15"/>
                <w:color w:val="auto"/>
              </w:rPr>
            </w:pPr>
          </w:p>
        </w:tc>
        <w:tc>
          <w:tcPr>
            <w:tcW w:w="148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5"/>
              </w:rPr>
              <w:t>Contractual Life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34"/>
              <w:spacing w:after="0" w:line="175" w:lineRule="exact"/>
              <w:rPr>
                <w:sz w:val="20"/>
                <w:szCs w:val="20"/>
                <w:color w:val="auto"/>
              </w:rPr>
            </w:pPr>
            <w:r>
              <w:rPr>
                <w:rFonts w:ascii="Arial" w:cs="Arial" w:eastAsia="Arial" w:hAnsi="Arial"/>
                <w:sz w:val="17"/>
                <w:szCs w:val="17"/>
                <w:b w:val="1"/>
                <w:bCs w:val="1"/>
                <w:color w:val="auto"/>
                <w:w w:val="96"/>
              </w:rPr>
              <w:t>Intrinsic</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Number of Options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93"/>
              </w:rPr>
              <w:t>Share</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(years)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12,547,010</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77,289</w:t>
            </w:r>
          </w:p>
        </w:tc>
        <w:tc>
          <w:tcPr>
            <w:tcW w:w="0" w:type="dxa"/>
            <w:vAlign w:val="bottom"/>
          </w:tcPr>
          <w:p>
            <w:pPr>
              <w:spacing w:after="0"/>
              <w:rPr>
                <w:sz w:val="1"/>
                <w:szCs w:val="1"/>
                <w:color w:val="auto"/>
              </w:rPr>
            </w:pPr>
          </w:p>
        </w:tc>
      </w:tr>
      <w:tr>
        <w:trPr>
          <w:trHeight w:val="211"/>
        </w:trPr>
        <w:tc>
          <w:tcPr>
            <w:tcW w:w="4960" w:type="dxa"/>
            <w:vAlign w:val="bottom"/>
          </w:tcPr>
          <w:p>
            <w:pPr>
              <w:ind w:left="120"/>
              <w:spacing w:after="0"/>
              <w:rPr>
                <w:sz w:val="20"/>
                <w:szCs w:val="20"/>
                <w:color w:val="auto"/>
              </w:rPr>
            </w:pPr>
            <w:r>
              <w:rPr>
                <w:rFonts w:ascii="Arial" w:cs="Arial" w:eastAsia="Arial" w:hAnsi="Arial"/>
                <w:sz w:val="17"/>
                <w:szCs w:val="17"/>
                <w:color w:val="auto"/>
              </w:rPr>
              <w:t>Options 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2,079,808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15.31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(770,693)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Options cancelled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(486,084)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28.73</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June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13,370,041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334,620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Options exercisable – June 30, 2023</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7.89</w:t>
            </w:r>
          </w:p>
        </w:tc>
        <w:tc>
          <w:tcPr>
            <w:tcW w:w="16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247,081</w:t>
            </w:r>
          </w:p>
        </w:tc>
        <w:tc>
          <w:tcPr>
            <w:tcW w:w="0" w:type="dxa"/>
            <w:vAlign w:val="bottom"/>
          </w:tcPr>
          <w:p>
            <w:pPr>
              <w:spacing w:after="0" w:line="20" w:lineRule="exact"/>
              <w:rPr>
                <w:sz w:val="1"/>
                <w:szCs w:val="1"/>
                <w:color w:val="auto"/>
              </w:rPr>
            </w:pPr>
          </w:p>
        </w:tc>
      </w:tr>
      <w:tr>
        <w:trPr>
          <w:trHeight w:val="190"/>
        </w:trPr>
        <w:tc>
          <w:tcPr>
            <w:tcW w:w="4960" w:type="dxa"/>
            <w:vAlign w:val="bottom"/>
            <w:vMerge w:val="continue"/>
          </w:tcPr>
          <w:p>
            <w:pPr>
              <w:spacing w:after="0"/>
              <w:rPr>
                <w:sz w:val="16"/>
                <w:szCs w:val="16"/>
                <w:color w:val="auto"/>
              </w:rPr>
            </w:pPr>
          </w:p>
        </w:tc>
        <w:tc>
          <w:tcPr>
            <w:tcW w:w="1480" w:type="dxa"/>
            <w:vAlign w:val="bottom"/>
          </w:tcPr>
          <w:p>
            <w:pPr>
              <w:jc w:val="right"/>
              <w:spacing w:after="0" w:line="190" w:lineRule="exact"/>
              <w:rPr>
                <w:sz w:val="20"/>
                <w:szCs w:val="20"/>
                <w:color w:val="auto"/>
              </w:rPr>
            </w:pPr>
            <w:r>
              <w:rPr>
                <w:rFonts w:ascii="Arial" w:cs="Arial" w:eastAsia="Arial" w:hAnsi="Arial"/>
                <w:sz w:val="17"/>
                <w:szCs w:val="17"/>
                <w:color w:val="auto"/>
              </w:rPr>
              <w:t>8,384,465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vested and expected to vest –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13,339,096</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334,620</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awards and the fair value of the Company’s stock as of June 30, 2023. The aggregate intrinsic value of options exercised for the six months ended June 30, 2022 and 2023 was $145.7 million and $10.1 million respectively. The weighted-average grant date fair value of options granted during the six months ended June 30, 2022 and 2023 was $59.74 and $8.04 per share, respectively. The total fair value of options vested for the six months ended June 30, 2022 and 2023 was $11.9 million and $18.1 million respectively.</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June 30, 2023, total unrecognized stock-based compensation expense related to unvested stock options was $55.1 million, which is expected to be recognized over a remaining weighted-average period of 2.8 years.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grants restricted stock units (“RSUs”) to employees and nonemployees. RSUs vest upon satisfaction of a service-based condition, which is generally satisfied over one to four years. The following table summarizes RSU activity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2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Number of Shares</w:t>
            </w:r>
          </w:p>
        </w:tc>
        <w:tc>
          <w:tcPr>
            <w:tcW w:w="220" w:type="dxa"/>
            <w:vAlign w:val="bottom"/>
          </w:tcPr>
          <w:p>
            <w:pPr>
              <w:spacing w:after="0"/>
              <w:rPr>
                <w:sz w:val="16"/>
                <w:szCs w:val="16"/>
                <w:color w:val="auto"/>
              </w:rPr>
            </w:pPr>
          </w:p>
        </w:tc>
        <w:tc>
          <w:tcPr>
            <w:tcW w:w="2100" w:type="dxa"/>
            <w:vAlign w:val="bottom"/>
          </w:tcPr>
          <w:p>
            <w:pPr>
              <w:jc w:val="right"/>
              <w:ind w:right="114"/>
              <w:spacing w:after="0"/>
              <w:rPr>
                <w:sz w:val="20"/>
                <w:szCs w:val="20"/>
                <w:color w:val="auto"/>
              </w:rPr>
            </w:pPr>
            <w:r>
              <w:rPr>
                <w:rFonts w:ascii="Arial" w:cs="Arial" w:eastAsia="Arial" w:hAnsi="Arial"/>
                <w:sz w:val="17"/>
                <w:szCs w:val="17"/>
                <w:b w:val="1"/>
                <w:bCs w:val="1"/>
                <w:color w:val="auto"/>
                <w:w w:val="94"/>
              </w:rPr>
              <w:t>Weighted-Average Grant</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19"/>
                <w:szCs w:val="19"/>
                <w:color w:val="auto"/>
              </w:rPr>
            </w:pPr>
          </w:p>
        </w:tc>
        <w:tc>
          <w:tcPr>
            <w:tcW w:w="22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jc w:val="right"/>
              <w:ind w:right="74"/>
              <w:spacing w:after="0"/>
              <w:rPr>
                <w:sz w:val="20"/>
                <w:szCs w:val="20"/>
                <w:color w:val="auto"/>
              </w:rPr>
            </w:pPr>
            <w:r>
              <w:rPr>
                <w:rFonts w:ascii="Arial" w:cs="Arial" w:eastAsia="Arial" w:hAnsi="Arial"/>
                <w:sz w:val="17"/>
                <w:szCs w:val="17"/>
                <w:b w:val="1"/>
                <w:bCs w:val="1"/>
                <w:color w:val="auto"/>
                <w:w w:val="92"/>
              </w:rPr>
              <w:t>Date Fair Value Per Share</w:t>
            </w:r>
          </w:p>
        </w:tc>
        <w:tc>
          <w:tcPr>
            <w:tcW w:w="0" w:type="dxa"/>
            <w:vAlign w:val="bottom"/>
          </w:tcPr>
          <w:p>
            <w:pPr>
              <w:spacing w:after="0"/>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2022</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6,046,796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51.28</w:t>
            </w:r>
          </w:p>
        </w:tc>
        <w:tc>
          <w:tcPr>
            <w:tcW w:w="0" w:type="dxa"/>
            <w:vAlign w:val="bottom"/>
          </w:tcPr>
          <w:p>
            <w:pPr>
              <w:spacing w:after="0"/>
              <w:rPr>
                <w:sz w:val="1"/>
                <w:szCs w:val="1"/>
                <w:color w:val="auto"/>
              </w:rPr>
            </w:pPr>
          </w:p>
        </w:tc>
      </w:tr>
      <w:tr>
        <w:trPr>
          <w:trHeight w:val="218"/>
        </w:trPr>
        <w:tc>
          <w:tcPr>
            <w:tcW w:w="6660" w:type="dxa"/>
            <w:vAlign w:val="bottom"/>
          </w:tcPr>
          <w:p>
            <w:pPr>
              <w:ind w:left="120"/>
              <w:spacing w:after="0"/>
              <w:rPr>
                <w:sz w:val="20"/>
                <w:szCs w:val="20"/>
                <w:color w:val="auto"/>
              </w:rPr>
            </w:pPr>
            <w:r>
              <w:rPr>
                <w:rFonts w:ascii="Arial" w:cs="Arial" w:eastAsia="Arial" w:hAnsi="Arial"/>
                <w:sz w:val="17"/>
                <w:szCs w:val="17"/>
                <w:color w:val="auto"/>
              </w:rPr>
              <w:t>RSUs granted</w:t>
            </w:r>
          </w:p>
        </w:tc>
        <w:tc>
          <w:tcPr>
            <w:tcW w:w="2260" w:type="dxa"/>
            <w:vAlign w:val="bottom"/>
          </w:tcPr>
          <w:p>
            <w:pPr>
              <w:jc w:val="right"/>
              <w:spacing w:after="0"/>
              <w:rPr>
                <w:sz w:val="20"/>
                <w:szCs w:val="20"/>
                <w:color w:val="auto"/>
              </w:rPr>
            </w:pPr>
            <w:r>
              <w:rPr>
                <w:rFonts w:ascii="Arial" w:cs="Arial" w:eastAsia="Arial" w:hAnsi="Arial"/>
                <w:sz w:val="17"/>
                <w:szCs w:val="17"/>
                <w:color w:val="auto"/>
              </w:rPr>
              <w:t>3,658,847</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RSUs vested</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(1,469,356)</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38.96</w:t>
            </w:r>
          </w:p>
        </w:tc>
        <w:tc>
          <w:tcPr>
            <w:tcW w:w="0" w:type="dxa"/>
            <w:vAlign w:val="bottom"/>
          </w:tcPr>
          <w:p>
            <w:pPr>
              <w:spacing w:after="0"/>
              <w:rPr>
                <w:sz w:val="1"/>
                <w:szCs w:val="1"/>
                <w:color w:val="auto"/>
              </w:rPr>
            </w:pPr>
          </w:p>
        </w:tc>
      </w:tr>
      <w:tr>
        <w:trPr>
          <w:trHeight w:val="219"/>
        </w:trPr>
        <w:tc>
          <w:tcPr>
            <w:tcW w:w="6660" w:type="dxa"/>
            <w:vAlign w:val="bottom"/>
          </w:tcPr>
          <w:p>
            <w:pPr>
              <w:ind w:left="120"/>
              <w:spacing w:after="0"/>
              <w:rPr>
                <w:sz w:val="20"/>
                <w:szCs w:val="20"/>
                <w:color w:val="auto"/>
              </w:rPr>
            </w:pPr>
            <w:r>
              <w:rPr>
                <w:rFonts w:ascii="Arial" w:cs="Arial" w:eastAsia="Arial" w:hAnsi="Arial"/>
                <w:sz w:val="17"/>
                <w:szCs w:val="17"/>
                <w:color w:val="auto"/>
              </w:rPr>
              <w:t>RSUs cancelled and forfeited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(961,338)</w:t>
            </w:r>
          </w:p>
        </w:tc>
        <w:tc>
          <w:tcPr>
            <w:tcW w:w="2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68.60</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June 30, 2023</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7,274,949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34.82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June 30, 2023, total unrecognized stock-based compensation expense related to outstanding unvested RSUs was $207.4 million, which is expected to be recognized over a remaining weighted-average period of 2.4 years.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3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the Prodigy Software, Inc. (“Prodigy”) acquisition in April 2021, 82,201 shares of the Company’s restricted common stock (“restricted stock”) with a fair value of $10.1 million were issued to certain Prodigy employees. The restricted stock is subject to transfer restrictions and a repurchase option and is contingent upon the employees' continued employment with the Company. The restricted stock is subject to restrictions which lapse on a quarterly basis over two years from the time of the Prodigy acquisition. As of June 30, 2023, restricted stock was fully lapsed and there was no unrecognized stock-based compensation expense.</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restricted stock activity for the six months ended June 30,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2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Number of Shares</w:t>
            </w:r>
          </w:p>
        </w:tc>
        <w:tc>
          <w:tcPr>
            <w:tcW w:w="220" w:type="dxa"/>
            <w:vAlign w:val="bottom"/>
          </w:tcPr>
          <w:p>
            <w:pPr>
              <w:spacing w:after="0"/>
              <w:rPr>
                <w:sz w:val="16"/>
                <w:szCs w:val="16"/>
                <w:color w:val="auto"/>
              </w:rPr>
            </w:pPr>
          </w:p>
        </w:tc>
        <w:tc>
          <w:tcPr>
            <w:tcW w:w="2100" w:type="dxa"/>
            <w:vAlign w:val="bottom"/>
          </w:tcPr>
          <w:p>
            <w:pPr>
              <w:jc w:val="right"/>
              <w:ind w:right="114"/>
              <w:spacing w:after="0"/>
              <w:rPr>
                <w:sz w:val="20"/>
                <w:szCs w:val="20"/>
                <w:color w:val="auto"/>
              </w:rPr>
            </w:pPr>
            <w:r>
              <w:rPr>
                <w:rFonts w:ascii="Arial" w:cs="Arial" w:eastAsia="Arial" w:hAnsi="Arial"/>
                <w:sz w:val="17"/>
                <w:szCs w:val="17"/>
                <w:b w:val="1"/>
                <w:bCs w:val="1"/>
                <w:color w:val="auto"/>
                <w:w w:val="94"/>
              </w:rPr>
              <w:t>Weighted-Average Grant</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19"/>
                <w:szCs w:val="19"/>
                <w:color w:val="auto"/>
              </w:rPr>
            </w:pPr>
          </w:p>
        </w:tc>
        <w:tc>
          <w:tcPr>
            <w:tcW w:w="22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jc w:val="right"/>
              <w:ind w:right="74"/>
              <w:spacing w:after="0"/>
              <w:rPr>
                <w:sz w:val="20"/>
                <w:szCs w:val="20"/>
                <w:color w:val="auto"/>
              </w:rPr>
            </w:pPr>
            <w:r>
              <w:rPr>
                <w:rFonts w:ascii="Arial" w:cs="Arial" w:eastAsia="Arial" w:hAnsi="Arial"/>
                <w:sz w:val="17"/>
                <w:szCs w:val="17"/>
                <w:b w:val="1"/>
                <w:bCs w:val="1"/>
                <w:color w:val="auto"/>
                <w:w w:val="92"/>
              </w:rPr>
              <w:t>Date Fair Value Per Share</w:t>
            </w:r>
          </w:p>
        </w:tc>
        <w:tc>
          <w:tcPr>
            <w:tcW w:w="0" w:type="dxa"/>
            <w:vAlign w:val="bottom"/>
          </w:tcPr>
          <w:p>
            <w:pPr>
              <w:spacing w:after="0"/>
              <w:rPr>
                <w:sz w:val="1"/>
                <w:szCs w:val="1"/>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2022</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Vested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(10,271)</w:t>
            </w:r>
          </w:p>
        </w:tc>
        <w:tc>
          <w:tcPr>
            <w:tcW w:w="2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3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June 30, 2023</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Performance-based Restricted Stock Units</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On February 24, 2023, the Company’s Compensation Committee of the Board of Directors approved the cancellation of a performance-based restricted stock unit award (“PRSUs”) that may be settled for 687,500 shares of the Company’s common stock granted to an executive in February 2022.</w:t>
      </w:r>
    </w:p>
    <w:p>
      <w:pPr>
        <w:spacing w:after="0" w:line="16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At the time the PRSUs were granted, the PRSUs were intended to be the executive’s primary compensation through calendar year 2029 so that, in connection with the grant of the PRSUs, the executive’s cash compensation was limited to the amount necessary to allow the executive to participate in the broad-based employee benefits generally applicable at the Company. In reaching its decision to cancel the PRSUs, the Compensation Committee extensively considered the purpose of the PRSUs and determined that the grant no longer provided the intended retention and incentive value to the executive. After considering various alternatives and the pros and cons of such alternatives and consulting with its external advisors, the Compensation Committee believed it was in the best interest of the Company and its stockholders to cancel the PRSUs in exchange for the reinstatement of the executive’s cash compensation, including the executive’s annual base salary and eligibility to participate in the Company’s 2023 Executive Bonus Plan with an annual target bonus opportunity equal to 75% of the executive’s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condensed consolidated statements of operations and comprehensive income (loss) for the six months ended June 30, 2023.</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six months ended June 30, 2023, 312,134 shares of common stock were purchased under the ESPP.</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2023, total unrecognized stock-based compensation expense related to the ESPP was immaterial.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Fair Value of Awards Granted</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granted, ESPP purchase rights and PRSUs granted during the period include: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–The fair value of the Company’s common stock is determined by the closing price, on the date of grant, of its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which is traded on the Nasdaq Global Select Market.</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Company’s stock options and ESPP purchase rights are expected to be outstanding. We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expected term based on the simplified method, which is the weighted-average time to vesting and the contractual maturity. The expected term for PRSUs is the simulation term, the time period from the valuation date to the end of the performance measurement period.</w:t>
      </w:r>
    </w:p>
    <w:p>
      <w:pPr>
        <w:spacing w:after="0" w:line="18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i w:val="1"/>
          <w:iCs w:val="1"/>
          <w:color w:val="auto"/>
        </w:rPr>
        <w:t>Volatility</w:t>
      </w:r>
      <w:r>
        <w:rPr>
          <w:rFonts w:ascii="Arial" w:cs="Arial" w:eastAsia="Arial" w:hAnsi="Arial"/>
          <w:sz w:val="16"/>
          <w:szCs w:val="16"/>
          <w:color w:val="auto"/>
        </w:rPr>
        <w:t>–Because the Company has not had an active trading market for its common stock for a sufficient period of time, the expected volatility is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publicly-traded companies, over a period equal to the expected term of the stock option grants.</w:t>
      </w:r>
    </w:p>
    <w:p>
      <w:pPr>
        <w:spacing w:after="0" w:line="16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assumption is based on the U.S. Treasury zero coupon issues in effect at the time of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–The Company has never paid dividends on its common stock and does not anticipate paying dividends on common stock for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Therefore, the Company uses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assumptions were used to estimate the fair value of options granted: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240" w:type="dxa"/>
            <w:vAlign w:val="bottom"/>
          </w:tcPr>
          <w:p>
            <w:pPr>
              <w:spacing w:after="0"/>
              <w:rPr>
                <w:sz w:val="19"/>
                <w:szCs w:val="19"/>
                <w:color w:val="auto"/>
              </w:rPr>
            </w:pPr>
          </w:p>
        </w:tc>
        <w:tc>
          <w:tcPr>
            <w:tcW w:w="3920" w:type="dxa"/>
            <w:vAlign w:val="bottom"/>
            <w:tcBorders>
              <w:bottom w:val="single" w:sz="8" w:color="auto"/>
            </w:tcBorders>
            <w:gridSpan w:val="5"/>
          </w:tcPr>
          <w:p>
            <w:pPr>
              <w:ind w:left="840"/>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Six Months Ended June 30,</w:t>
            </w:r>
          </w:p>
        </w:tc>
      </w:tr>
      <w:tr>
        <w:trPr>
          <w:trHeight w:val="221"/>
        </w:trPr>
        <w:tc>
          <w:tcPr>
            <w:tcW w:w="324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2022</w:t>
            </w:r>
          </w:p>
        </w:tc>
        <w:tc>
          <w:tcPr>
            <w:tcW w:w="8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2023</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7"/>
                <w:szCs w:val="17"/>
                <w:b w:val="1"/>
                <w:bCs w:val="1"/>
                <w:color w:val="auto"/>
              </w:rPr>
              <w:t>2023</w:t>
            </w: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7.0</w:t>
            </w:r>
          </w:p>
        </w:tc>
      </w:tr>
      <w:tr>
        <w:trPr>
          <w:trHeight w:val="218"/>
        </w:trPr>
        <w:tc>
          <w:tcPr>
            <w:tcW w:w="324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880" w:type="dxa"/>
            <w:vAlign w:val="bottom"/>
          </w:tcPr>
          <w:p>
            <w:pPr>
              <w:jc w:val="right"/>
              <w:spacing w:after="0"/>
              <w:rPr>
                <w:sz w:val="20"/>
                <w:szCs w:val="20"/>
                <w:color w:val="auto"/>
              </w:rPr>
            </w:pPr>
            <w:r>
              <w:rPr>
                <w:rFonts w:ascii="Arial" w:cs="Arial" w:eastAsia="Arial" w:hAnsi="Arial"/>
                <w:sz w:val="17"/>
                <w:szCs w:val="17"/>
                <w:color w:val="auto"/>
              </w:rPr>
              <w:t>49.37%</w:t>
            </w:r>
          </w:p>
        </w:tc>
        <w:tc>
          <w:tcPr>
            <w:tcW w:w="1040" w:type="dxa"/>
            <w:vAlign w:val="bottom"/>
          </w:tcPr>
          <w:p>
            <w:pPr>
              <w:ind w:left="20"/>
              <w:spacing w:after="0"/>
              <w:rPr>
                <w:sz w:val="20"/>
                <w:szCs w:val="20"/>
                <w:color w:val="auto"/>
              </w:rPr>
            </w:pPr>
            <w:r>
              <w:rPr>
                <w:rFonts w:ascii="Arial" w:cs="Arial" w:eastAsia="Arial" w:hAnsi="Arial"/>
                <w:sz w:val="17"/>
                <w:szCs w:val="17"/>
                <w:color w:val="auto"/>
              </w:rPr>
              <w:t>– 49.78%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53.13%</w:t>
            </w:r>
          </w:p>
        </w:tc>
        <w:tc>
          <w:tcPr>
            <w:tcW w:w="1020" w:type="dxa"/>
            <w:vAlign w:val="bottom"/>
          </w:tcPr>
          <w:p>
            <w:pPr>
              <w:ind w:left="20"/>
              <w:spacing w:after="0"/>
              <w:rPr>
                <w:sz w:val="20"/>
                <w:szCs w:val="20"/>
                <w:color w:val="auto"/>
              </w:rPr>
            </w:pPr>
            <w:r>
              <w:rPr>
                <w:rFonts w:ascii="Arial" w:cs="Arial" w:eastAsia="Arial" w:hAnsi="Arial"/>
                <w:sz w:val="17"/>
                <w:szCs w:val="17"/>
                <w:color w:val="auto"/>
              </w:rPr>
              <w:t>– 53.26%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47.58%</w:t>
            </w:r>
          </w:p>
        </w:tc>
        <w:tc>
          <w:tcPr>
            <w:tcW w:w="1020" w:type="dxa"/>
            <w:vAlign w:val="bottom"/>
          </w:tcPr>
          <w:p>
            <w:pPr>
              <w:ind w:left="20"/>
              <w:spacing w:after="0"/>
              <w:rPr>
                <w:sz w:val="20"/>
                <w:szCs w:val="20"/>
                <w:color w:val="auto"/>
              </w:rPr>
            </w:pPr>
            <w:r>
              <w:rPr>
                <w:rFonts w:ascii="Arial" w:cs="Arial" w:eastAsia="Arial" w:hAnsi="Arial"/>
                <w:sz w:val="17"/>
                <w:szCs w:val="17"/>
                <w:color w:val="auto"/>
              </w:rPr>
              <w:t>– 49.78%</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50.96%</w:t>
            </w:r>
          </w:p>
        </w:tc>
        <w:tc>
          <w:tcPr>
            <w:tcW w:w="1020" w:type="dxa"/>
            <w:vAlign w:val="bottom"/>
          </w:tcPr>
          <w:p>
            <w:pPr>
              <w:ind w:left="20"/>
              <w:spacing w:after="0"/>
              <w:rPr>
                <w:sz w:val="20"/>
                <w:szCs w:val="20"/>
                <w:color w:val="auto"/>
              </w:rPr>
            </w:pPr>
            <w:r>
              <w:rPr>
                <w:rFonts w:ascii="Arial" w:cs="Arial" w:eastAsia="Arial" w:hAnsi="Arial"/>
                <w:sz w:val="17"/>
                <w:szCs w:val="17"/>
                <w:color w:val="auto"/>
              </w:rPr>
              <w:t>– 53.26%</w:t>
            </w:r>
          </w:p>
        </w:tc>
      </w:tr>
      <w:tr>
        <w:trPr>
          <w:trHeight w:val="233"/>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5"/>
              </w:rPr>
              <w:t>3.34%</w:t>
            </w:r>
          </w:p>
        </w:tc>
        <w:tc>
          <w:tcPr>
            <w:tcW w:w="20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1"/>
              </w:rPr>
              <w:t>3.74%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3.74%</w:t>
            </w:r>
          </w:p>
        </w:tc>
      </w:tr>
      <w:tr>
        <w:trPr>
          <w:trHeight w:val="218"/>
        </w:trPr>
        <w:tc>
          <w:tcPr>
            <w:tcW w:w="32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9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c>
          <w:tcPr>
            <w:tcW w:w="10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c>
          <w:tcPr>
            <w:tcW w:w="10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r>
    </w:tbl>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assumptions were used to estimate the fair value of the February 2022 PRSUs granted: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left="254"/>
              <w:spacing w:after="0"/>
              <w:rPr>
                <w:sz w:val="20"/>
                <w:szCs w:val="20"/>
                <w:color w:val="auto"/>
              </w:rPr>
            </w:pPr>
            <w:r>
              <w:rPr>
                <w:rFonts w:ascii="Arial" w:cs="Arial" w:eastAsia="Arial" w:hAnsi="Arial"/>
                <w:sz w:val="17"/>
                <w:szCs w:val="17"/>
                <w:color w:val="auto"/>
                <w:w w:val="92"/>
              </w:rPr>
              <w:t>6.9</w:t>
            </w:r>
          </w:p>
        </w:tc>
      </w:tr>
      <w:tr>
        <w:trPr>
          <w:trHeight w:val="21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Expected volatility</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60" w:type="dxa"/>
            <w:vAlign w:val="bottom"/>
            <w:gridSpan w:val="2"/>
          </w:tcPr>
          <w:p>
            <w:pPr>
              <w:jc w:val="center"/>
              <w:ind w:left="274"/>
              <w:spacing w:after="0"/>
              <w:rPr>
                <w:sz w:val="20"/>
                <w:szCs w:val="20"/>
                <w:color w:val="auto"/>
              </w:rPr>
            </w:pPr>
            <w:r>
              <w:rPr>
                <w:rFonts w:ascii="Arial" w:cs="Arial" w:eastAsia="Arial" w:hAnsi="Arial"/>
                <w:sz w:val="17"/>
                <w:szCs w:val="17"/>
                <w:color w:val="auto"/>
                <w:w w:val="90"/>
              </w:rPr>
              <w:t>48.43%</w:t>
            </w:r>
          </w:p>
        </w:tc>
      </w:tr>
      <w:tr>
        <w:trPr>
          <w:trHeight w:val="233"/>
        </w:trPr>
        <w:tc>
          <w:tcPr>
            <w:tcW w:w="2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center"/>
              <w:ind w:left="274"/>
              <w:spacing w:after="0"/>
              <w:rPr>
                <w:sz w:val="20"/>
                <w:szCs w:val="20"/>
                <w:color w:val="auto"/>
              </w:rPr>
            </w:pPr>
            <w:r>
              <w:rPr>
                <w:rFonts w:ascii="Arial" w:cs="Arial" w:eastAsia="Arial" w:hAnsi="Arial"/>
                <w:sz w:val="17"/>
                <w:szCs w:val="17"/>
                <w:color w:val="auto"/>
                <w:w w:val="91"/>
              </w:rPr>
              <w:t>1.89%</w:t>
            </w:r>
          </w:p>
        </w:tc>
      </w:tr>
      <w:tr>
        <w:trPr>
          <w:trHeight w:val="21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Dividend yield</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60" w:type="dxa"/>
            <w:vAlign w:val="bottom"/>
            <w:gridSpan w:val="2"/>
          </w:tcPr>
          <w:p>
            <w:pPr>
              <w:jc w:val="center"/>
              <w:ind w:left="274"/>
              <w:spacing w:after="0"/>
              <w:rPr>
                <w:sz w:val="20"/>
                <w:szCs w:val="20"/>
                <w:color w:val="auto"/>
              </w:rPr>
            </w:pPr>
            <w:r>
              <w:rPr>
                <w:rFonts w:ascii="Arial" w:cs="Arial" w:eastAsia="Arial" w:hAnsi="Arial"/>
                <w:sz w:val="17"/>
                <w:szCs w:val="17"/>
                <w:color w:val="auto"/>
                <w:w w:val="97"/>
              </w:rPr>
              <w:t>0%</w:t>
            </w:r>
          </w:p>
        </w:tc>
      </w:tr>
      <w:tr>
        <w:trPr>
          <w:trHeight w:val="529"/>
        </w:trPr>
        <w:tc>
          <w:tcPr>
            <w:tcW w:w="20" w:type="dxa"/>
            <w:vAlign w:val="bottom"/>
          </w:tcPr>
          <w:p>
            <w:pPr>
              <w:spacing w:after="0"/>
              <w:rPr>
                <w:sz w:val="24"/>
                <w:szCs w:val="24"/>
                <w:color w:val="auto"/>
              </w:rPr>
            </w:pPr>
          </w:p>
        </w:tc>
        <w:tc>
          <w:tcPr>
            <w:tcW w:w="6920" w:type="dxa"/>
            <w:vAlign w:val="bottom"/>
            <w:gridSpan w:val="4"/>
          </w:tcPr>
          <w:p>
            <w:pPr>
              <w:ind w:left="600"/>
              <w:spacing w:after="0"/>
              <w:rPr>
                <w:sz w:val="20"/>
                <w:szCs w:val="20"/>
                <w:color w:val="auto"/>
              </w:rPr>
            </w:pPr>
            <w:r>
              <w:rPr>
                <w:rFonts w:ascii="Arial" w:cs="Arial" w:eastAsia="Arial" w:hAnsi="Arial"/>
                <w:sz w:val="17"/>
                <w:szCs w:val="17"/>
                <w:color w:val="auto"/>
                <w:w w:val="94"/>
              </w:rPr>
              <w:t>The following assumptions were used to estimate the fair value of ESPP purchase rights:</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5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160" w:type="dxa"/>
            <w:vAlign w:val="bottom"/>
            <w:tcBorders>
              <w:bottom w:val="single" w:sz="8" w:color="auto"/>
            </w:tcBorders>
            <w:gridSpan w:val="3"/>
          </w:tcPr>
          <w:p>
            <w:pPr>
              <w:ind w:left="960"/>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24"/>
                <w:szCs w:val="24"/>
                <w:color w:val="auto"/>
              </w:rPr>
            </w:pPr>
          </w:p>
        </w:tc>
        <w:tc>
          <w:tcPr>
            <w:tcW w:w="4200" w:type="dxa"/>
            <w:vAlign w:val="bottom"/>
            <w:tcBorders>
              <w:bottom w:val="single" w:sz="8" w:color="auto"/>
            </w:tcBorders>
            <w:gridSpan w:val="3"/>
          </w:tcPr>
          <w:p>
            <w:pPr>
              <w:ind w:left="1080"/>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2022</w:t>
            </w:r>
          </w:p>
        </w:tc>
        <w:tc>
          <w:tcPr>
            <w:tcW w:w="8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2023</w:t>
            </w:r>
          </w:p>
        </w:tc>
        <w:tc>
          <w:tcPr>
            <w:tcW w:w="10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2023</w:t>
            </w:r>
          </w:p>
        </w:tc>
      </w:tr>
      <w:tr>
        <w:trPr>
          <w:trHeight w:val="225"/>
        </w:trPr>
        <w:tc>
          <w:tcPr>
            <w:tcW w:w="2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1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0.5</w:t>
            </w:r>
          </w:p>
        </w:tc>
        <w:tc>
          <w:tcPr>
            <w:tcW w:w="21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0.5</w:t>
            </w:r>
          </w:p>
        </w:tc>
      </w:tr>
      <w:tr>
        <w:trPr>
          <w:trHeight w:val="218"/>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12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2140" w:type="dxa"/>
            <w:vAlign w:val="bottom"/>
            <w:gridSpan w:val="2"/>
          </w:tcPr>
          <w:p>
            <w:pPr>
              <w:jc w:val="center"/>
              <w:ind w:left="14"/>
              <w:spacing w:after="0"/>
              <w:rPr>
                <w:sz w:val="20"/>
                <w:szCs w:val="20"/>
                <w:color w:val="auto"/>
              </w:rPr>
            </w:pPr>
            <w:r>
              <w:rPr>
                <w:rFonts w:ascii="Arial" w:cs="Arial" w:eastAsia="Arial" w:hAnsi="Arial"/>
                <w:sz w:val="17"/>
                <w:szCs w:val="17"/>
                <w:color w:val="auto"/>
                <w:w w:val="90"/>
              </w:rPr>
              <w:t>91.98%</w:t>
            </w:r>
          </w:p>
        </w:tc>
        <w:tc>
          <w:tcPr>
            <w:tcW w:w="2160" w:type="dxa"/>
            <w:vAlign w:val="bottom"/>
            <w:gridSpan w:val="2"/>
          </w:tcPr>
          <w:p>
            <w:pPr>
              <w:jc w:val="center"/>
              <w:ind w:left="14"/>
              <w:spacing w:after="0"/>
              <w:rPr>
                <w:sz w:val="20"/>
                <w:szCs w:val="20"/>
                <w:color w:val="auto"/>
              </w:rPr>
            </w:pPr>
            <w:r>
              <w:rPr>
                <w:rFonts w:ascii="Arial" w:cs="Arial" w:eastAsia="Arial" w:hAnsi="Arial"/>
                <w:sz w:val="17"/>
                <w:szCs w:val="17"/>
                <w:color w:val="auto"/>
                <w:w w:val="93"/>
              </w:rPr>
              <w:t>97.74%</w:t>
            </w:r>
          </w:p>
        </w:tc>
      </w:tr>
      <w:tr>
        <w:trPr>
          <w:trHeight w:val="220"/>
        </w:trPr>
        <w:tc>
          <w:tcPr>
            <w:tcW w:w="2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1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1"/>
              </w:rPr>
              <w:t>0.72%</w:t>
            </w:r>
          </w:p>
        </w:tc>
        <w:tc>
          <w:tcPr>
            <w:tcW w:w="2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4.97%</w:t>
            </w:r>
          </w:p>
        </w:tc>
      </w:tr>
      <w:tr>
        <w:trPr>
          <w:trHeight w:val="218"/>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12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9"/>
              </w:rPr>
              <w:t>—%</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7"/>
                <w:szCs w:val="17"/>
                <w:color w:val="auto"/>
                <w:w w:val="99"/>
              </w:rPr>
              <w:t>—%</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 ESPP purchase rights were granted during the three months ended June 30, 2022 and June 30, 2023.</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 recorded stock-based compensation in the following expense categories in its condensed consolidated statements of operations and comprehensive income (loss) for employees and nonemployees: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200" w:type="dxa"/>
            <w:vAlign w:val="bottom"/>
          </w:tcPr>
          <w:p>
            <w:pPr>
              <w:spacing w:after="0"/>
              <w:rPr>
                <w:sz w:val="19"/>
                <w:szCs w:val="19"/>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660" w:type="dxa"/>
            <w:vAlign w:val="bottom"/>
            <w:tcBorders>
              <w:bottom w:val="single" w:sz="8" w:color="auto"/>
            </w:tcBorders>
          </w:tcPr>
          <w:p>
            <w:pPr>
              <w:spacing w:after="0"/>
              <w:rPr>
                <w:sz w:val="19"/>
                <w:szCs w:val="19"/>
                <w:color w:val="auto"/>
              </w:rPr>
            </w:pPr>
          </w:p>
        </w:tc>
      </w:tr>
      <w:tr>
        <w:trPr>
          <w:trHeight w:val="213"/>
        </w:trPr>
        <w:tc>
          <w:tcPr>
            <w:tcW w:w="4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60" w:type="dxa"/>
            <w:vAlign w:val="bottom"/>
            <w:tcBorders>
              <w:bottom w:val="single" w:sz="8" w:color="auto"/>
            </w:tcBorders>
          </w:tcPr>
          <w:p>
            <w:pPr>
              <w:spacing w:after="0"/>
              <w:rPr>
                <w:sz w:val="18"/>
                <w:szCs w:val="18"/>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w:t>
            </w:r>
          </w:p>
        </w:tc>
        <w:tc>
          <w:tcPr>
            <w:tcW w:w="1220" w:type="dxa"/>
            <w:vAlign w:val="bottom"/>
            <w:gridSpan w:val="2"/>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114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4,862</w:t>
            </w:r>
          </w:p>
        </w:tc>
        <w:tc>
          <w:tcPr>
            <w:tcW w:w="1080" w:type="dxa"/>
            <w:vAlign w:val="bottom"/>
            <w:gridSpan w:val="2"/>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r>
      <w:tr>
        <w:trPr>
          <w:trHeight w:val="218"/>
        </w:trPr>
        <w:tc>
          <w:tcPr>
            <w:tcW w:w="4200" w:type="dxa"/>
            <w:vAlign w:val="bottom"/>
          </w:tcPr>
          <w:p>
            <w:pPr>
              <w:ind w:left="20"/>
              <w:spacing w:after="0"/>
              <w:rPr>
                <w:sz w:val="20"/>
                <w:szCs w:val="20"/>
                <w:color w:val="auto"/>
              </w:rPr>
            </w:pPr>
            <w:r>
              <w:rPr>
                <w:rFonts w:ascii="Arial" w:cs="Arial" w:eastAsia="Arial" w:hAnsi="Arial"/>
                <w:sz w:val="17"/>
                <w:szCs w:val="17"/>
                <w:color w:val="auto"/>
              </w:rPr>
              <w:t>Customer operations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2,085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3,093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3,704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5,976</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18,708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31,528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75,367</w:t>
            </w:r>
          </w:p>
        </w:tc>
      </w:tr>
      <w:tr>
        <w:trPr>
          <w:trHeight w:val="23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administrative, and other</w:t>
            </w: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7,726</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12,300</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15,285</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23,495</w:t>
            </w:r>
          </w:p>
        </w:tc>
      </w:tr>
      <w:tr>
        <w:trPr>
          <w:trHeight w:val="233"/>
        </w:trPr>
        <w:tc>
          <w:tcPr>
            <w:tcW w:w="4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30,329</w:t>
            </w:r>
          </w:p>
        </w:tc>
        <w:tc>
          <w:tcPr>
            <w:tcW w:w="1220" w:type="dxa"/>
            <w:vAlign w:val="bottom"/>
            <w:gridSpan w:val="2"/>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32,596</w:t>
            </w:r>
          </w:p>
        </w:tc>
        <w:tc>
          <w:tcPr>
            <w:tcW w:w="114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55,379</w:t>
            </w:r>
          </w:p>
        </w:tc>
        <w:tc>
          <w:tcPr>
            <w:tcW w:w="1080" w:type="dxa"/>
            <w:vAlign w:val="bottom"/>
            <w:gridSpan w:val="2"/>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106,705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4"/>
          <w:szCs w:val="14"/>
          <w:b w:val="1"/>
          <w:bCs w:val="1"/>
          <w:color w:val="auto"/>
        </w:rPr>
        <w:t>Leases</w:t>
      </w:r>
    </w:p>
    <w:p>
      <w:pPr>
        <w:spacing w:after="0" w:line="23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Company’s operating leases expire between 2027 and 2032 and are primarily for its corporate headquarters in San Mateo, California and Columbus, Ohio, as well as additional office space in Columbus, Ohio</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condensed consolidated balance sheets.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Pr>
          <w:p>
            <w:pPr>
              <w:ind w:left="620"/>
              <w:spacing w:after="0"/>
              <w:rPr>
                <w:sz w:val="20"/>
                <w:szCs w:val="20"/>
                <w:color w:val="auto"/>
              </w:rPr>
            </w:pPr>
            <w:r>
              <w:rPr>
                <w:rFonts w:ascii="Arial" w:cs="Arial" w:eastAsia="Arial" w:hAnsi="Arial"/>
                <w:sz w:val="17"/>
                <w:szCs w:val="17"/>
                <w:color w:val="auto"/>
              </w:rPr>
              <w:t>As of June 30, 2023, future minimum lease payments are as follows: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52"/>
        </w:trPr>
        <w:tc>
          <w:tcPr>
            <w:tcW w:w="9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1"/>
              </w:rPr>
              <w:t>Operating Leases</w:t>
            </w:r>
          </w:p>
        </w:tc>
      </w:tr>
      <w:tr>
        <w:trPr>
          <w:trHeight w:val="226"/>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7,631</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17,054</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17,544</w:t>
            </w:r>
          </w:p>
        </w:tc>
      </w:tr>
      <w:tr>
        <w:trPr>
          <w:trHeight w:val="225"/>
        </w:trPr>
        <w:tc>
          <w:tcPr>
            <w:tcW w:w="9600" w:type="dxa"/>
            <w:vAlign w:val="bottom"/>
          </w:tcPr>
          <w:p>
            <w:pPr>
              <w:ind w:left="2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18,055</w:t>
            </w:r>
          </w:p>
        </w:tc>
      </w:tr>
      <w:tr>
        <w:trPr>
          <w:trHeight w:val="226"/>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17,745</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34,815</w:t>
            </w:r>
          </w:p>
        </w:tc>
      </w:tr>
      <w:tr>
        <w:trPr>
          <w:trHeight w:val="226"/>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lease payments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112,844</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Less: Tenant improvement receivables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(2,337)</w:t>
            </w:r>
          </w:p>
        </w:tc>
      </w:tr>
      <w:tr>
        <w:trPr>
          <w:trHeight w:val="219"/>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Present value adjustment</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(14,268)</w:t>
            </w:r>
          </w:p>
        </w:tc>
      </w:tr>
      <w:tr>
        <w:trPr>
          <w:trHeight w:val="226"/>
        </w:trPr>
        <w:tc>
          <w:tcPr>
            <w:tcW w:w="960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96,239</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did not have any material finance leases in any period presented. The Company’s operating lease expense consists of rent and variable lease payments. Variable lease payments such as common area maintenance and parking fees, were included in operating expenses. Rent expense for the Company’s short-term leases was immaterial for the periods presented. Operating lease expense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Three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19"/>
        </w:trPr>
        <w:tc>
          <w:tcPr>
            <w:tcW w:w="4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 expense</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3,945</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8,047</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Variable lease payments</w:t>
            </w:r>
          </w:p>
        </w:tc>
        <w:tc>
          <w:tcPr>
            <w:tcW w:w="1140" w:type="dxa"/>
            <w:vAlign w:val="bottom"/>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922</w:t>
            </w:r>
          </w:p>
        </w:tc>
        <w:tc>
          <w:tcPr>
            <w:tcW w:w="1260" w:type="dxa"/>
            <w:vAlign w:val="bottom"/>
            <w:gridSpan w:val="2"/>
          </w:tcPr>
          <w:p>
            <w:pPr>
              <w:jc w:val="right"/>
              <w:ind w:right="97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944</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1,788</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1,920</w:t>
            </w:r>
          </w:p>
        </w:tc>
      </w:tr>
    </w:tbl>
    <w:p>
      <w:pPr>
        <w:spacing w:after="0" w:line="3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cash flow and non-cash information related to the Company’s operating leases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280"/>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161"/>
        </w:trPr>
        <w:tc>
          <w:tcPr>
            <w:tcW w:w="436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w w:val="94"/>
              </w:rPr>
              <w:t>Cash paid for amounts included in the measurement of lease</w:t>
            </w:r>
          </w:p>
        </w:tc>
        <w:tc>
          <w:tcPr>
            <w:tcW w:w="36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2,707</w:t>
            </w:r>
          </w:p>
        </w:tc>
        <w:tc>
          <w:tcPr>
            <w:tcW w:w="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3,795</w:t>
            </w: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4,770</w:t>
            </w: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7,460</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36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balance sheet information related to the Company’s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00" w:type="dxa"/>
            <w:vAlign w:val="bottom"/>
          </w:tcPr>
          <w:p>
            <w:pPr>
              <w:spacing w:after="0"/>
              <w:rPr>
                <w:sz w:val="19"/>
                <w:szCs w:val="19"/>
                <w:color w:val="auto"/>
              </w:rPr>
            </w:pPr>
          </w:p>
        </w:tc>
        <w:tc>
          <w:tcPr>
            <w:tcW w:w="1640" w:type="dxa"/>
            <w:vAlign w:val="bottom"/>
          </w:tcPr>
          <w:p>
            <w:pPr>
              <w:ind w:left="520"/>
              <w:spacing w:after="0"/>
              <w:rPr>
                <w:sz w:val="20"/>
                <w:szCs w:val="20"/>
                <w:color w:val="auto"/>
              </w:rPr>
            </w:pPr>
            <w:r>
              <w:rPr>
                <w:rFonts w:ascii="Arial" w:cs="Arial" w:eastAsia="Arial" w:hAnsi="Arial"/>
                <w:sz w:val="17"/>
                <w:szCs w:val="17"/>
                <w:b w:val="1"/>
                <w:bCs w:val="1"/>
                <w:color w:val="auto"/>
              </w:rPr>
              <w:t>June 30,</w:t>
            </w:r>
          </w:p>
        </w:tc>
      </w:tr>
      <w:tr>
        <w:trPr>
          <w:trHeight w:val="230"/>
        </w:trPr>
        <w:tc>
          <w:tcPr>
            <w:tcW w:w="96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2023</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6.87</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640" w:type="dxa"/>
            <w:vAlign w:val="bottom"/>
          </w:tcPr>
          <w:p>
            <w:pPr>
              <w:jc w:val="center"/>
              <w:spacing w:after="0"/>
              <w:rPr>
                <w:sz w:val="20"/>
                <w:szCs w:val="20"/>
                <w:color w:val="auto"/>
              </w:rPr>
            </w:pPr>
            <w:r>
              <w:rPr>
                <w:rFonts w:ascii="Arial" w:cs="Arial" w:eastAsia="Arial" w:hAnsi="Arial"/>
                <w:sz w:val="17"/>
                <w:szCs w:val="17"/>
                <w:color w:val="auto"/>
                <w:w w:val="91"/>
              </w:rPr>
              <w:t>3.86%</w:t>
            </w:r>
          </w:p>
        </w:tc>
      </w:tr>
    </w:tbl>
    <w:p>
      <w:pPr>
        <w:spacing w:after="0" w:line="200" w:lineRule="exact"/>
        <w:rPr>
          <w:sz w:val="20"/>
          <w:szCs w:val="20"/>
          <w:color w:val="auto"/>
        </w:rPr>
      </w:pPr>
    </w:p>
    <w:p>
      <w:pPr>
        <w:spacing w:after="0" w:line="312"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Commitments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2022 and June 30, 2023, the total loan purchase commitment included outstanding principal balance of $17.8 million and $33.2 million, respectively.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Contingencies</w:t>
      </w:r>
    </w:p>
    <w:p>
      <w:pPr>
        <w:spacing w:after="0" w:line="21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described below, the Company does not believe that it is presently a party to any litigation of which the outcome would individually, or taken together, have a material adverse effect on our business, operating results, cash flows, or financial condition. As of December 31, 2022 and June 30, 2023, no loss contingency has been recorded in connection with legal proceedings.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Indemnifications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Repurchases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failure to comply with other contractual terms with the institutional investors, or a violation of the applicable federal, state, or local lending laws.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maximum potential amount of future payments associated under this obligation is the outstanding balances of the loans sold to the institutional investors, which at December 31, 2022 and June 30, 2023 is $15,551.1 million and $13,765.5 million, respectively. Actual payments made relating to the Company’s repurchase and indemnification obligations were immaterial. The Company has recorded contingent liabilities as of December 31, 2022 and June 30, 2023 of immaterial amounts to cover estimated future obligations related to these contractual terms. These amounts are included in accrued expenses and other liabilities on the Company’s condensed consolidated balance sheets.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Legal</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May 13, 2022, a purported class action lawsuit was filed in the United States District Court, Northern District of California, captioned Ward v. Upstart Holdings, Inc., et al., Case No. 5:22-cv-02856-BLF (N.D. Cal.) against the Company, the Company’s Chief Executive Officer, and Chief Financial Officer alleging, among other things, that the defendants made false and/or misleading statements or omissions about the Company’s business, operations, and prospects in violation of Section 10(b) of the Securities Exchange Act of 1934, as amended (the “Exchange Act”) and Rule 10b-5 promulgated thereunder, as well as Section 20(a) of the Exchange Act. The Ward lawsuit claimed unspecified damages and legal fees.</w:t>
      </w:r>
    </w:p>
    <w:p>
      <w:pPr>
        <w:spacing w:after="0" w:line="20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Between May 19, 2022 and June 22, 2022, two additional related purported class action lawsuits were filed in the United States District Court, Northern District of California, captioned Plymouth County Retirement Association v. Upstart Holdings, Inc., et al., Case No. 3:22-cv-02973-WHO (N.D. Cal.) and Zhang v. Upstart Holdings, Inc., et al., Case No. 3:22-cv-03668-JD (N.D. Cal.). On July 7, 2022, a related purported class action lawsuit was filed in the United States District Court, Southern District of Ohio, captioned Handelsbanken Fonder AB v. Upstart Holdings, Inc., et al., Case No. 2:22-cv-02706-SDM-EPD (S.D. Ohio). The Zhang, Plymouth County, and Handelsbanken Fonder actions named the same defendants and made similar allegations to those in the Ward action.</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July 11, 2022, plaintiffs in the Zhang and Plymouth County actions filed notices voluntarily dismissing their lawsuits without prejudice. On July 12, 2022, motions to appoint lead plaintiff and lead counsel were filed in both the Ward action and the Handelsbanken Fonder action. On July 26, 2022, plaintiff in the Ward action filed a notice voluntarily dismissing his lawsuit without prejudice, and on July 27, 2022, plaintiff in the Handelsbanken Fonder action filed a notice voluntarily dismissing its lawsuit without prejudice.</w:t>
      </w:r>
    </w:p>
    <w:p>
      <w:pPr>
        <w:spacing w:after="0" w:line="2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On July 26, 2022, an additional lawsuit was filed in United States District Court, Southern District of Ohio, captioned Crain v. Upstart Holdings, Inc. et al., Case No. 2:22-cv-02935-ALM-EPD (S.D. Ohio) against the Company, the Company’s Chief Executive Officer, and Chief Financial Officer. The Crain lawsuit makes allegations similar to those in the Handelsbanken Fonder action and alleges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defendants filed a motion to dismiss the consolidated amended complaint. Lead plaintiff filed its opposition to the motion to dismiss on April 25, 2023, and defendants filed a reply in support of their motion on May 25, 2023. No hearing date has been set for that motion. The Company believes the claims in the Crain action are without merit and intends to defend itself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July 28, 2022, a derivative lawsuit was filed in United States District Court, Southern District of Ohio, captioned OConnor v. Huber et al., Case No.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2:22-cv-02961-EAS-KAJ (S.D. Ohio). The OConnor action includes allegations similar to those in the Crain complaint, and names as defendants each of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Company’s current board members and its Chief Financial Officer. The Company is named as a nominal defendant. The OConnor action includes claims for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violation of Section 10(b) of the Exchange Act and Rule 10b-5 promulgated thereunder, breach of fiduciary duty, aiding and abetting breach of fiduciary duty,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unjust enrichment, and waste of corporate assets. The OConnor action seeks unspecified monetary damages and an accounting from the individual defendants.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OConnor action also seeks unspecified corporate governance and internal procedure modifications, punitive damages, and legal fees.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On October 7, 2022, a second derivative lawsuit was filed in United States District Court, Southern District of Ohio, captioned Chung v. Huber et al., No.</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2:22-cv-03620-MHW-CMV (S.D. Ohio). The Chung action includes allegations similar to those in the OConnor complaint, and names as defendants each of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Company’s current board members, a former board member, and its Chief Financial Officer. The Company is named as a nominal defendant. The Chung action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includes claims for violation of Section 10(b), 14(a), and 21D of the Exchange Act, breach of fiduciary duties, unjust enrichment, abuse of control, gross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mismanagement, and waste of corporate assets. The Chung action seeks unspecified monetary damages, restitution, and attorney’s fees and costs from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individual defendants. It also seeks corporate governance and internal procedure modifications.</w:t>
      </w:r>
    </w:p>
    <w:p>
      <w:pPr>
        <w:spacing w:after="0" w:line="23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December 12, 2022, in response to a joint motion by the parties, the Court consolidated the OConnor and Chung matters, appointed co-lead counsel, and stayed the consolidated case until resolution of the related Crain securities class action.</w:t>
      </w:r>
    </w:p>
    <w:p>
      <w:pPr>
        <w:spacing w:after="0" w:line="19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Crain securities class action.</w:t>
      </w:r>
    </w:p>
    <w:p>
      <w:pPr>
        <w:spacing w:after="0" w:line="21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Crain securities class action.</w:t>
      </w:r>
    </w:p>
    <w:p>
      <w:pPr>
        <w:spacing w:after="0" w:line="20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April 5, 2023, a fifth derivative lawsuit was filed, in the Court of Chancery of the State of Delaware, captioned Okhai v. Girouard, et al., C.A. No. 2023-0401-SG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relief, restitution, and attorney’s fees and costs from the individual defendants. On August 3, 3023, in response to a motion to stay by the defendants in the Okhai action, the Court stayed the Okhai action until resolution of the motion to dismiss in the related Crain securities class action.</w:t>
      </w:r>
    </w:p>
    <w:p>
      <w:pPr>
        <w:spacing w:after="0" w:line="190" w:lineRule="exact"/>
        <w:rPr>
          <w:sz w:val="20"/>
          <w:szCs w:val="20"/>
          <w:color w:val="auto"/>
        </w:rPr>
      </w:pPr>
    </w:p>
    <w:p>
      <w:pPr>
        <w:ind w:firstLine="619"/>
        <w:spacing w:after="0" w:line="349" w:lineRule="auto"/>
        <w:rPr>
          <w:sz w:val="20"/>
          <w:szCs w:val="20"/>
          <w:color w:val="auto"/>
        </w:rPr>
      </w:pPr>
      <w:r>
        <w:rPr>
          <w:rFonts w:ascii="Arial" w:cs="Arial" w:eastAsia="Arial" w:hAnsi="Arial"/>
          <w:sz w:val="15"/>
          <w:szCs w:val="15"/>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137" w:lineRule="exact"/>
        <w:rPr>
          <w:sz w:val="20"/>
          <w:szCs w:val="20"/>
          <w:color w:val="auto"/>
        </w:rPr>
      </w:pPr>
    </w:p>
    <w:p>
      <w:pPr>
        <w:ind w:left="1360" w:hanging="386"/>
        <w:spacing w:after="0"/>
        <w:tabs>
          <w:tab w:leader="none" w:pos="13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effective tax rates for the three and six months ended June 30, 2022 and 2023,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20" w:type="dxa"/>
            <w:vAlign w:val="bottom"/>
          </w:tcPr>
          <w:p>
            <w:pPr>
              <w:spacing w:after="0"/>
              <w:rPr>
                <w:sz w:val="19"/>
                <w:szCs w:val="19"/>
                <w:color w:val="auto"/>
              </w:rPr>
            </w:pPr>
          </w:p>
        </w:tc>
        <w:tc>
          <w:tcPr>
            <w:tcW w:w="3000" w:type="dxa"/>
            <w:vAlign w:val="bottom"/>
            <w:tcBorders>
              <w:bottom w:val="single" w:sz="8" w:color="auto"/>
            </w:tcBorders>
            <w:gridSpan w:val="4"/>
          </w:tcPr>
          <w:p>
            <w:pPr>
              <w:ind w:left="720"/>
              <w:spacing w:after="0"/>
              <w:rPr>
                <w:sz w:val="20"/>
                <w:szCs w:val="20"/>
                <w:color w:val="auto"/>
              </w:rPr>
            </w:pPr>
            <w:r>
              <w:rPr>
                <w:rFonts w:ascii="Arial" w:cs="Arial" w:eastAsia="Arial" w:hAnsi="Arial"/>
                <w:sz w:val="17"/>
                <w:szCs w:val="17"/>
                <w:b w:val="1"/>
                <w:bCs w:val="1"/>
                <w:color w:val="auto"/>
                <w:w w:val="93"/>
              </w:rPr>
              <w:t>Three Months Ended 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Six Months Ended June 30,</w:t>
            </w:r>
          </w:p>
        </w:tc>
        <w:tc>
          <w:tcPr>
            <w:tcW w:w="620" w:type="dxa"/>
            <w:vAlign w:val="bottom"/>
            <w:tcBorders>
              <w:bottom w:val="single" w:sz="8" w:color="auto"/>
            </w:tcBorders>
          </w:tcPr>
          <w:p>
            <w:pPr>
              <w:spacing w:after="0"/>
              <w:rPr>
                <w:sz w:val="19"/>
                <w:szCs w:val="19"/>
                <w:color w:val="auto"/>
              </w:rPr>
            </w:pPr>
          </w:p>
        </w:tc>
      </w:tr>
      <w:tr>
        <w:trPr>
          <w:trHeight w:val="221"/>
        </w:trPr>
        <w:tc>
          <w:tcPr>
            <w:tcW w:w="40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w:t>
            </w:r>
          </w:p>
        </w:tc>
        <w:tc>
          <w:tcPr>
            <w:tcW w:w="1220" w:type="dxa"/>
            <w:vAlign w:val="bottom"/>
            <w:gridSpan w:val="2"/>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c>
          <w:tcPr>
            <w:tcW w:w="1200" w:type="dxa"/>
            <w:vAlign w:val="bottom"/>
            <w:gridSpan w:val="2"/>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43</w:t>
            </w:r>
          </w:p>
        </w:tc>
        <w:tc>
          <w:tcPr>
            <w:tcW w:w="116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w:t>
            </w:r>
          </w:p>
        </w:tc>
      </w:tr>
      <w:tr>
        <w:trPr>
          <w:trHeight w:val="218"/>
        </w:trPr>
        <w:tc>
          <w:tcPr>
            <w:tcW w:w="40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1.49 %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(0.02)%</w:t>
            </w:r>
          </w:p>
        </w:tc>
      </w:tr>
    </w:tbl>
    <w:p>
      <w:pPr>
        <w:spacing w:after="0" w:line="3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Company's tax provision and the resulting effective tax rate for interim periods are determined based upon its estimated annual effective tax rate adjusted for the effect of discrete items arising during the period. The Company's effective tax rate for the three and six months ended June 30, 2023 remained relatively consistent compared to the same periods in 2022 as the Company continues to maintain a full valuation allowance with residual current year state taxes.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09" w:lineRule="exact"/>
        <w:rPr>
          <w:sz w:val="20"/>
          <w:szCs w:val="20"/>
          <w:color w:val="auto"/>
        </w:rPr>
      </w:pPr>
    </w:p>
    <w:p>
      <w:pPr>
        <w:ind w:left="1360" w:hanging="386"/>
        <w:spacing w:after="0"/>
        <w:tabs>
          <w:tab w:leader="none" w:pos="13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(Loss) Per Share</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Basic net income (loss) per common share is based on the weighted-average common shares outstanding during the relevant period. Diluted net income (loss) per share is based on the weighted-average common shares outstanding during the relevant period adjusted for the dilutive effect of share-based awards and convertible debt.</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For periods in which the Company reports net losses, basic and diluted net loss per share are the same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Three Months Ended June 30,</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9"/>
        </w:trPr>
        <w:tc>
          <w:tcPr>
            <w:tcW w:w="3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05"/>
        </w:trPr>
        <w:tc>
          <w:tcPr>
            <w:tcW w:w="3840" w:type="dxa"/>
            <w:vAlign w:val="bottom"/>
          </w:tcPr>
          <w:p>
            <w:pPr>
              <w:ind w:left="20"/>
              <w:spacing w:after="0"/>
              <w:rPr>
                <w:sz w:val="20"/>
                <w:szCs w:val="20"/>
                <w:color w:val="auto"/>
              </w:rPr>
            </w:pPr>
            <w:r>
              <w:rPr>
                <w:rFonts w:ascii="Arial" w:cs="Arial" w:eastAsia="Arial" w:hAnsi="Arial"/>
                <w:sz w:val="17"/>
                <w:szCs w:val="17"/>
                <w:b w:val="1"/>
                <w:bCs w:val="1"/>
                <w:color w:val="auto"/>
              </w:rPr>
              <w:t>Numerator:</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(157,419)</w:t>
            </w: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8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0"/>
              </w:rPr>
              <w:t>Weighted-average common shares outstanding used to</w:t>
            </w: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83,833,963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83,130,638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84,031,109</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82,524,403</w:t>
            </w:r>
          </w:p>
        </w:tc>
        <w:tc>
          <w:tcPr>
            <w:tcW w:w="0" w:type="dxa"/>
            <w:vAlign w:val="bottom"/>
          </w:tcPr>
          <w:p>
            <w:pPr>
              <w:spacing w:after="0"/>
              <w:rPr>
                <w:sz w:val="1"/>
                <w:szCs w:val="1"/>
                <w:color w:val="auto"/>
              </w:rPr>
            </w:pPr>
          </w:p>
        </w:tc>
      </w:tr>
      <w:tr>
        <w:trPr>
          <w:trHeight w:val="232"/>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calculate net income (loss) per share, basic</w:t>
            </w: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Arial" w:cs="Arial" w:eastAsia="Arial" w:hAnsi="Arial"/>
                <w:sz w:val="17"/>
                <w:szCs w:val="17"/>
                <w:color w:val="auto"/>
              </w:rPr>
              <w:t>Weighted-average effect of dilutive securities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10,477,951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0"/>
              </w:rPr>
              <w:t>Weighted-average common shares outstanding used to</w:t>
            </w: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83,833,963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83,130,638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94,509,060</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82,524,403</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calculate net income (loss) per share, diluted</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Arial" w:cs="Arial" w:eastAsia="Arial" w:hAnsi="Arial"/>
                <w:sz w:val="17"/>
                <w:szCs w:val="17"/>
                <w:color w:val="auto"/>
              </w:rPr>
              <w:t>Net income (loss) per share, diluted</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(0.36)</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(0.34)</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0.03</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securities were excluded from the computation of diluted net income (loss) per share for the periods presented, due to their anti-dilutive effect. These amounts represent the number of instruments outstanding at the end of each respective quarter: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20" w:type="dxa"/>
            <w:vAlign w:val="bottom"/>
          </w:tcPr>
          <w:p>
            <w:pPr>
              <w:spacing w:after="0"/>
              <w:rPr>
                <w:sz w:val="19"/>
                <w:szCs w:val="19"/>
                <w:color w:val="auto"/>
              </w:rPr>
            </w:pPr>
          </w:p>
        </w:tc>
        <w:tc>
          <w:tcPr>
            <w:tcW w:w="376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19"/>
                <w:szCs w:val="19"/>
                <w:color w:val="auto"/>
              </w:rPr>
            </w:pPr>
          </w:p>
        </w:tc>
        <w:tc>
          <w:tcPr>
            <w:tcW w:w="336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020" w:type="dxa"/>
            <w:vAlign w:val="bottom"/>
          </w:tcPr>
          <w:p>
            <w:pPr>
              <w:spacing w:after="0"/>
              <w:rPr>
                <w:sz w:val="18"/>
                <w:szCs w:val="18"/>
                <w:color w:val="auto"/>
              </w:rPr>
            </w:pPr>
          </w:p>
        </w:tc>
        <w:tc>
          <w:tcPr>
            <w:tcW w:w="18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11,138,435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13,370,041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770,852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13,370,041</w:t>
            </w:r>
          </w:p>
        </w:tc>
      </w:tr>
      <w:tr>
        <w:trPr>
          <w:trHeight w:val="225"/>
        </w:trPr>
        <w:tc>
          <w:tcPr>
            <w:tcW w:w="4020" w:type="dxa"/>
            <w:vAlign w:val="bottom"/>
          </w:tcPr>
          <w:p>
            <w:pPr>
              <w:ind w:left="20"/>
              <w:spacing w:after="0"/>
              <w:rPr>
                <w:sz w:val="20"/>
                <w:szCs w:val="20"/>
                <w:color w:val="auto"/>
              </w:rPr>
            </w:pPr>
            <w:r>
              <w:rPr>
                <w:rFonts w:ascii="Arial" w:cs="Arial" w:eastAsia="Arial" w:hAnsi="Arial"/>
                <w:sz w:val="17"/>
                <w:szCs w:val="17"/>
                <w:color w:val="auto"/>
              </w:rPr>
              <w:t>Unvested RSUs</w:t>
            </w:r>
          </w:p>
        </w:tc>
        <w:tc>
          <w:tcPr>
            <w:tcW w:w="1820" w:type="dxa"/>
            <w:vAlign w:val="bottom"/>
          </w:tcPr>
          <w:p>
            <w:pPr>
              <w:jc w:val="right"/>
              <w:spacing w:after="0"/>
              <w:rPr>
                <w:sz w:val="20"/>
                <w:szCs w:val="20"/>
                <w:color w:val="auto"/>
              </w:rPr>
            </w:pPr>
            <w:r>
              <w:rPr>
                <w:rFonts w:ascii="Arial" w:cs="Arial" w:eastAsia="Arial" w:hAnsi="Arial"/>
                <w:sz w:val="17"/>
                <w:szCs w:val="17"/>
                <w:color w:val="auto"/>
              </w:rPr>
              <w:t>2,497,064</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7,274,949</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2,061,568</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7,274,949</w:t>
            </w:r>
          </w:p>
        </w:tc>
      </w:tr>
      <w:tr>
        <w:trPr>
          <w:trHeight w:val="226"/>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PRSUs</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687,500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020" w:type="dxa"/>
            <w:vAlign w:val="bottom"/>
          </w:tcPr>
          <w:p>
            <w:pPr>
              <w:ind w:left="20"/>
              <w:spacing w:after="0"/>
              <w:rPr>
                <w:sz w:val="20"/>
                <w:szCs w:val="20"/>
                <w:color w:val="auto"/>
              </w:rPr>
            </w:pPr>
            <w:r>
              <w:rPr>
                <w:rFonts w:ascii="Arial" w:cs="Arial" w:eastAsia="Arial" w:hAnsi="Arial"/>
                <w:sz w:val="17"/>
                <w:szCs w:val="17"/>
                <w:color w:val="auto"/>
              </w:rPr>
              <w:t>Purchase rights committed under the ESPP</w:t>
            </w:r>
          </w:p>
        </w:tc>
        <w:tc>
          <w:tcPr>
            <w:tcW w:w="1820" w:type="dxa"/>
            <w:vAlign w:val="bottom"/>
          </w:tcPr>
          <w:p>
            <w:pPr>
              <w:jc w:val="right"/>
              <w:spacing w:after="0"/>
              <w:rPr>
                <w:sz w:val="20"/>
                <w:szCs w:val="20"/>
                <w:color w:val="auto"/>
              </w:rPr>
            </w:pPr>
            <w:r>
              <w:rPr>
                <w:rFonts w:ascii="Arial" w:cs="Arial" w:eastAsia="Arial" w:hAnsi="Arial"/>
                <w:sz w:val="17"/>
                <w:szCs w:val="17"/>
                <w:color w:val="auto"/>
              </w:rPr>
              <w:t>216,088</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166,384</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166,384</w:t>
            </w:r>
          </w:p>
        </w:tc>
      </w:tr>
      <w:tr>
        <w:trPr>
          <w:trHeight w:val="21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Convertible debt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r>
      <w:tr>
        <w:trPr>
          <w:trHeight w:val="226"/>
        </w:trPr>
        <w:tc>
          <w:tcPr>
            <w:tcW w:w="4020" w:type="dxa"/>
            <w:vAlign w:val="bottom"/>
          </w:tcPr>
          <w:p>
            <w:pPr>
              <w:ind w:left="120"/>
              <w:spacing w:after="0"/>
              <w:rPr>
                <w:sz w:val="20"/>
                <w:szCs w:val="20"/>
                <w:color w:val="auto"/>
              </w:rPr>
            </w:pPr>
            <w:r>
              <w:rPr>
                <w:rFonts w:ascii="Arial" w:cs="Arial" w:eastAsia="Arial" w:hAnsi="Arial"/>
                <w:sz w:val="17"/>
                <w:szCs w:val="17"/>
                <w:color w:val="auto"/>
              </w:rPr>
              <w:t>Total</w:t>
            </w:r>
          </w:p>
        </w:tc>
        <w:tc>
          <w:tcPr>
            <w:tcW w:w="1820" w:type="dxa"/>
            <w:vAlign w:val="bottom"/>
          </w:tcPr>
          <w:p>
            <w:pPr>
              <w:jc w:val="right"/>
              <w:spacing w:after="0"/>
              <w:rPr>
                <w:sz w:val="20"/>
                <w:szCs w:val="20"/>
                <w:color w:val="auto"/>
              </w:rPr>
            </w:pPr>
            <w:r>
              <w:rPr>
                <w:rFonts w:ascii="Arial" w:cs="Arial" w:eastAsia="Arial" w:hAnsi="Arial"/>
                <w:sz w:val="17"/>
                <w:szCs w:val="17"/>
                <w:color w:val="auto"/>
              </w:rPr>
              <w:t>16,857,165</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23,129,452</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5,837,998</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23,129,452</w:t>
            </w:r>
          </w:p>
        </w:tc>
      </w:tr>
      <w:tr>
        <w:trPr>
          <w:trHeight w:val="20"/>
        </w:trPr>
        <w:tc>
          <w:tcPr>
            <w:tcW w:w="40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940"/>
        <w:spacing w:after="0"/>
        <w:tabs>
          <w:tab w:leader="none" w:pos="130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Reorganization Expenses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0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During the six months ended June 30, 2023, the Company incurred $15.5 million of reorganization expenses in relation to the January 2023 plan, which primarily consisted of severance charges related to employee cash compensation, benefits, and associated taxes. As of June 30, 2023, the Company has made all cash payments to impacted employees.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 for the six months ended June 30, 2023. During the three months ended June 30, 2023, the Company incurred no additional reorganization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69" w:lineRule="exact"/>
        <w:rPr>
          <w:sz w:val="20"/>
          <w:szCs w:val="20"/>
          <w:color w:val="auto"/>
        </w:rPr>
      </w:pPr>
    </w:p>
    <w:p>
      <w:pPr>
        <w:ind w:left="1360" w:hanging="386"/>
        <w:spacing w:after="0"/>
        <w:tabs>
          <w:tab w:leader="none" w:pos="13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has evaluated events that have occurred through the filing date of this Quarterly Report on Form 10-Q. Based on its evaluation, other than any items recorded or disclosed within the condensed consolidated financial statements and related notes, including as discussed below, the Company has determined no subsequent events were required to be recognized or disclosed.</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July 6, 2023, the Company completed a securitization transaction, for which it was the retaining sponsor and the sole collateral contributor. The transaction included $204.7 million of Upstart-powered core personal loans and generated approximately $162.6 million in net cash proceeds. The weighted-average yield of the senior securitization notes issued was approximately 9.4%. The Company has retained 100% of the residual certificates issued as part of the securitization and is the primary beneficiary of the securitization trust. The Company has consolidated the securitization trust into its consolidated financial statements effective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3"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Upstart applies modern data science and technology to the process of underwriting consumer credit. By providing our lending partners with a proprietary AI-based origination platform, we help them originate credit with higher approval rates, lower loss rates and a high degree of automation. As our technology continues to improve and additional lending partners adopt our platform, consumers benefit from improved access to affordable and frictionless credit.</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access to an AI lending marketplace that they can configure as they originate consumer loans under their own brand, according to their own business and regulatory requirements.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Consumers can obtain Upstart-powered loans in one of two ways: either by referral from Upstart.com to one of our lending partners, or directly through our lending partners’ own websites, where our lending technology and experience is bank-branded. Our direct lending partner channel represents a small portion of our overall volume, however we believe this portion has significant long-term potential as we onboard new lending partners.</w:t>
      </w:r>
    </w:p>
    <w:p>
      <w:pPr>
        <w:spacing w:after="0" w:line="184"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lending partners can retain loans that align with their business and risk objectives. For loans that are not retained by our lending partners, we sell to a broad base of institutional investors that invest in Upstart-powered loans. In the six months ended June 30, 2023, 38% of the loans funded through our platform were retained by originating lending partners, 50% of loans were purchased by institutional investors through our loan funding programs and the remaining 12% were funded through our balance sheet. Starting in 2022, we have increased the utilization of our balance sheet to fund and retain loans to fill gaps in investor demand and to aid in price discovery and to hold R&amp;D Loans on our balance sheet for research and development purposes, including to test and evaluate the accuracy of our AI models for these loans. R&amp;D Loans are primarily our auto refinance and auto retail loan products, personal loan products issued to new categories of borrowers, and other new unsecured loan products. R&amp;D Loans are not yet part of our established capital markets programs or other loan funding programs with institutional investors. The remainder of loans on our balance sheet represent core personal loans which Upstart would sell to institutional investors.</w:t>
      </w:r>
    </w:p>
    <w:p>
      <w:pPr>
        <w:spacing w:after="0" w:line="18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Further, in order to address recent funding constraints for our personal loans, Upstart has utilized its balance sheet to support short-term funding requirements of loans that would otherwise be purchased and held by institutional investors or securitized. In the second quarter of 2023, we also secured multiple committed capital arrangements with institutional investors, which are expected to deliver a significant amount of loan funding to the Upstart marketplace for the rest of this year and the beginning of next year. Our long-term plan is to bring more committed capital from third parties to our marketplace. In the meantime, we expect to continue contributing our own capital towards funding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Economic Model</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 loan originations by our lending partners using our platform and referral services result in a referral of a borrower obtaining a loan from our lending partners. These fees are combined for accounting purposes as they represent a single performance obligation. We do not charge the borrowers on our platform any referral, platform or other similar fees for our loan matching services.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also charge the holder of the loan (either a lending partner or institutional investor) a servicing fee based on the outstanding principal over the lifetime of the loan for ongoing servicing of the loan. In addition, we earn a smaller portion of our revenue from interest income for loans held on our balance sheet and gain or (loss) generated through our capital markets programs.</w:t>
      </w:r>
    </w:p>
    <w:p>
      <w:pPr>
        <w:spacing w:after="0" w:line="20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Factors Affecting Our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Improvements to Our AI Models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While the credit performance of Upstart-powered loans can be impacted by a variety of macroeconomic and other factors, we consider credit performance to be one of the most important measures of the effectiveness of our AI models. We focus on credit performance compared to the expectations set by us at the time of origination. Since 2018 through the third quarter of 2021, all quarterly vintages of loans retained by our lending partners to date are currently forecasted to meet or exceed the target returns set at the time of loan origination. For loans purchased by institutional investors, all vintages from 2018 through 2020 are forecasted to deliver returns at or in excess of the targets such institutional investors were expecting to receive, while our 2021 through mid-2022 vintages have underperformed relative to target returns. Our most recent vintages show performance reconverging to target yields. This was driven by a combination of underlying macro effects stabilizing (as seen in the Upstart Macroeconomic Index (UMI)) and increased conservatism in underwriting.</w:t>
      </w:r>
    </w:p>
    <w:p>
      <w:pPr>
        <w:spacing w:after="0" w:line="19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that ongoing improvements to our technology in this manner will allow us to further expand access and lower rates for creditworthy borrowers, which will continue to fuel our growth. Should the pace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improvements slow down or cease, or should we discover forms of model upgrades which improve accuracy at the expense of volume, our growth rates could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Macroeconomic Environment</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04"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Loan funding provided by institutional investors started to become constrained in the second quarter of 2022 and has remained constrained, largely due to concerns about the macroeconomic environment. In response to inflationary pressure, the U.S. Federal Reserve has raised, and may continue to raise, interest rates, leading to more expensive loan offers across borrower categories. At the same time, macroeconomic uncertainty had generally made institutional investors more cautious and caused them to reduce the amount of capital available to fund Upstart-powered loans. While the Transaction Volume, Dollars decreased 72% in the three months ended June 30, 2023 compared to the same period in 2022, Transaction Volume, Dollars increased 18% sequentially from the first quarter of 2023 driven by the incremental funding supplied by the committed capital arrangements we entered into during the second quarter of 2023.</w:t>
      </w:r>
    </w:p>
    <w:p>
      <w:pPr>
        <w:spacing w:after="0" w:line="1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In response to this challenging macroeconomic environment where many lenders and credit investors have significantly reduced or paused investments in Upstart-powered loans, we announced reductions in workforce in November 2022 (“November 2022 Plan”) and January 2023 (“January 2023 Plan”) that resulted in the termination of approximately 7% and 20% of our workforce, respectively. These steps were designed to reduce operating costs, streamline operations and return Upstart to profitability. As of June 30, 2023, we have completed both the November 2022 Plan and January 2023 Plan. Refer to </w:t>
      </w:r>
      <w:r>
        <w:rPr>
          <w:rFonts w:ascii="Arial" w:cs="Arial" w:eastAsia="Arial" w:hAnsi="Arial"/>
          <w:sz w:val="17"/>
          <w:szCs w:val="17"/>
          <w:i w:val="1"/>
          <w:iCs w:val="1"/>
          <w:color w:val="auto"/>
        </w:rPr>
        <w:t>“Note 15. Reorganization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Expenses” </w:t>
      </w:r>
      <w:r>
        <w:rPr>
          <w:rFonts w:ascii="Arial" w:cs="Arial" w:eastAsia="Arial" w:hAnsi="Arial"/>
          <w:sz w:val="17"/>
          <w:szCs w:val="17"/>
          <w:color w:val="auto"/>
        </w:rPr>
        <w:t>for more information.</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 several of our lending partners have paused or reduced loan originations in order to limit their exposure in the current macroeconomic environment. Further disruption in financial markets could impair our lending partners and result in further constrained funding, which would adversely impact our business, financial condition and operating results. In order to create greater stability for our business, in the second quarter of 2023, we signed our first committed funding partner and we are planning to secure more committed capital from lending partners and institutional investors that will contribute loan funding over longer durations. In the interim period, we have utilized and may in the future utilize our balance sheet to support loan funding. While our goal remains to operate as a capital-light marketplace for credit, we will continue to leverage our balance sheet in the short term as we evaluate opportunities to implement a committed capital structure.</w:t>
      </w:r>
    </w:p>
    <w:p>
      <w:pPr>
        <w:spacing w:after="0" w:line="21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In addition, the COVID-19 pandemic and resulting government assistance programs had a significant impact on the U.S. economy and markets in which we operate. Starting in the second half of March 2020, the COVID-19 pandemic impacted origination volumes on our platform. The rapid rise in unemployment in the United States led to a reduction in originations by lending partners and a temporary pause in loan funding from institutional investors and capital markets. The level of government assistance that was made available to consumers starting in the second quarter of 2020 was unprecedented, driving significant reduction in loan default rates and resulting in strong credit performance of Upstart-powered loans from the second quarter of 2020 through the third quarter of 2021. Since then, most government assistance programs have expired, which has led to the credit risk of borrowers who benefited from these government assistance programs surpassing pre-pandemic levels and led to borrower default rates above historical norms.</w:t>
      </w:r>
    </w:p>
    <w:p>
      <w:pPr>
        <w:spacing w:after="0" w:line="19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We measure the performance of our loans primarily by comparing actual loan defaults to defaults projected by our AI models upon loan origination. Projected performance is a critical component of our loan pricing, and the accuracy of loan default projections is determined by how close the actual return will be to the level expected by our lending partners and institutional investors. The expiration of the government assistance programs had the greatest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impact on higher risk borrowers, resulting in a greater increase in default rates for these groups as compared to other less risky borrowers.</w:t>
      </w:r>
    </w:p>
    <w:p>
      <w:pPr>
        <w:spacing w:after="0" w:line="24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We have adjusted our AI models by incorporating different types of economic data, such as unemployment levels and inflation rates, that we receive from third party sources. These adjustments impact interest rates for loans offered on our platform and, as a result, affect borrower acceptance rates of these loans. Recently, this resulted in higher interest rates for the loans being offered through our platform and lower borrower acceptance rates of such loans. But while these economic data help our AI models take into account the current macroeconomic environment, we focus on the ability of our AI models to separate high and low risk borrowers which demonstrates the resilience in the performance of our AI models and Upstart-powered loans during downward shifts in economic cycles relative to general consumer credit. If we do it successfully, it could strengthen our competitive positioning when we emerge from such downturns.</w:t>
      </w:r>
    </w:p>
    <w:p>
      <w:pPr>
        <w:spacing w:after="0" w:line="1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order to respond to macroeconomic changes and provide relevant and up-to-date information to our lending partners, we introduced a new metric, the Upstart Macroeconomic Index (UMI). UMI is designed to quantify the level of underlying macroeconomic risk, specific to our borrower base, relative to a benign (pre-2020) credit environment. A UMI of 1.0 reflects loan losses at this baseline rate. As of June 30, 2023, the index was measured at approximately 1.68, meaning that current macroeconomic conditions contributed an incremental risk of approximately 68% to the repayment performance of an Upstart-powered loan, compared to the pre-2020 baseline.</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continuously monitor the direct and indirect impacts of the current macroeconomic conditions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Lending Partner and Market Adoption</w:t>
      </w:r>
    </w:p>
    <w:p>
      <w:pPr>
        <w:spacing w:after="0" w:line="23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Lending partners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196"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7"/>
          <w:szCs w:val="17"/>
          <w:color w:val="auto"/>
        </w:rPr>
        <w:t>We believe that the recent bank failures in 2023 and disruption in the banking sector may limit our ability to attract new lending partners and may cause existing lending partners to reduce loan originations on our platform. In order to address recent funding constraints for our personal loans, Upstart has utilized its balance sheet to support short-term funding requirements of loans that would otherwise be purchased and held by institutional investors or securitized. In the second quarter of 2023, we also secured multiple committed capital arrangements with institutional investors, which are expected to deliver a significant amount of loan funding to the Upstart marketplace for the rest of this year and the beginning of next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Expansion and Innovation</w:t>
      </w:r>
    </w:p>
    <w:p>
      <w:pPr>
        <w:spacing w:after="0" w:line="24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We believe that significant growth opportunities exist to apply our evolving AI technology to additional segments of credit, and we continue to invest in research and development of our products. In the second quarter of 2022, we introduced a new offering of personal loans for borrowers interested in small dollar loans.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17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 the third quarter of 2020, we announced our entry into the auto lending market and in April 2021, we acquired Prodigy Software, Inc. or Prodigy, a leader in automotive commerce software solutions. Prodigy provided a modern multi-channel car buying experience, helping dealerships serve consumers with a holistic software solution that integrates legacy systems. The acquisition enabled the launch of Upstart Auto Retail software, a cloud-based solution that enables dealerships across the country, where the vast majority of auto loans are transacted, to provide consumers with access to Upstart-powered auto loans.</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part of the January 2023 Plan, we suspended development work for small business loans to focus our resources on acceleration of further development of our personal loan and auto loan products.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Operating and Non-GAAP Financial Metrics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focus on several key operating and Non-GAAP financial metrics to measure the performance of our business and help determine strategic direction.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our key operating and financial metrics: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 June 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Six Months Ended June 30,</w:t>
            </w:r>
          </w:p>
        </w:tc>
      </w:tr>
      <w:tr>
        <w:trPr>
          <w:trHeight w:val="224"/>
        </w:trPr>
        <w:tc>
          <w:tcPr>
            <w:tcW w:w="39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2023</w:t>
            </w:r>
          </w:p>
        </w:tc>
      </w:tr>
      <w:tr>
        <w:trPr>
          <w:trHeight w:val="27"/>
        </w:trPr>
        <w:tc>
          <w:tcPr>
            <w:tcW w:w="3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Volume, Dollars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3,276,378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1,175,737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7,811,723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2,173,184</w:t>
            </w:r>
          </w:p>
        </w:tc>
      </w:tr>
      <w:tr>
        <w:trPr>
          <w:trHeight w:val="219"/>
        </w:trPr>
        <w:tc>
          <w:tcPr>
            <w:tcW w:w="3940" w:type="dxa"/>
            <w:vAlign w:val="bottom"/>
          </w:tcPr>
          <w:p>
            <w:pPr>
              <w:ind w:left="20"/>
              <w:spacing w:after="0" w:line="219" w:lineRule="exact"/>
              <w:rPr>
                <w:sz w:val="20"/>
                <w:szCs w:val="20"/>
                <w:color w:val="auto"/>
              </w:rPr>
            </w:pPr>
            <w:r>
              <w:rPr>
                <w:rFonts w:ascii="Arial" w:cs="Arial" w:eastAsia="Arial" w:hAnsi="Arial"/>
                <w:sz w:val="17"/>
                <w:szCs w:val="17"/>
                <w:color w:val="auto"/>
              </w:rPr>
              <w:t>Transaction Volume, Number of Loans</w:t>
            </w:r>
            <w:r>
              <w:rPr>
                <w:rFonts w:ascii="Arial" w:cs="Arial" w:eastAsia="Arial" w:hAnsi="Arial"/>
                <w:sz w:val="22"/>
                <w:szCs w:val="22"/>
                <w:color w:val="auto"/>
                <w:vertAlign w:val="superscript"/>
              </w:rPr>
              <w:t>(1)</w:t>
            </w:r>
          </w:p>
        </w:tc>
        <w:tc>
          <w:tcPr>
            <w:tcW w:w="4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321,138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109,447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786,675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193,531</w:t>
            </w: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Conversion Rate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8.8%</w:t>
            </w:r>
          </w:p>
        </w:tc>
      </w:tr>
      <w:tr>
        <w:trPr>
          <w:trHeight w:val="225"/>
        </w:trPr>
        <w:tc>
          <w:tcPr>
            <w:tcW w:w="3940" w:type="dxa"/>
            <w:vAlign w:val="bottom"/>
          </w:tcPr>
          <w:p>
            <w:pPr>
              <w:ind w:left="20"/>
              <w:spacing w:after="0"/>
              <w:rPr>
                <w:sz w:val="20"/>
                <w:szCs w:val="20"/>
                <w:color w:val="auto"/>
              </w:rPr>
            </w:pPr>
            <w:r>
              <w:rPr>
                <w:rFonts w:ascii="Arial" w:cs="Arial" w:eastAsia="Arial" w:hAnsi="Arial"/>
                <w:sz w:val="17"/>
                <w:szCs w:val="17"/>
                <w:color w:val="auto"/>
              </w:rPr>
              <w:t>Percentage of Loans Fully Automated</w:t>
            </w:r>
          </w:p>
        </w:tc>
        <w:tc>
          <w:tcPr>
            <w:tcW w:w="4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86%</w:t>
            </w:r>
          </w:p>
        </w:tc>
      </w:tr>
      <w:tr>
        <w:trPr>
          <w:trHeight w:val="214"/>
        </w:trPr>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9"/>
        </w:trPr>
        <w:tc>
          <w:tcPr>
            <w:tcW w:w="3940" w:type="dxa"/>
            <w:vAlign w:val="bottom"/>
          </w:tcPr>
          <w:p>
            <w:pPr>
              <w:ind w:left="20"/>
              <w:spacing w:after="0" w:line="219" w:lineRule="exact"/>
              <w:rPr>
                <w:sz w:val="20"/>
                <w:szCs w:val="20"/>
                <w:color w:val="auto"/>
              </w:rPr>
            </w:pPr>
            <w:r>
              <w:rPr>
                <w:rFonts w:ascii="Arial" w:cs="Arial" w:eastAsia="Arial" w:hAnsi="Arial"/>
                <w:sz w:val="17"/>
                <w:szCs w:val="17"/>
                <w:color w:val="auto"/>
              </w:rPr>
              <w:t>Contribution Profit</w:t>
            </w:r>
            <w:r>
              <w:rPr>
                <w:rFonts w:ascii="Arial" w:cs="Arial" w:eastAsia="Arial" w:hAnsi="Arial"/>
                <w:sz w:val="22"/>
                <w:szCs w:val="22"/>
                <w:color w:val="auto"/>
                <w:vertAlign w:val="superscript"/>
              </w:rPr>
              <w:t>(2)</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120,929</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95,922</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268,770</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163,545</w:t>
            </w:r>
          </w:p>
        </w:tc>
      </w:tr>
      <w:tr>
        <w:trPr>
          <w:trHeight w:val="219"/>
        </w:trPr>
        <w:tc>
          <w:tcPr>
            <w:tcW w:w="394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i w:val="1"/>
                <w:iCs w:val="1"/>
                <w:color w:val="auto"/>
              </w:rPr>
              <w:t>Contribution Margin</w:t>
            </w:r>
            <w:r>
              <w:rPr>
                <w:rFonts w:ascii="Arial" w:cs="Arial" w:eastAsia="Arial" w:hAnsi="Arial"/>
                <w:sz w:val="22"/>
                <w:szCs w:val="22"/>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63%</w:t>
            </w:r>
          </w:p>
        </w:tc>
      </w:tr>
      <w:tr>
        <w:trPr>
          <w:trHeight w:val="232"/>
        </w:trPr>
        <w:tc>
          <w:tcPr>
            <w:tcW w:w="3940" w:type="dxa"/>
            <w:vAlign w:val="bottom"/>
          </w:tcPr>
          <w:p>
            <w:pPr>
              <w:spacing w:after="0" w:line="232"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(2)</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5,513</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10,973</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68,103</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(20,088)</w:t>
            </w:r>
          </w:p>
        </w:tc>
      </w:tr>
      <w:tr>
        <w:trPr>
          <w:trHeight w:val="219"/>
        </w:trPr>
        <w:tc>
          <w:tcPr>
            <w:tcW w:w="3940" w:type="dxa"/>
            <w:vAlign w:val="bottom"/>
            <w:shd w:val="clear" w:color="auto" w:fill="CCEEFF"/>
          </w:tcPr>
          <w:p>
            <w:pPr>
              <w:ind w:left="180"/>
              <w:spacing w:after="0" w:line="219" w:lineRule="exact"/>
              <w:rPr>
                <w:sz w:val="20"/>
                <w:szCs w:val="20"/>
                <w:color w:val="auto"/>
              </w:rPr>
            </w:pPr>
            <w:r>
              <w:rPr>
                <w:rFonts w:ascii="Arial" w:cs="Arial" w:eastAsia="Arial" w:hAnsi="Arial"/>
                <w:sz w:val="17"/>
                <w:szCs w:val="17"/>
                <w:i w:val="1"/>
                <w:iCs w:val="1"/>
                <w:color w:val="auto"/>
              </w:rPr>
              <w:t>Adjusted EBITDA Margin</w:t>
            </w:r>
            <w:r>
              <w:rPr>
                <w:rFonts w:ascii="Arial" w:cs="Arial" w:eastAsia="Arial" w:hAnsi="Arial"/>
                <w:sz w:val="22"/>
                <w:szCs w:val="22"/>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w:t>
            </w:r>
          </w:p>
        </w:tc>
      </w:tr>
      <w:tr>
        <w:trPr>
          <w:trHeight w:val="219"/>
        </w:trPr>
        <w:tc>
          <w:tcPr>
            <w:tcW w:w="3940" w:type="dxa"/>
            <w:vAlign w:val="bottom"/>
          </w:tcPr>
          <w:p>
            <w:pPr>
              <w:ind w:left="20"/>
              <w:spacing w:after="0" w:line="219"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2"/>
                <w:szCs w:val="22"/>
                <w:color w:val="auto"/>
                <w:vertAlign w:val="superscript"/>
              </w:rPr>
              <w:t>(2)</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965</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5,354</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59,586</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(33,338)</w:t>
            </w: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(Loss) Per Share:</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9"/>
        </w:trPr>
        <w:tc>
          <w:tcPr>
            <w:tcW w:w="3940" w:type="dxa"/>
            <w:vAlign w:val="bottom"/>
          </w:tcPr>
          <w:p>
            <w:pPr>
              <w:ind w:left="220"/>
              <w:spacing w:after="0" w:line="219" w:lineRule="exact"/>
              <w:rPr>
                <w:sz w:val="20"/>
                <w:szCs w:val="20"/>
                <w:color w:val="auto"/>
              </w:rPr>
            </w:pPr>
            <w:r>
              <w:rPr>
                <w:rFonts w:ascii="Arial" w:cs="Arial" w:eastAsia="Arial" w:hAnsi="Arial"/>
                <w:sz w:val="17"/>
                <w:szCs w:val="17"/>
                <w:color w:val="auto"/>
              </w:rPr>
              <w:t>Basic</w:t>
            </w:r>
            <w:r>
              <w:rPr>
                <w:rFonts w:ascii="Arial" w:cs="Arial" w:eastAsia="Arial" w:hAnsi="Arial"/>
                <w:sz w:val="22"/>
                <w:szCs w:val="22"/>
                <w:color w:val="auto"/>
                <w:vertAlign w:val="superscript"/>
              </w:rPr>
              <w:t>(2)</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0.01</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0.06</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0.71</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(0.40)</w:t>
            </w:r>
          </w:p>
        </w:tc>
      </w:tr>
      <w:tr>
        <w:trPr>
          <w:trHeight w:val="219"/>
        </w:trPr>
        <w:tc>
          <w:tcPr>
            <w:tcW w:w="394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Diluted</w:t>
            </w:r>
            <w:r>
              <w:rPr>
                <w:rFonts w:ascii="Arial" w:cs="Arial" w:eastAsia="Arial" w:hAnsi="Arial"/>
                <w:sz w:val="22"/>
                <w:szCs w:val="22"/>
                <w:color w:val="auto"/>
                <w:vertAlign w:val="superscript"/>
              </w:rPr>
              <w:t>(2)</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0.01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0.06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0.63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w:t>
      </w:r>
    </w:p>
    <w:p>
      <w:pPr>
        <w:spacing w:after="0" w:line="4" w:lineRule="exact"/>
        <w:rPr>
          <w:sz w:val="20"/>
          <w:szCs w:val="20"/>
          <w:color w:val="auto"/>
        </w:rPr>
      </w:pPr>
    </w:p>
    <w:p>
      <w:pPr>
        <w:ind w:left="460" w:hanging="457"/>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Transaction Volume, Number of Loans is shown in ones for the periods presented.</w:t>
      </w:r>
    </w:p>
    <w:p>
      <w:pPr>
        <w:spacing w:after="0" w:line="1" w:lineRule="exact"/>
        <w:rPr>
          <w:rFonts w:ascii="Arial" w:cs="Arial" w:eastAsia="Arial" w:hAnsi="Arial"/>
          <w:sz w:val="14"/>
          <w:szCs w:val="14"/>
          <w:color w:val="auto"/>
        </w:rPr>
      </w:pPr>
    </w:p>
    <w:p>
      <w:pPr>
        <w:ind w:left="460" w:hanging="457"/>
        <w:spacing w:after="0" w:line="259"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Measures</w:t>
      </w:r>
      <w:r>
        <w:rPr>
          <w:rFonts w:ascii="Arial" w:cs="Arial" w:eastAsia="Arial" w:hAnsi="Arial"/>
          <w:sz w:val="14"/>
          <w:szCs w:val="14"/>
          <w:color w:val="auto"/>
        </w:rPr>
        <w:t>”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We define Transaction Volume, Dollars as the total principal of loans transacted on our platform between a borrower and the originating lending partner during the period presented. We define Transaction Volume, Number of Loans as the number of loans facilitated on our platform between a borrower and the originating lending partner during the period presented. Transaction Volume is primarily driven by improvements in our AI models and technology, including our ability to streamline and automate the loan application and origination process.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can also be driven by borrower acceptance rates and their sensitivity to the interest rates offered through our platform. We believe these metrics are good proxies for our overall scale and reach as a marketplace. Transaction Volume, Dollars decreased by 64% and 72% in the three and six months ended June 30, 2023, respectively, compared to the same period of 2022. Transaction Volume, Number of Loans decreased by 66% and 75%, in the three and six months ended June 30, 2023, respectively, compared to the same period of 2022. This contraction was driven by a reduction in funding availability caused by macroeconomic uncertainty and by elevated consumer risk and cost of funds. These changing macroeconomic conditions also required adjustments to our models which resulted in our loans becoming more expensive and decreasing consumer demand.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Rate</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including shifts in macroeconomic conditions, also impact our Conversion Rate. For example, as the U.S. Federal Reserve raises interest rates, the average interest rates charged to borrowers for Upstart-powered loans also increase, which results in decreases to our Conversion Rate. Our ability to continue to improve our Conversion Rate depends in part on our ability to continue to improve our AI models and Percentage of Loans Fully Automated and the mix of marketing channels in any given period. Our Conversion Rate decreased to 9.4% and 8.8% in the three and six months ended June 30, 2023, respectively, from 13.3% and 17.1% in the same periods of 2022, primarily driven by lower approval rates following the significant increase in interest rates, which were in turn driven by elevated risk and cost of capital. The impact of these factors was partially offset by an increased portion of repeat borrowers on our platform.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Percentage of Loans Fully Automated</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the expansion of our loan offerings may cause it to fluctuate from period to period depending on the loan offering mix and other external factors. Our Percentage of Loans Fully Automated increased to 87% and 86% for the three and six months ended June 30, 2023, respectively, from 73% and 74% in the same periods of 2022, driven primarily by increasing the accuracy of our models, by eliminating, or automating, previously manual processes, and by an increased portion of repeat borrowers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Profit and Contribution Margin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To derive Contribution Profit, we subtract from revenue from fees, net from our borrower acquisition costs as well as our borrower verification and servicing costs. To calculate Contribution Margin we divide Contribution Profit by revenue from fees, net.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calculation of Contribution Profit and Contribution Margin: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Three Months Ended June 30,</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258,345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143,689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572,327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260,830</w:t>
            </w:r>
          </w:p>
        </w:tc>
        <w:tc>
          <w:tcPr>
            <w:tcW w:w="0" w:type="dxa"/>
            <w:vAlign w:val="bottom"/>
          </w:tcPr>
          <w:p>
            <w:pPr>
              <w:spacing w:after="0"/>
              <w:rPr>
                <w:sz w:val="1"/>
                <w:szCs w:val="1"/>
                <w:color w:val="auto"/>
              </w:rPr>
            </w:pPr>
          </w:p>
        </w:tc>
      </w:tr>
      <w:tr>
        <w:trPr>
          <w:trHeight w:val="212"/>
        </w:trPr>
        <w:tc>
          <w:tcPr>
            <w:tcW w:w="3900" w:type="dxa"/>
            <w:vAlign w:val="bottom"/>
          </w:tcPr>
          <w:p>
            <w:pPr>
              <w:ind w:left="20"/>
              <w:spacing w:after="0" w:line="212" w:lineRule="exact"/>
              <w:rPr>
                <w:sz w:val="20"/>
                <w:szCs w:val="20"/>
                <w:color w:val="auto"/>
              </w:rPr>
            </w:pPr>
            <w:r>
              <w:rPr>
                <w:rFonts w:ascii="Arial" w:cs="Arial" w:eastAsia="Arial" w:hAnsi="Arial"/>
                <w:sz w:val="17"/>
                <w:szCs w:val="17"/>
                <w:color w:val="auto"/>
              </w:rPr>
              <w:t>Borrower acquisition costs</w:t>
            </w:r>
            <w:r>
              <w:rPr>
                <w:rFonts w:ascii="Arial" w:cs="Arial" w:eastAsia="Arial" w:hAnsi="Arial"/>
                <w:sz w:val="22"/>
                <w:szCs w:val="22"/>
                <w:color w:val="auto"/>
                <w:vertAlign w:val="superscript"/>
              </w:rPr>
              <w:t>(1)</w:t>
            </w: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(93,285)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(19,049)</w:t>
            </w: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(217,099)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(38,761)</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7"/>
                <w:szCs w:val="17"/>
                <w:color w:val="auto"/>
              </w:rPr>
              <w:t>Borrower verification and servicing costs</w:t>
            </w:r>
            <w:r>
              <w:rPr>
                <w:rFonts w:ascii="Arial" w:cs="Arial" w:eastAsia="Arial" w:hAnsi="Arial"/>
                <w:sz w:val="22"/>
                <w:szCs w:val="22"/>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(44,131)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(28,718)</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(86,458)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(58,524)</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direct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(137,416)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(47,767)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(303,557)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(97,285)</w:t>
            </w: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Contribution Profit</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120,929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95,922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268,770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163,545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i w:val="1"/>
                <w:iCs w:val="1"/>
                <w:color w:val="auto"/>
              </w:rPr>
              <w:t>Contribution Margin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47 %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67 %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47 %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92"/>
        </w:trPr>
        <w:tc>
          <w:tcPr>
            <w:tcW w:w="3900" w:type="dxa"/>
            <w:vAlign w:val="bottom"/>
          </w:tcPr>
          <w:p>
            <w:pPr>
              <w:spacing w:after="0"/>
              <w:rPr>
                <w:sz w:val="20"/>
                <w:szCs w:val="20"/>
                <w:color w:val="auto"/>
              </w:rPr>
            </w:pPr>
            <w:r>
              <w:rPr>
                <w:rFonts w:ascii="Arial" w:cs="Arial" w:eastAsia="Arial" w:hAnsi="Arial"/>
                <w:sz w:val="17"/>
                <w:szCs w:val="17"/>
                <w:color w:val="auto"/>
              </w:rPr>
              <w:t>_______</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7"/>
        <w:spacing w:after="0" w:line="243"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jc w:val="both"/>
        <w:ind w:left="460" w:hanging="457"/>
        <w:spacing w:after="0" w:line="250"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22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See the section titled “</w:t>
      </w:r>
      <w:r>
        <w:rPr>
          <w:rFonts w:ascii="Arial" w:cs="Arial" w:eastAsia="Arial" w:hAnsi="Arial"/>
          <w:sz w:val="17"/>
          <w:szCs w:val="17"/>
          <w:i w:val="1"/>
          <w:iCs w:val="1"/>
          <w:color w:val="auto"/>
        </w:rPr>
        <w:t>Management’s Discussion and Analysis of Financial Condition and Results of Operations—Reconciliation of Non-GAAP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Measures</w:t>
      </w:r>
      <w:r>
        <w:rPr>
          <w:rFonts w:ascii="Arial" w:cs="Arial" w:eastAsia="Arial" w:hAnsi="Arial"/>
          <w:sz w:val="17"/>
          <w:szCs w:val="17"/>
          <w:color w:val="auto"/>
        </w:rPr>
        <w:t>” for a reconciliation of income from operations to Contribution Profit.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calculate Adjusted EBITDA as net income (loss) adjusted to exclude stock-based compensation expense and certain payroll tax expenses, depreciation and amortization, expense on convertible notes, provision for income taxes,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Results of Operations—Reconciliation of Non-GAAP Financial Measures</w:t>
      </w:r>
      <w:r>
        <w:rPr>
          <w:rFonts w:ascii="Arial" w:cs="Arial" w:eastAsia="Arial" w:hAnsi="Arial"/>
          <w:sz w:val="17"/>
          <w:szCs w:val="17"/>
          <w:color w:val="auto"/>
        </w:rPr>
        <w:t>” for a reconciliation of net income (loss) to Adjusted EBITDA and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Margin.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(Loss) and Adjusted Net Income (Loss) Per Share</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define Adjusted Net Income (Loss) as net income (loss) exclusive of stock-based compensation expense and certain payroll tax expenses and reorganization expenses. Adjusted Net Income (Loss) Per Share is calculated by dividing Adjusted Net Income (Loss) Per Share by the weighted-average common shares outstanding. See the section titled “</w:t>
      </w:r>
      <w:r>
        <w:rPr>
          <w:rFonts w:ascii="Arial" w:cs="Arial" w:eastAsia="Arial" w:hAnsi="Arial"/>
          <w:sz w:val="16"/>
          <w:szCs w:val="16"/>
          <w:i w:val="1"/>
          <w:iCs w:val="1"/>
          <w:color w:val="auto"/>
        </w:rPr>
        <w:t>Management’s Discussion and Analysis of Financial Condition and Results of Operations—Reconciliation of Non-GAAP</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Measures</w:t>
      </w:r>
      <w:r>
        <w:rPr>
          <w:rFonts w:ascii="Arial" w:cs="Arial" w:eastAsia="Arial" w:hAnsi="Arial"/>
          <w:sz w:val="16"/>
          <w:szCs w:val="16"/>
          <w:color w:val="auto"/>
        </w:rPr>
        <w:t>” for a reconciliation of net income (loss) to Adjusted Net Income (Loss) and Adjusted Net Income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Platform and Referral Fees, Net</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lending partners monthly loan trailing fees based on the amount and timing of principal and interest payments made by borrowers of the underlying loans. Refer to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condensed consolidated financial statements in Part I, Item 1 of this Quarterly Report on Form 10-Q for more information about loan premium fees and trailing fees.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Servicing and Other Fees, Net</w:t>
      </w:r>
    </w:p>
    <w:p>
      <w:pPr>
        <w:spacing w:after="0" w:line="114"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Interest income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and fair value adjustments, net also includes realized gain (loss) on the sale of loans. Interest income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increase in absolute dollars and may fluctuate as a percentage of our total revenue from period to period as we hire additional sales and marketing personnel, increase our marketing activities and build greater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Operations</w:t>
      </w:r>
    </w:p>
    <w:p>
      <w:pPr>
        <w:spacing w:after="0" w:line="24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Engineering and Product Development</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Administrative and Other</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Other income, net primarily consists of dividend income earned on our unrestricted cash balances, government grants, and interest expense on our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2460" w:type="dxa"/>
            <w:vAlign w:val="bottom"/>
          </w:tcPr>
          <w:p>
            <w:pPr>
              <w:ind w:left="740"/>
              <w:spacing w:after="0"/>
              <w:rPr>
                <w:sz w:val="20"/>
                <w:szCs w:val="20"/>
                <w:color w:val="auto"/>
              </w:rPr>
            </w:pPr>
            <w:r>
              <w:rPr>
                <w:rFonts w:ascii="Arial" w:cs="Arial" w:eastAsia="Arial" w:hAnsi="Arial"/>
                <w:sz w:val="17"/>
                <w:szCs w:val="17"/>
                <w:b w:val="1"/>
                <w:bCs w:val="1"/>
                <w:color w:val="auto"/>
                <w:w w:val="96"/>
              </w:rPr>
              <w:t>Results of Operations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8"/>
        </w:trPr>
        <w:tc>
          <w:tcPr>
            <w:tcW w:w="7160" w:type="dxa"/>
            <w:vAlign w:val="bottom"/>
            <w:gridSpan w:val="3"/>
          </w:tcPr>
          <w:p>
            <w:pPr>
              <w:jc w:val="right"/>
              <w:ind w:right="894"/>
              <w:spacing w:after="0"/>
              <w:rPr>
                <w:sz w:val="20"/>
                <w:szCs w:val="20"/>
                <w:color w:val="auto"/>
              </w:rPr>
            </w:pPr>
            <w:r>
              <w:rPr>
                <w:rFonts w:ascii="Arial" w:cs="Arial" w:eastAsia="Arial" w:hAnsi="Arial"/>
                <w:sz w:val="17"/>
                <w:szCs w:val="17"/>
                <w:color w:val="auto"/>
                <w:w w:val="91"/>
              </w:rPr>
              <w:t>The following table summarizes our historical consolidated statements of operations data:</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84"/>
        </w:trPr>
        <w:tc>
          <w:tcPr>
            <w:tcW w:w="3480" w:type="dxa"/>
            <w:vAlign w:val="bottom"/>
          </w:tcPr>
          <w:p>
            <w:pPr>
              <w:spacing w:after="0"/>
              <w:rPr>
                <w:sz w:val="24"/>
                <w:szCs w:val="24"/>
                <w:color w:val="auto"/>
              </w:rPr>
            </w:pPr>
          </w:p>
        </w:tc>
        <w:tc>
          <w:tcPr>
            <w:tcW w:w="368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24"/>
                <w:szCs w:val="24"/>
                <w:color w:val="auto"/>
              </w:rPr>
            </w:pPr>
          </w:p>
        </w:tc>
        <w:tc>
          <w:tcPr>
            <w:tcW w:w="33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24"/>
        </w:trPr>
        <w:tc>
          <w:tcPr>
            <w:tcW w:w="5940" w:type="dxa"/>
            <w:vAlign w:val="bottom"/>
            <w:gridSpan w:val="2"/>
          </w:tcPr>
          <w:p>
            <w:pPr>
              <w:ind w:left="4200"/>
              <w:spacing w:after="0"/>
              <w:rPr>
                <w:sz w:val="20"/>
                <w:szCs w:val="20"/>
                <w:color w:val="auto"/>
              </w:rPr>
            </w:pPr>
            <w:r>
              <w:rPr>
                <w:rFonts w:ascii="Arial" w:cs="Arial" w:eastAsia="Arial" w:hAnsi="Arial"/>
                <w:sz w:val="17"/>
                <w:szCs w:val="17"/>
                <w:b w:val="1"/>
                <w:bCs w:val="1"/>
                <w:color w:val="auto"/>
              </w:rPr>
              <w:t>2022</w:t>
            </w:r>
          </w:p>
        </w:tc>
        <w:tc>
          <w:tcPr>
            <w:tcW w:w="1220" w:type="dxa"/>
            <w:vAlign w:val="bottom"/>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1780" w:type="dxa"/>
            <w:vAlign w:val="bottom"/>
            <w:gridSpan w:val="2"/>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1680" w:type="dxa"/>
            <w:vAlign w:val="bottom"/>
          </w:tcPr>
          <w:p>
            <w:pPr>
              <w:jc w:val="right"/>
              <w:ind w:right="554"/>
              <w:spacing w:after="0"/>
              <w:rPr>
                <w:sz w:val="20"/>
                <w:szCs w:val="20"/>
                <w:color w:val="auto"/>
              </w:rPr>
            </w:pPr>
            <w:r>
              <w:rPr>
                <w:rFonts w:ascii="Arial" w:cs="Arial" w:eastAsia="Arial" w:hAnsi="Arial"/>
                <w:sz w:val="17"/>
                <w:szCs w:val="17"/>
                <w:b w:val="1"/>
                <w:bCs w:val="1"/>
                <w:color w:val="auto"/>
              </w:rPr>
              <w:t>2023</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3860" w:type="dxa"/>
            <w:vAlign w:val="bottom"/>
          </w:tcPr>
          <w:p>
            <w:pPr>
              <w:ind w:left="80"/>
              <w:spacing w:after="0"/>
              <w:rPr>
                <w:sz w:val="20"/>
                <w:szCs w:val="20"/>
                <w:color w:val="auto"/>
              </w:rPr>
            </w:pPr>
            <w:r>
              <w:rPr>
                <w:rFonts w:ascii="Arial" w:cs="Arial" w:eastAsia="Arial" w:hAnsi="Arial"/>
                <w:sz w:val="17"/>
                <w:szCs w:val="17"/>
                <w:color w:val="auto"/>
              </w:rPr>
              <w:t>Revenue from fees, net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258,345</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143,689</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572,327</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260,830</w:t>
            </w:r>
          </w:p>
        </w:tc>
        <w:tc>
          <w:tcPr>
            <w:tcW w:w="0" w:type="dxa"/>
            <w:vAlign w:val="bottom"/>
          </w:tcPr>
          <w:p>
            <w:pPr>
              <w:spacing w:after="0"/>
              <w:rPr>
                <w:sz w:val="1"/>
                <w:szCs w:val="1"/>
                <w:color w:val="auto"/>
              </w:rPr>
            </w:pPr>
          </w:p>
        </w:tc>
      </w:tr>
      <w:tr>
        <w:trPr>
          <w:trHeight w:val="226"/>
        </w:trPr>
        <w:tc>
          <w:tcPr>
            <w:tcW w:w="240" w:type="dxa"/>
            <w:vAlign w:val="bottom"/>
            <w:shd w:val="clear" w:color="auto" w:fill="CCEEFF"/>
          </w:tcPr>
          <w:p>
            <w:pPr>
              <w:spacing w:after="0"/>
              <w:rPr>
                <w:sz w:val="19"/>
                <w:szCs w:val="19"/>
                <w:color w:val="auto"/>
              </w:rPr>
            </w:pPr>
          </w:p>
        </w:tc>
        <w:tc>
          <w:tcPr>
            <w:tcW w:w="386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 and fair value adjustments, net:</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33,916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79,231</w:t>
            </w:r>
          </w:p>
        </w:tc>
        <w:tc>
          <w:tcPr>
            <w:tcW w:w="0" w:type="dxa"/>
            <w:vAlign w:val="bottom"/>
          </w:tcPr>
          <w:p>
            <w:pPr>
              <w:spacing w:after="0"/>
              <w:rPr>
                <w:sz w:val="1"/>
                <w:szCs w:val="1"/>
                <w:color w:val="auto"/>
              </w:rPr>
            </w:pPr>
          </w:p>
        </w:tc>
      </w:tr>
      <w:tr>
        <w:trPr>
          <w:trHeight w:val="233"/>
        </w:trPr>
        <w:tc>
          <w:tcPr>
            <w:tcW w:w="240" w:type="dxa"/>
            <w:vAlign w:val="bottom"/>
            <w:shd w:val="clear" w:color="auto" w:fill="CCEEFF"/>
          </w:tcPr>
          <w:p>
            <w:pPr>
              <w:spacing w:after="0"/>
              <w:rPr>
                <w:sz w:val="20"/>
                <w:szCs w:val="20"/>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(11,414)</w:t>
            </w:r>
          </w:p>
        </w:tc>
        <w:tc>
          <w:tcPr>
            <w:tcW w:w="0" w:type="dxa"/>
            <w:vAlign w:val="bottom"/>
          </w:tcPr>
          <w:p>
            <w:pPr>
              <w:spacing w:after="0"/>
              <w:rPr>
                <w:sz w:val="1"/>
                <w:szCs w:val="1"/>
                <w:color w:val="auto"/>
              </w:rPr>
            </w:pPr>
          </w:p>
        </w:tc>
      </w:tr>
      <w:tr>
        <w:trPr>
          <w:trHeight w:val="218"/>
        </w:trPr>
        <w:tc>
          <w:tcPr>
            <w:tcW w:w="24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Fair value and other adjustments</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(56,844)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(89,954)</w:t>
            </w:r>
          </w:p>
        </w:tc>
        <w:tc>
          <w:tcPr>
            <w:tcW w:w="0" w:type="dxa"/>
            <w:vAlign w:val="bottom"/>
          </w:tcPr>
          <w:p>
            <w:pPr>
              <w:spacing w:after="0"/>
              <w:rPr>
                <w:sz w:val="1"/>
                <w:szCs w:val="1"/>
                <w:color w:val="auto"/>
              </w:rPr>
            </w:pPr>
          </w:p>
        </w:tc>
      </w:tr>
      <w:tr>
        <w:trPr>
          <w:trHeight w:val="212"/>
        </w:trPr>
        <w:tc>
          <w:tcPr>
            <w:tcW w:w="240" w:type="dxa"/>
            <w:vAlign w:val="bottom"/>
            <w:tcBorders>
              <w:bottom w:val="single" w:sz="8" w:color="CCEEFF"/>
            </w:tcBorders>
            <w:shd w:val="clear" w:color="auto" w:fill="CCEEFF"/>
          </w:tcPr>
          <w:p>
            <w:pPr>
              <w:spacing w:after="0"/>
              <w:rPr>
                <w:sz w:val="18"/>
                <w:szCs w:val="18"/>
                <w:color w:val="auto"/>
              </w:rPr>
            </w:pPr>
          </w:p>
        </w:tc>
        <w:tc>
          <w:tcPr>
            <w:tcW w:w="3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Interest income and fair value adjustments, net</w:t>
            </w:r>
          </w:p>
        </w:tc>
        <w:tc>
          <w:tcPr>
            <w:tcW w:w="3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(30,183)</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(22,137)</w:t>
            </w:r>
          </w:p>
        </w:tc>
        <w:tc>
          <w:tcPr>
            <w:tcW w:w="0" w:type="dxa"/>
            <w:vAlign w:val="bottom"/>
          </w:tcPr>
          <w:p>
            <w:pPr>
              <w:spacing w:after="0"/>
              <w:rPr>
                <w:sz w:val="1"/>
                <w:szCs w:val="1"/>
                <w:color w:val="auto"/>
              </w:rPr>
            </w:pPr>
          </w:p>
        </w:tc>
      </w:tr>
      <w:tr>
        <w:trPr>
          <w:trHeight w:val="219"/>
        </w:trPr>
        <w:tc>
          <w:tcPr>
            <w:tcW w:w="24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228,162</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135,766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538,298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238,693</w:t>
            </w:r>
          </w:p>
        </w:tc>
        <w:tc>
          <w:tcPr>
            <w:tcW w:w="0" w:type="dxa"/>
            <w:vAlign w:val="bottom"/>
          </w:tcPr>
          <w:p>
            <w:pPr>
              <w:spacing w:after="0"/>
              <w:rPr>
                <w:sz w:val="1"/>
                <w:szCs w:val="1"/>
                <w:color w:val="auto"/>
              </w:rPr>
            </w:pPr>
          </w:p>
        </w:tc>
      </w:tr>
      <w:tr>
        <w:trPr>
          <w:trHeight w:val="206"/>
        </w:trPr>
        <w:tc>
          <w:tcPr>
            <w:tcW w:w="410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3860" w:type="dxa"/>
            <w:vAlign w:val="bottom"/>
          </w:tcPr>
          <w:p>
            <w:pPr>
              <w:ind w:left="80"/>
              <w:spacing w:after="0"/>
              <w:rPr>
                <w:sz w:val="20"/>
                <w:szCs w:val="20"/>
                <w:color w:val="auto"/>
              </w:rPr>
            </w:pPr>
            <w:r>
              <w:rPr>
                <w:rFonts w:ascii="Arial" w:cs="Arial" w:eastAsia="Arial" w:hAnsi="Arial"/>
                <w:sz w:val="17"/>
                <w:szCs w:val="17"/>
                <w:color w:val="auto"/>
              </w:rPr>
              <w:t>Sales and marketing</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105,212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23,891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238,661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55,329</w:t>
            </w:r>
          </w:p>
        </w:tc>
        <w:tc>
          <w:tcPr>
            <w:tcW w:w="0" w:type="dxa"/>
            <w:vAlign w:val="bottom"/>
          </w:tcPr>
          <w:p>
            <w:pPr>
              <w:spacing w:after="0"/>
              <w:rPr>
                <w:sz w:val="1"/>
                <w:szCs w:val="1"/>
                <w:color w:val="auto"/>
              </w:rPr>
            </w:pPr>
          </w:p>
        </w:tc>
      </w:tr>
      <w:tr>
        <w:trPr>
          <w:trHeight w:val="226"/>
        </w:trPr>
        <w:tc>
          <w:tcPr>
            <w:tcW w:w="240" w:type="dxa"/>
            <w:vAlign w:val="bottom"/>
            <w:shd w:val="clear" w:color="auto" w:fill="CCEEFF"/>
          </w:tcPr>
          <w:p>
            <w:pPr>
              <w:spacing w:after="0"/>
              <w:rPr>
                <w:sz w:val="19"/>
                <w:szCs w:val="19"/>
                <w:color w:val="auto"/>
              </w:rPr>
            </w:pPr>
          </w:p>
        </w:tc>
        <w:tc>
          <w:tcPr>
            <w:tcW w:w="38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operations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51,072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77,387</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860" w:type="dxa"/>
            <w:vAlign w:val="bottom"/>
          </w:tcPr>
          <w:p>
            <w:pPr>
              <w:ind w:left="80"/>
              <w:spacing w:after="0"/>
              <w:rPr>
                <w:sz w:val="20"/>
                <w:szCs w:val="20"/>
                <w:color w:val="auto"/>
              </w:rPr>
            </w:pPr>
            <w:r>
              <w:rPr>
                <w:rFonts w:ascii="Arial" w:cs="Arial" w:eastAsia="Arial" w:hAnsi="Arial"/>
                <w:sz w:val="17"/>
                <w:szCs w:val="17"/>
                <w:color w:val="auto"/>
              </w:rPr>
              <w:t>Engineering and product development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57,045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57,974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107,036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168,045</w:t>
            </w:r>
          </w:p>
        </w:tc>
        <w:tc>
          <w:tcPr>
            <w:tcW w:w="0" w:type="dxa"/>
            <w:vAlign w:val="bottom"/>
          </w:tcPr>
          <w:p>
            <w:pPr>
              <w:spacing w:after="0"/>
              <w:rPr>
                <w:sz w:val="1"/>
                <w:szCs w:val="1"/>
                <w:color w:val="auto"/>
              </w:rPr>
            </w:pPr>
          </w:p>
        </w:tc>
      </w:tr>
      <w:tr>
        <w:trPr>
          <w:trHeight w:val="233"/>
        </w:trPr>
        <w:tc>
          <w:tcPr>
            <w:tcW w:w="240" w:type="dxa"/>
            <w:vAlign w:val="bottom"/>
            <w:shd w:val="clear" w:color="auto" w:fill="CCEEFF"/>
          </w:tcPr>
          <w:p>
            <w:pPr>
              <w:spacing w:after="0"/>
              <w:rPr>
                <w:sz w:val="20"/>
                <w:szCs w:val="20"/>
                <w:color w:val="auto"/>
              </w:rPr>
            </w:pPr>
          </w:p>
        </w:tc>
        <w:tc>
          <w:tcPr>
            <w:tcW w:w="3860" w:type="dxa"/>
            <w:vAlign w:val="bottom"/>
            <w:shd w:val="clear" w:color="auto" w:fill="CCEEFF"/>
          </w:tcPr>
          <w:p>
            <w:pPr>
              <w:ind w:left="80"/>
              <w:spacing w:after="0"/>
              <w:rPr>
                <w:sz w:val="20"/>
                <w:szCs w:val="20"/>
                <w:color w:val="auto"/>
              </w:rPr>
            </w:pPr>
            <w:r>
              <w:rPr>
                <w:rFonts w:ascii="Arial" w:cs="Arial" w:eastAsia="Arial" w:hAnsi="Arial"/>
                <w:sz w:val="17"/>
                <w:szCs w:val="17"/>
                <w:color w:val="auto"/>
              </w:rPr>
              <w:t>General, administrative, and other</w:t>
            </w:r>
          </w:p>
        </w:tc>
        <w:tc>
          <w:tcPr>
            <w:tcW w:w="3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46,940</w:t>
            </w:r>
          </w:p>
        </w:tc>
        <w:tc>
          <w:tcPr>
            <w:tcW w:w="10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50,448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90,396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103,111</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386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260,269</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169,110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535,572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403,872</w:t>
            </w:r>
          </w:p>
        </w:tc>
        <w:tc>
          <w:tcPr>
            <w:tcW w:w="0" w:type="dxa"/>
            <w:vAlign w:val="bottom"/>
          </w:tcPr>
          <w:p>
            <w:pPr>
              <w:spacing w:after="0"/>
              <w:rPr>
                <w:sz w:val="1"/>
                <w:szCs w:val="1"/>
                <w:color w:val="auto"/>
              </w:rPr>
            </w:pPr>
          </w:p>
        </w:tc>
      </w:tr>
      <w:tr>
        <w:trPr>
          <w:trHeight w:val="21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(165,179)</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7,794</w:t>
            </w:r>
          </w:p>
        </w:tc>
        <w:tc>
          <w:tcPr>
            <w:tcW w:w="0" w:type="dxa"/>
            <w:vAlign w:val="bottom"/>
          </w:tcPr>
          <w:p>
            <w:pPr>
              <w:spacing w:after="0"/>
              <w:rPr>
                <w:sz w:val="1"/>
                <w:szCs w:val="1"/>
                <w:color w:val="auto"/>
              </w:rPr>
            </w:pPr>
          </w:p>
        </w:tc>
      </w:tr>
      <w:tr>
        <w:trPr>
          <w:trHeight w:val="21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(157,385)</w:t>
            </w:r>
          </w:p>
        </w:tc>
        <w:tc>
          <w:tcPr>
            <w:tcW w:w="0" w:type="dxa"/>
            <w:vAlign w:val="bottom"/>
          </w:tcPr>
          <w:p>
            <w:pPr>
              <w:spacing w:after="0"/>
              <w:rPr>
                <w:sz w:val="1"/>
                <w:szCs w:val="1"/>
                <w:color w:val="auto"/>
              </w:rPr>
            </w:pPr>
          </w:p>
        </w:tc>
      </w:tr>
      <w:tr>
        <w:trPr>
          <w:trHeight w:val="218"/>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(29,871)</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(157,419)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20"/>
                <w:szCs w:val="20"/>
                <w:color w:val="auto"/>
              </w:rPr>
            </w:pPr>
            <w:r>
              <w:rPr>
                <w:rFonts w:ascii="Arial" w:cs="Arial" w:eastAsia="Arial" w:hAnsi="Arial"/>
                <w:sz w:val="14"/>
                <w:szCs w:val="14"/>
                <w:color w:val="auto"/>
              </w:rPr>
              <w:t>(1)</w:t>
            </w:r>
          </w:p>
        </w:tc>
        <w:tc>
          <w:tcPr>
            <w:tcW w:w="3860" w:type="dxa"/>
            <w:vAlign w:val="bottom"/>
          </w:tcPr>
          <w:p>
            <w:pPr>
              <w:ind w:left="220"/>
              <w:spacing w:after="0"/>
              <w:rPr>
                <w:sz w:val="20"/>
                <w:szCs w:val="20"/>
                <w:color w:val="auto"/>
              </w:rPr>
            </w:pPr>
            <w:r>
              <w:rPr>
                <w:rFonts w:ascii="Arial" w:cs="Arial" w:eastAsia="Arial" w:hAnsi="Arial"/>
                <w:sz w:val="14"/>
                <w:szCs w:val="14"/>
                <w:color w:val="auto"/>
              </w:rPr>
              <w:t>Includes stock-based compensation expense as follows: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49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1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2,624</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0" w:type="dxa"/>
            <w:vAlign w:val="bottom"/>
          </w:tcPr>
          <w:p>
            <w:pPr>
              <w:spacing w:after="0"/>
              <w:rPr>
                <w:sz w:val="1"/>
                <w:szCs w:val="1"/>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7"/>
                <w:szCs w:val="17"/>
                <w:color w:val="auto"/>
              </w:rPr>
              <w:t>Customer operations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2,085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5,976</w:t>
            </w:r>
          </w:p>
        </w:tc>
        <w:tc>
          <w:tcPr>
            <w:tcW w:w="0" w:type="dxa"/>
            <w:vAlign w:val="bottom"/>
          </w:tcPr>
          <w:p>
            <w:pPr>
              <w:spacing w:after="0"/>
              <w:rPr>
                <w:sz w:val="1"/>
                <w:szCs w:val="1"/>
                <w:color w:val="auto"/>
              </w:rPr>
            </w:pPr>
          </w:p>
        </w:tc>
      </w:tr>
      <w:tr>
        <w:trPr>
          <w:trHeight w:val="27"/>
        </w:trPr>
        <w:tc>
          <w:tcPr>
            <w:tcW w:w="4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17,894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75,367</w:t>
            </w:r>
          </w:p>
        </w:tc>
        <w:tc>
          <w:tcPr>
            <w:tcW w:w="0" w:type="dxa"/>
            <w:vAlign w:val="bottom"/>
          </w:tcPr>
          <w:p>
            <w:pPr>
              <w:spacing w:after="0"/>
              <w:rPr>
                <w:sz w:val="1"/>
                <w:szCs w:val="1"/>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7"/>
                <w:szCs w:val="17"/>
                <w:color w:val="auto"/>
              </w:rPr>
              <w:t>General, administrative, and other</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7,726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23,495</w:t>
            </w:r>
          </w:p>
        </w:tc>
        <w:tc>
          <w:tcPr>
            <w:tcW w:w="0" w:type="dxa"/>
            <w:vAlign w:val="bottom"/>
          </w:tcPr>
          <w:p>
            <w:pPr>
              <w:spacing w:after="0"/>
              <w:rPr>
                <w:sz w:val="1"/>
                <w:szCs w:val="1"/>
                <w:color w:val="auto"/>
              </w:rPr>
            </w:pPr>
          </w:p>
        </w:tc>
      </w:tr>
      <w:tr>
        <w:trPr>
          <w:trHeight w:val="27"/>
        </w:trPr>
        <w:tc>
          <w:tcPr>
            <w:tcW w:w="4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30,329</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106,705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 forth our revenue from fees, net in the periods shown: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ind w:left="520"/>
              <w:spacing w:after="0"/>
              <w:rPr>
                <w:sz w:val="20"/>
                <w:szCs w:val="20"/>
                <w:color w:val="auto"/>
              </w:rPr>
            </w:pPr>
            <w:r>
              <w:rPr>
                <w:rFonts w:ascii="Arial" w:cs="Arial" w:eastAsia="Arial" w:hAnsi="Arial"/>
                <w:sz w:val="17"/>
                <w:szCs w:val="17"/>
                <w:b w:val="1"/>
                <w:bCs w:val="1"/>
                <w:color w:val="auto"/>
              </w:rPr>
              <w:t>Change</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7"/>
                <w:szCs w:val="17"/>
                <w:b w:val="1"/>
                <w:bCs w:val="1"/>
                <w:color w:val="auto"/>
                <w:w w:val="92"/>
              </w:rPr>
              <w:t>Six Months Ended June 30,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b w:val="1"/>
                <w:bCs w:val="1"/>
                <w:color w:val="auto"/>
              </w:rPr>
              <w:t>Change</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61"/>
        </w:trPr>
        <w:tc>
          <w:tcPr>
            <w:tcW w:w="18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w w:val="93"/>
              </w:rPr>
              <w:t>Platform and referral fees,</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211,610</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105,765</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(105,845)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483,422</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183,422</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center"/>
              <w:ind w:left="34"/>
              <w:spacing w:after="0"/>
              <w:rPr>
                <w:sz w:val="20"/>
                <w:szCs w:val="20"/>
                <w:color w:val="auto"/>
              </w:rPr>
            </w:pPr>
            <w:r>
              <w:rPr>
                <w:rFonts w:ascii="Arial" w:cs="Arial" w:eastAsia="Arial" w:hAnsi="Arial"/>
                <w:sz w:val="17"/>
                <w:szCs w:val="17"/>
                <w:color w:val="auto"/>
                <w:w w:val="90"/>
              </w:rPr>
              <w:t>(300,000)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line="181" w:lineRule="exact"/>
              <w:rPr>
                <w:sz w:val="20"/>
                <w:szCs w:val="20"/>
                <w:color w:val="auto"/>
              </w:rPr>
            </w:pPr>
            <w:r>
              <w:rPr>
                <w:rFonts w:ascii="Arial" w:cs="Arial" w:eastAsia="Arial" w:hAnsi="Arial"/>
                <w:sz w:val="17"/>
                <w:szCs w:val="17"/>
                <w:color w:val="auto"/>
                <w:w w:val="97"/>
              </w:rPr>
              <w:t>Servicing and other fees,</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46,735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37,924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(8,811)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88,905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77,408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center"/>
              <w:ind w:left="34"/>
              <w:spacing w:after="0"/>
              <w:rPr>
                <w:sz w:val="20"/>
                <w:szCs w:val="20"/>
                <w:color w:val="auto"/>
              </w:rPr>
            </w:pPr>
            <w:r>
              <w:rPr>
                <w:rFonts w:ascii="Arial" w:cs="Arial" w:eastAsia="Arial" w:hAnsi="Arial"/>
                <w:sz w:val="17"/>
                <w:szCs w:val="17"/>
                <w:color w:val="auto"/>
                <w:w w:val="91"/>
              </w:rPr>
              <w:t>(11,497)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Total revenue from</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258,345</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143,689</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(114,656)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572,327</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260,830</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center"/>
              <w:ind w:left="34"/>
              <w:spacing w:after="0"/>
              <w:rPr>
                <w:sz w:val="20"/>
                <w:szCs w:val="20"/>
                <w:color w:val="auto"/>
              </w:rPr>
            </w:pPr>
            <w:r>
              <w:rPr>
                <w:rFonts w:ascii="Arial" w:cs="Arial" w:eastAsia="Arial" w:hAnsi="Arial"/>
                <w:sz w:val="17"/>
                <w:szCs w:val="17"/>
                <w:color w:val="auto"/>
                <w:w w:val="90"/>
              </w:rPr>
              <w:t>(311,497)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6"/>
        </w:trPr>
        <w:tc>
          <w:tcPr>
            <w:tcW w:w="1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fees, net</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Revenue from fees, net decreased $114.7 million, or 44%, in the three months ended June 30, 2023, compared to the same period in 2022, which included a decrease of $105.8 million in revenue from platform and referral fees, net and a decrease of $8.8 million in servicing fees, net. The decrease of the platform and referral fees, net was primarily driven by a 66% decrease in the Transaction Volume, Number of Loans from 321,138 in the three months ended June 30, 2022 to 109,447 in the same period in 2023, which was partially offset by an increase in prices of our services.</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Revenue from fees, net decreased $311.5 million, or 54%, in the six months ended June 30, 2023, compared to the same period in 2022, which included a decrease of $300.0 million in revenue from platform and referral fees, net and a decrease of $11.5 million in servicing fees, net. The decrease of the platform and referral fees, net was primarily driven by a 75% decrease in the Transaction Volume, Number of Loans from 786,675 in the six months ended June 30, 2022 to 193,531 in the same period in 2023, which was partially offset by an increase in prices of our services.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31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w w:val="99"/>
              </w:rPr>
              <w:t>Change</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7"/>
                <w:szCs w:val="17"/>
                <w:b w:val="1"/>
                <w:bCs w:val="1"/>
                <w:color w:val="auto"/>
                <w:w w:val="91"/>
              </w:rPr>
              <w:t>Six Months Ended June 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b w:val="1"/>
                <w:bCs w:val="1"/>
                <w:color w:val="auto"/>
                <w:w w:val="99"/>
              </w:rPr>
              <w:t>Change</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2"/>
              </w:rPr>
              <w:t>79,231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35,123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174"/>
              <w:spacing w:after="0"/>
              <w:rPr>
                <w:sz w:val="20"/>
                <w:szCs w:val="20"/>
                <w:color w:val="auto"/>
              </w:rPr>
            </w:pPr>
            <w:r>
              <w:rPr>
                <w:rFonts w:ascii="Arial" w:cs="Arial" w:eastAsia="Arial" w:hAnsi="Arial"/>
                <w:sz w:val="17"/>
                <w:szCs w:val="17"/>
                <w:color w:val="auto"/>
                <w:w w:val="91"/>
              </w:rPr>
              <w:t>(11,414)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26"/>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Fair value adjustments,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(56,844)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(74,865)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74"/>
              <w:spacing w:after="0"/>
              <w:rPr>
                <w:sz w:val="20"/>
                <w:szCs w:val="20"/>
                <w:color w:val="auto"/>
              </w:rPr>
            </w:pPr>
            <w:r>
              <w:rPr>
                <w:rFonts w:ascii="Arial" w:cs="Arial" w:eastAsia="Arial" w:hAnsi="Arial"/>
                <w:sz w:val="17"/>
                <w:szCs w:val="17"/>
                <w:color w:val="auto"/>
                <w:w w:val="91"/>
              </w:rPr>
              <w:t>(89,954)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line="162" w:lineRule="exact"/>
              <w:rPr>
                <w:sz w:val="20"/>
                <w:szCs w:val="20"/>
                <w:color w:val="auto"/>
              </w:rPr>
            </w:pPr>
            <w:r>
              <w:rPr>
                <w:rFonts w:ascii="Arial" w:cs="Arial" w:eastAsia="Arial" w:hAnsi="Arial"/>
                <w:sz w:val="17"/>
                <w:szCs w:val="17"/>
                <w:color w:val="auto"/>
              </w:rPr>
              <w:t>Total interest income and</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(30,183)</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(7,923)</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22,260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74 %</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(34,029)</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center"/>
              <w:ind w:left="174"/>
              <w:spacing w:after="0"/>
              <w:rPr>
                <w:sz w:val="20"/>
                <w:szCs w:val="20"/>
                <w:color w:val="auto"/>
              </w:rPr>
            </w:pPr>
            <w:r>
              <w:rPr>
                <w:rFonts w:ascii="Arial" w:cs="Arial" w:eastAsia="Arial" w:hAnsi="Arial"/>
                <w:sz w:val="17"/>
                <w:szCs w:val="17"/>
                <w:color w:val="auto"/>
                <w:w w:val="91"/>
              </w:rPr>
              <w:t>(22,137)</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ind w:left="220"/>
              <w:spacing w:after="0"/>
              <w:rPr>
                <w:sz w:val="20"/>
                <w:szCs w:val="20"/>
                <w:color w:val="auto"/>
              </w:rPr>
            </w:pPr>
            <w:r>
              <w:rPr>
                <w:rFonts w:ascii="Arial" w:cs="Arial" w:eastAsia="Arial" w:hAnsi="Arial"/>
                <w:sz w:val="17"/>
                <w:szCs w:val="17"/>
                <w:color w:val="auto"/>
                <w:w w:val="99"/>
              </w:rPr>
              <w:t>11,892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193"/>
        </w:trPr>
        <w:tc>
          <w:tcPr>
            <w:tcW w:w="2020" w:type="dxa"/>
            <w:vAlign w:val="bottom"/>
          </w:tcPr>
          <w:p>
            <w:pPr>
              <w:ind w:left="20"/>
              <w:spacing w:after="0" w:line="193" w:lineRule="exact"/>
              <w:rPr>
                <w:sz w:val="20"/>
                <w:szCs w:val="20"/>
                <w:color w:val="auto"/>
              </w:rPr>
            </w:pPr>
            <w:r>
              <w:rPr>
                <w:rFonts w:ascii="Arial" w:cs="Arial" w:eastAsia="Arial" w:hAnsi="Arial"/>
                <w:sz w:val="17"/>
                <w:szCs w:val="17"/>
                <w:color w:val="auto"/>
                <w:w w:val="99"/>
              </w:rPr>
              <w:t>fair value adjustments, net</w:t>
            </w:r>
          </w:p>
        </w:tc>
        <w:tc>
          <w:tcPr>
            <w:tcW w:w="2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Interest income and fair value adjustments, net increased $22.3 million, or 74% in the three months ended June 30, 2023, compared to the same period in 2022. The increase was primarily driven by a $19.3 million decrease in unfavorable fair value adjustments as well as a $4.9 million increase in interest income due to an increase in the outstanding principal balance of loans held on the condensed consolidated balance sheets. The change in fair value adjustments was primarily attributable to a $13.9 million decrease in realized loss on loan sales and a $5.4 million decrease in unfavorable fair value adjustments of our loan portfolio due to a relatively more stable interest rate environment and improvements in our underwriting during the three months ended June 30, 2023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Interest income and fair value adjustments, net increased $11.9 million, or 35% in the six months ended June 30, 2023, compared to the same period in 2022. The increase was primarily driven by a $35.1 million increase in interest income due to an increase in unpaid principal balance of loans held on the condensed consolidated balance sheets, partially offset by a $15.1 million increase in unfavorable fair value adjustments. The change in fair value adjustments was primarily attributable to a $19.9 million increase in unfavorable fair value adjustments of our loan portfolio due to higher charge-offs offset by a $4.8 million decrease in realized loss on loan sales during the six months ended June 30, 2023 compared to the same period in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4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84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center"/>
              <w:ind w:right="194"/>
              <w:spacing w:after="0"/>
              <w:rPr>
                <w:sz w:val="20"/>
                <w:szCs w:val="20"/>
                <w:color w:val="auto"/>
              </w:rPr>
            </w:pPr>
            <w:r>
              <w:rPr>
                <w:rFonts w:ascii="Arial" w:cs="Arial" w:eastAsia="Arial" w:hAnsi="Arial"/>
                <w:sz w:val="17"/>
                <w:szCs w:val="17"/>
                <w:b w:val="1"/>
                <w:bCs w:val="1"/>
                <w:color w:val="auto"/>
                <w:w w:val="92"/>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vMerge w:val="restart"/>
          </w:tcPr>
          <w:p>
            <w:pPr>
              <w:ind w:left="460"/>
              <w:spacing w:after="0"/>
              <w:rPr>
                <w:sz w:val="20"/>
                <w:szCs w:val="20"/>
                <w:color w:val="auto"/>
              </w:rPr>
            </w:pPr>
            <w:r>
              <w:rPr>
                <w:rFonts w:ascii="Arial" w:cs="Arial" w:eastAsia="Arial" w:hAnsi="Arial"/>
                <w:sz w:val="17"/>
                <w:szCs w:val="17"/>
                <w:b w:val="1"/>
                <w:bCs w:val="1"/>
                <w:color w:val="auto"/>
                <w:w w:val="89"/>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4"/>
            <w:vMerge w:val="restart"/>
          </w:tcPr>
          <w:p>
            <w:pPr>
              <w:jc w:val="right"/>
              <w:ind w:right="174"/>
              <w:spacing w:after="0"/>
              <w:rPr>
                <w:sz w:val="20"/>
                <w:szCs w:val="20"/>
                <w:color w:val="auto"/>
              </w:rPr>
            </w:pPr>
            <w:r>
              <w:rPr>
                <w:rFonts w:ascii="Arial" w:cs="Arial" w:eastAsia="Arial" w:hAnsi="Arial"/>
                <w:sz w:val="17"/>
                <w:szCs w:val="17"/>
                <w:b w:val="1"/>
                <w:bCs w:val="1"/>
                <w:color w:val="auto"/>
                <w:w w:val="94"/>
              </w:rPr>
              <w:t>Six Months Ended 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vMerge w:val="restart"/>
          </w:tcPr>
          <w:p>
            <w:pPr>
              <w:ind w:left="540"/>
              <w:spacing w:after="0"/>
              <w:rPr>
                <w:sz w:val="20"/>
                <w:szCs w:val="20"/>
                <w:color w:val="auto"/>
              </w:rPr>
            </w:pPr>
            <w:r>
              <w:rPr>
                <w:rFonts w:ascii="Arial" w:cs="Arial" w:eastAsia="Arial" w:hAnsi="Arial"/>
                <w:sz w:val="17"/>
                <w:szCs w:val="17"/>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7"/>
                <w:szCs w:val="17"/>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105,212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23,891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2"/>
              </w:rPr>
              <w:t>(77)%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238,661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55,329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8"/>
        </w:trPr>
        <w:tc>
          <w:tcPr>
            <w:tcW w:w="184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46 %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i w:val="1"/>
                <w:iCs w:val="1"/>
                <w:color w:val="auto"/>
              </w:rPr>
              <w:t>18 %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i w:val="1"/>
                <w:iCs w:val="1"/>
                <w:color w:val="auto"/>
              </w:rPr>
              <w:t>44 %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23 %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Sales and marketing expenses decreased by $81.3 million, or 77%, in the three months ended June 30, 2023 compared to the same period in 2022. The decrease was primarily due to a $74.2 million decrease in advertising and other traffic acquisition cost and a $4.9 million decrease in payroll and other personnel-related expenses driven by decreased headcount. As a percentage of total revenue, sales and marketing expenses decreased from 46% to 18%.</w:t>
      </w:r>
    </w:p>
    <w:p>
      <w:pPr>
        <w:spacing w:after="0" w:line="184"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Sales and marketing expenses decreased by $183.3 million, or 77%, in the six months ended June 30, 2023 compared to the same period in 2022. The decrease was primarily due to a $178.3 million decrease in advertising and other traffic acquisition cost, as well as a $2.9 million decrease in payroll and other personnel-related expenses driven by decreased headcount. As a percentage of total revenue, sales and marketing expenses decreased from 44% to 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40" w:type="dxa"/>
            <w:vAlign w:val="bottom"/>
          </w:tcPr>
          <w:p>
            <w:pPr>
              <w:spacing w:after="0"/>
              <w:rPr>
                <w:sz w:val="20"/>
                <w:szCs w:val="20"/>
                <w:color w:val="auto"/>
              </w:rPr>
            </w:pPr>
            <w:r>
              <w:rPr>
                <w:rFonts w:ascii="Arial" w:cs="Arial" w:eastAsia="Arial" w:hAnsi="Arial"/>
                <w:sz w:val="17"/>
                <w:szCs w:val="17"/>
                <w:b w:val="1"/>
                <w:bCs w:val="1"/>
                <w:i w:val="1"/>
                <w:iCs w:val="1"/>
                <w:color w:val="auto"/>
              </w:rPr>
              <w:t>Customer Operations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jc w:val="center"/>
              <w:ind w:right="174"/>
              <w:spacing w:after="0"/>
              <w:rPr>
                <w:sz w:val="20"/>
                <w:szCs w:val="20"/>
                <w:color w:val="auto"/>
              </w:rPr>
            </w:pPr>
            <w:r>
              <w:rPr>
                <w:rFonts w:ascii="Arial" w:cs="Arial" w:eastAsia="Arial" w:hAnsi="Arial"/>
                <w:sz w:val="17"/>
                <w:szCs w:val="17"/>
                <w:b w:val="1"/>
                <w:bCs w:val="1"/>
                <w:color w:val="auto"/>
                <w:w w:val="92"/>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7"/>
                <w:szCs w:val="17"/>
                <w:b w:val="1"/>
                <w:bCs w:val="1"/>
                <w:color w:val="auto"/>
                <w:w w:val="92"/>
              </w:rPr>
              <w:t>Change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3"/>
            <w:vMerge w:val="restart"/>
          </w:tcPr>
          <w:p>
            <w:pPr>
              <w:jc w:val="right"/>
              <w:ind w:right="174"/>
              <w:spacing w:after="0"/>
              <w:rPr>
                <w:sz w:val="20"/>
                <w:szCs w:val="20"/>
                <w:color w:val="auto"/>
              </w:rPr>
            </w:pPr>
            <w:r>
              <w:rPr>
                <w:rFonts w:ascii="Arial" w:cs="Arial" w:eastAsia="Arial" w:hAnsi="Arial"/>
                <w:sz w:val="17"/>
                <w:szCs w:val="17"/>
                <w:b w:val="1"/>
                <w:bCs w:val="1"/>
                <w:color w:val="auto"/>
                <w:w w:val="94"/>
              </w:rPr>
              <w:t>Six Months Ended June 30,</w:t>
            </w:r>
          </w:p>
        </w:tc>
        <w:tc>
          <w:tcPr>
            <w:tcW w:w="80" w:type="dxa"/>
            <w:vAlign w:val="bottom"/>
          </w:tcPr>
          <w:p>
            <w:pPr>
              <w:spacing w:after="0"/>
              <w:rPr>
                <w:sz w:val="24"/>
                <w:szCs w:val="24"/>
                <w:color w:val="auto"/>
              </w:rPr>
            </w:pPr>
          </w:p>
        </w:tc>
        <w:tc>
          <w:tcPr>
            <w:tcW w:w="1300" w:type="dxa"/>
            <w:vAlign w:val="bottom"/>
            <w:gridSpan w:val="3"/>
            <w:vMerge w:val="restart"/>
          </w:tcPr>
          <w:p>
            <w:pPr>
              <w:ind w:left="700"/>
              <w:spacing w:after="0"/>
              <w:rPr>
                <w:sz w:val="20"/>
                <w:szCs w:val="20"/>
                <w:color w:val="auto"/>
              </w:rPr>
            </w:pPr>
            <w:r>
              <w:rPr>
                <w:rFonts w:ascii="Arial" w:cs="Arial" w:eastAsia="Arial" w:hAnsi="Arial"/>
                <w:sz w:val="17"/>
                <w:szCs w:val="17"/>
                <w:b w:val="1"/>
                <w:bCs w:val="1"/>
                <w:color w:val="auto"/>
                <w:w w:val="92"/>
              </w:rPr>
              <w:t>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7"/>
                <w:szCs w:val="17"/>
                <w:b w:val="1"/>
                <w:bCs w:val="1"/>
                <w:color w:val="auto"/>
                <w:w w:val="91"/>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108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operations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51,072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36,797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2"/>
              </w:rPr>
              <w:t>(28)%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99,479</w:t>
            </w:r>
          </w:p>
        </w:tc>
        <w:tc>
          <w:tcPr>
            <w:tcW w:w="130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$77,387</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$(22,092)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2"/>
              </w:rPr>
              <w:t>(22)%</w:t>
            </w:r>
          </w:p>
        </w:tc>
        <w:tc>
          <w:tcPr>
            <w:tcW w:w="0" w:type="dxa"/>
            <w:vAlign w:val="bottom"/>
          </w:tcPr>
          <w:p>
            <w:pPr>
              <w:spacing w:after="0"/>
              <w:rPr>
                <w:sz w:val="1"/>
                <w:szCs w:val="1"/>
                <w:color w:val="auto"/>
              </w:rPr>
            </w:pPr>
          </w:p>
        </w:tc>
      </w:tr>
      <w:tr>
        <w:trPr>
          <w:trHeight w:val="218"/>
        </w:trPr>
        <w:tc>
          <w:tcPr>
            <w:tcW w:w="194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22 %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27 %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i w:val="1"/>
                <w:iCs w:val="1"/>
                <w:color w:val="auto"/>
              </w:rPr>
              <w:t>18 %</w:t>
            </w:r>
          </w:p>
        </w:tc>
        <w:tc>
          <w:tcPr>
            <w:tcW w:w="1300" w:type="dxa"/>
            <w:vAlign w:val="bottom"/>
            <w:gridSpan w:val="2"/>
          </w:tcPr>
          <w:p>
            <w:pPr>
              <w:jc w:val="right"/>
              <w:spacing w:after="0"/>
              <w:rPr>
                <w:sz w:val="20"/>
                <w:szCs w:val="20"/>
                <w:color w:val="auto"/>
              </w:rPr>
            </w:pPr>
            <w:r>
              <w:rPr>
                <w:rFonts w:ascii="Arial" w:cs="Arial" w:eastAsia="Arial" w:hAnsi="Arial"/>
                <w:sz w:val="17"/>
                <w:szCs w:val="17"/>
                <w:i w:val="1"/>
                <w:iCs w:val="1"/>
                <w:color w:val="auto"/>
              </w:rPr>
              <w:t>32 %</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firstLine="526"/>
        <w:spacing w:after="0" w:line="251" w:lineRule="auto"/>
        <w:rPr>
          <w:sz w:val="20"/>
          <w:szCs w:val="20"/>
          <w:color w:val="auto"/>
        </w:rPr>
      </w:pPr>
      <w:r>
        <w:rPr>
          <w:rFonts w:ascii="Arial" w:cs="Arial" w:eastAsia="Arial" w:hAnsi="Arial"/>
          <w:sz w:val="17"/>
          <w:szCs w:val="17"/>
          <w:color w:val="auto"/>
        </w:rPr>
        <w:t>Customer operations expenses decreased by $14.3 million, or 28%, in the three months ended June 30, 2023, compared to the same period in 2022. The decrease was primarily due to a $11.9 million decrease in payroll and other personnel-related expenses due to a decrease in headcount as well as decreased spending of $3.5 million on information verification and platform operations, partially offset by a $1.4 million increase in servicing expenses. As a percentage of total revenue, customer operations expenses increased from 22% to 27%.</w:t>
      </w:r>
    </w:p>
    <w:p>
      <w:pPr>
        <w:spacing w:after="0" w:line="304" w:lineRule="exact"/>
        <w:rPr>
          <w:sz w:val="20"/>
          <w:szCs w:val="20"/>
          <w:color w:val="auto"/>
        </w:rPr>
      </w:pPr>
    </w:p>
    <w:p>
      <w:pPr>
        <w:jc w:val="both"/>
        <w:ind w:firstLine="526"/>
        <w:spacing w:after="0" w:line="251" w:lineRule="auto"/>
        <w:rPr>
          <w:sz w:val="20"/>
          <w:szCs w:val="20"/>
          <w:color w:val="auto"/>
        </w:rPr>
      </w:pPr>
      <w:r>
        <w:rPr>
          <w:rFonts w:ascii="Arial" w:cs="Arial" w:eastAsia="Arial" w:hAnsi="Arial"/>
          <w:sz w:val="17"/>
          <w:szCs w:val="17"/>
          <w:color w:val="auto"/>
        </w:rPr>
        <w:t>Customer operations expenses decreased by $22.1 million, or 22%, in the six months ended June 30, 2023, compared to the same period in 2022. The decrease was primarily due to a $15.4 million decrease in payroll and other personnel-related expenses due to a decrease in headcount as well as decreased spending of $8.8 million on information verification and platform operations, partially offset by a $3.6 million increase in servicing expenses. As a percentage of total revenue, customer operations expenses increased from 18% to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Engineering and Product Development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4"/>
          </w:tcPr>
          <w:p>
            <w:pPr>
              <w:jc w:val="center"/>
              <w:ind w:right="174"/>
              <w:spacing w:after="0"/>
              <w:rPr>
                <w:sz w:val="20"/>
                <w:szCs w:val="20"/>
                <w:color w:val="auto"/>
              </w:rPr>
            </w:pPr>
            <w:r>
              <w:rPr>
                <w:rFonts w:ascii="Arial" w:cs="Arial" w:eastAsia="Arial" w:hAnsi="Arial"/>
                <w:sz w:val="17"/>
                <w:szCs w:val="17"/>
                <w:b w:val="1"/>
                <w:bCs w:val="1"/>
                <w:color w:val="auto"/>
                <w:w w:val="92"/>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3"/>
            <w:vMerge w:val="restart"/>
          </w:tcPr>
          <w:p>
            <w:pPr>
              <w:ind w:left="380"/>
              <w:spacing w:after="0"/>
              <w:rPr>
                <w:sz w:val="20"/>
                <w:szCs w:val="20"/>
                <w:color w:val="auto"/>
              </w:rPr>
            </w:pPr>
            <w:r>
              <w:rPr>
                <w:rFonts w:ascii="Arial" w:cs="Arial" w:eastAsia="Arial" w:hAnsi="Arial"/>
                <w:sz w:val="17"/>
                <w:szCs w:val="17"/>
                <w:b w:val="1"/>
                <w:bCs w:val="1"/>
                <w:color w:val="auto"/>
                <w:w w:val="99"/>
              </w:rPr>
              <w:t>Change</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4"/>
            <w:vMerge w:val="restart"/>
          </w:tcPr>
          <w:p>
            <w:pPr>
              <w:jc w:val="right"/>
              <w:ind w:right="214"/>
              <w:spacing w:after="0"/>
              <w:rPr>
                <w:sz w:val="20"/>
                <w:szCs w:val="20"/>
                <w:color w:val="auto"/>
              </w:rPr>
            </w:pPr>
            <w:r>
              <w:rPr>
                <w:rFonts w:ascii="Arial" w:cs="Arial" w:eastAsia="Arial" w:hAnsi="Arial"/>
                <w:sz w:val="17"/>
                <w:szCs w:val="17"/>
                <w:b w:val="1"/>
                <w:bCs w:val="1"/>
                <w:color w:val="auto"/>
                <w:w w:val="94"/>
              </w:rPr>
              <w:t>Six Months Ended June 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vMerge w:val="restart"/>
          </w:tcPr>
          <w:p>
            <w:pPr>
              <w:ind w:left="460"/>
              <w:spacing w:after="0"/>
              <w:rPr>
                <w:sz w:val="20"/>
                <w:szCs w:val="20"/>
                <w:color w:val="auto"/>
              </w:rPr>
            </w:pPr>
            <w:r>
              <w:rPr>
                <w:rFonts w:ascii="Arial" w:cs="Arial" w:eastAsia="Arial" w:hAnsi="Arial"/>
                <w:sz w:val="17"/>
                <w:szCs w:val="17"/>
                <w:b w:val="1"/>
                <w:bCs w:val="1"/>
                <w:color w:val="auto"/>
                <w:w w:val="99"/>
              </w:rPr>
              <w:t>Change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7"/>
                <w:szCs w:val="17"/>
                <w:b w:val="1"/>
                <w:bCs w:val="1"/>
                <w:color w:val="auto"/>
                <w:w w:val="91"/>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55"/>
        </w:trPr>
        <w:tc>
          <w:tcPr>
            <w:tcW w:w="19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Engineering and product</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57,045</w:t>
            </w: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57,974</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rPr>
              <w:t>2%</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107,036</w:t>
            </w: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168,045</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w w:val="99"/>
              </w:rPr>
              <w:t>61,009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0" w:type="dxa"/>
            <w:vAlign w:val="bottom"/>
          </w:tcPr>
          <w:p>
            <w:pPr>
              <w:spacing w:after="0"/>
              <w:rPr>
                <w:sz w:val="1"/>
                <w:szCs w:val="1"/>
                <w:color w:val="auto"/>
              </w:rPr>
            </w:pPr>
          </w:p>
        </w:tc>
      </w:tr>
      <w:tr>
        <w:trPr>
          <w:trHeight w:val="232"/>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w:t>
            </w:r>
          </w:p>
        </w:tc>
        <w:tc>
          <w:tcPr>
            <w:tcW w:w="2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96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25 %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i w:val="1"/>
                <w:iCs w:val="1"/>
                <w:color w:val="auto"/>
              </w:rPr>
              <w:t>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i w:val="1"/>
                <w:iCs w:val="1"/>
                <w:color w:val="auto"/>
              </w:rPr>
              <w:t>20 %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i w:val="1"/>
                <w:iCs w:val="1"/>
                <w:color w:val="auto"/>
              </w:rPr>
              <w:t>70 %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Engineering and product development expenses increased by $0.9 million, or 2%, for the three months ended June 30, 2023, compared to the same period in 2022. The increase was primarily due to an increased spending on engineering infrastructure, support services, and consultants. As a percentage of total revenue, engineering and product development expenses increased from 25% to 43%.</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Engineering and product development expenses increased by $61.0 million, or 57%, for the six months ended June 30, 2023, compared to the same period in 2022. The increase was primarily due to an increase of $57.1 million in payroll and other personnel-related expenses driven by an expense related to the cancellation of PRSUs, and severance payments under the January 2023 Plan. Refer to </w:t>
      </w:r>
      <w:r>
        <w:rPr>
          <w:rFonts w:ascii="Arial" w:cs="Arial" w:eastAsia="Arial" w:hAnsi="Arial"/>
          <w:sz w:val="17"/>
          <w:szCs w:val="17"/>
          <w:i w:val="1"/>
          <w:iCs w:val="1"/>
          <w:color w:val="auto"/>
        </w:rPr>
        <w:t>“Note 10. Stockholders' Equity”</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15. Reorganization Expenses</w:t>
      </w:r>
      <w:r>
        <w:rPr>
          <w:rFonts w:ascii="Arial" w:cs="Arial" w:eastAsia="Arial" w:hAnsi="Arial"/>
          <w:sz w:val="17"/>
          <w:szCs w:val="17"/>
          <w:color w:val="auto"/>
        </w:rPr>
        <w:t>” for further details on the PRSU cancellation and January 2023 Plan, respectively. As a percentage of total revenue, engineering and product development expenses increased from 20% to 70%.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General, Administrative, and Other</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47"/>
        </w:trPr>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4"/>
          </w:tcPr>
          <w:p>
            <w:pPr>
              <w:jc w:val="center"/>
              <w:ind w:right="174"/>
              <w:spacing w:after="0"/>
              <w:rPr>
                <w:sz w:val="20"/>
                <w:szCs w:val="20"/>
                <w:color w:val="auto"/>
              </w:rPr>
            </w:pPr>
            <w:r>
              <w:rPr>
                <w:rFonts w:ascii="Arial" w:cs="Arial" w:eastAsia="Arial" w:hAnsi="Arial"/>
                <w:sz w:val="17"/>
                <w:szCs w:val="17"/>
                <w:b w:val="1"/>
                <w:bCs w:val="1"/>
                <w:color w:val="auto"/>
                <w:w w:val="92"/>
              </w:rPr>
              <w:t>Three Months Ended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1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7"/>
                <w:szCs w:val="17"/>
                <w:b w:val="1"/>
                <w:bCs w:val="1"/>
                <w:color w:val="auto"/>
                <w:w w:val="88"/>
              </w:rPr>
              <w:t>June 30,</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7"/>
                <w:szCs w:val="17"/>
                <w:b w:val="1"/>
                <w:bCs w:val="1"/>
                <w:color w:val="auto"/>
                <w:w w:val="99"/>
              </w:rPr>
              <w:t>Change</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7"/>
                <w:szCs w:val="17"/>
                <w:b w:val="1"/>
                <w:bCs w:val="1"/>
                <w:color w:val="auto"/>
                <w:w w:val="94"/>
              </w:rPr>
              <w:t>Six Months Ended June 30,</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ind w:left="440"/>
              <w:spacing w:after="0"/>
              <w:rPr>
                <w:sz w:val="20"/>
                <w:szCs w:val="20"/>
                <w:color w:val="auto"/>
              </w:rPr>
            </w:pPr>
            <w:r>
              <w:rPr>
                <w:rFonts w:ascii="Arial" w:cs="Arial" w:eastAsia="Arial" w:hAnsi="Arial"/>
                <w:sz w:val="17"/>
                <w:szCs w:val="17"/>
                <w:b w:val="1"/>
                <w:bCs w:val="1"/>
                <w:color w:val="auto"/>
              </w:rPr>
              <w:t>Change</w:t>
            </w:r>
          </w:p>
        </w:tc>
        <w:tc>
          <w:tcPr>
            <w:tcW w:w="620" w:type="dxa"/>
            <w:vAlign w:val="bottom"/>
            <w:tcBorders>
              <w:bottom w:val="single" w:sz="8" w:color="auto"/>
            </w:tcBorders>
          </w:tcPr>
          <w:p>
            <w:pPr>
              <w:spacing w:after="0"/>
              <w:rPr>
                <w:sz w:val="21"/>
                <w:szCs w:val="21"/>
                <w:color w:val="auto"/>
              </w:rPr>
            </w:pPr>
          </w:p>
        </w:tc>
      </w:tr>
      <w:tr>
        <w:trPr>
          <w:trHeight w:val="251"/>
        </w:trPr>
        <w:tc>
          <w:tcPr>
            <w:tcW w:w="1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r>
      <w:tr>
        <w:trPr>
          <w:trHeight w:val="168"/>
        </w:trPr>
        <w:tc>
          <w:tcPr>
            <w:tcW w:w="19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General, administrative,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other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46,940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50,448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7 %  $</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90,396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103,111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12,715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18"/>
        </w:trPr>
        <w:tc>
          <w:tcPr>
            <w:tcW w:w="196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21 %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i w:val="1"/>
                <w:iCs w:val="1"/>
                <w:color w:val="auto"/>
              </w:rPr>
              <w:t>37 %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i w:val="1"/>
                <w:iCs w:val="1"/>
                <w:color w:val="auto"/>
              </w:rPr>
              <w:t>17 %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43 %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3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General, administrative, and other expenses increased by $3.5 million, or 7%, in the three months ended June 30, 2023, compared to the same period in 2022. The increase was primarily due to an increase of $6.8 million in payroll and personnel-related costs, including an increase in stock-based compensation expense, and a $1.1 million increase in depreciation and amortization expense. This increase is partially offset by a decrease of $3.1 million in other personnel-related expenses driven by a decrease in headcount and a decrease of $1.5 million in office and administrative related expenses and insurance. As a percentage of total revenue, general, administrative, and other expenses increased from 21% to 37%.</w:t>
      </w:r>
    </w:p>
    <w:p>
      <w:pPr>
        <w:spacing w:after="0" w:line="19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General, administrative, and other expenses increased by $12.7 million, or 14%, in the six months ended June 30, 2023, compared to the same period in 2022. The increase was primarily due to an increase of $15.4 million in payroll and personnel-related costs as a result of increased stock-based compensation expense and severance payments under the January 2023 Plan and an increase of $4.7 million in depreciation and amortization expense. The increase was partially offset by a decrease of $4.2 million in other personnel-related expenses driven by a decrease in headcount and a decrease of $2.5 million in office and administrative related expenses and insurance as well as decrease of $1.3 million of legal and compliance expenses. As a percentage of total revenue, general, administrative, and other expenses increased from 17% to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00" w:type="dxa"/>
            <w:vAlign w:val="bottom"/>
          </w:tcPr>
          <w:p>
            <w:pPr>
              <w:spacing w:after="0"/>
              <w:rPr>
                <w:sz w:val="20"/>
                <w:szCs w:val="20"/>
                <w:color w:val="auto"/>
              </w:rPr>
            </w:pPr>
            <w:r>
              <w:rPr>
                <w:rFonts w:ascii="Arial" w:cs="Arial" w:eastAsia="Arial" w:hAnsi="Arial"/>
                <w:sz w:val="17"/>
                <w:szCs w:val="17"/>
                <w:b w:val="1"/>
                <w:bCs w:val="1"/>
                <w:i w:val="1"/>
                <w:iCs w:val="1"/>
                <w:color w:val="auto"/>
              </w:rPr>
              <w:t>Other Income, Net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620"/>
        </w:trPr>
        <w:tc>
          <w:tcPr>
            <w:tcW w:w="2100" w:type="dxa"/>
            <w:vAlign w:val="bottom"/>
          </w:tcPr>
          <w:p>
            <w:pPr>
              <w:spacing w:after="0"/>
              <w:rPr>
                <w:sz w:val="24"/>
                <w:szCs w:val="2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4"/>
              </w:rPr>
              <w:t>Three Months Ended June 30,</w:t>
            </w:r>
          </w:p>
        </w:tc>
        <w:tc>
          <w:tcPr>
            <w:tcW w:w="120" w:type="dxa"/>
            <w:vAlign w:val="bottom"/>
          </w:tcPr>
          <w:p>
            <w:pPr>
              <w:spacing w:after="0"/>
              <w:rPr>
                <w:sz w:val="24"/>
                <w:szCs w:val="24"/>
                <w:color w:val="auto"/>
              </w:rPr>
            </w:pPr>
          </w:p>
        </w:tc>
        <w:tc>
          <w:tcPr>
            <w:tcW w:w="132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b w:val="1"/>
                <w:bCs w:val="1"/>
                <w:color w:val="auto"/>
                <w:w w:val="92"/>
              </w:rPr>
              <w:t>Change</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7"/>
                <w:szCs w:val="17"/>
                <w:b w:val="1"/>
                <w:bCs w:val="1"/>
                <w:color w:val="auto"/>
                <w:w w:val="92"/>
              </w:rPr>
              <w:t>Six Months Ended June 30,</w:t>
            </w:r>
          </w:p>
        </w:tc>
        <w:tc>
          <w:tcPr>
            <w:tcW w:w="100" w:type="dxa"/>
            <w:vAlign w:val="bottom"/>
          </w:tcPr>
          <w:p>
            <w:pPr>
              <w:spacing w:after="0"/>
              <w:rPr>
                <w:sz w:val="24"/>
                <w:szCs w:val="24"/>
                <w:color w:val="auto"/>
              </w:rPr>
            </w:pPr>
          </w:p>
        </w:tc>
        <w:tc>
          <w:tcPr>
            <w:tcW w:w="1320" w:type="dxa"/>
            <w:vAlign w:val="bottom"/>
            <w:tcBorders>
              <w:bottom w:val="single" w:sz="8" w:color="auto"/>
            </w:tcBorders>
            <w:gridSpan w:val="3"/>
          </w:tcPr>
          <w:p>
            <w:pPr>
              <w:ind w:left="740"/>
              <w:spacing w:after="0"/>
              <w:rPr>
                <w:sz w:val="20"/>
                <w:szCs w:val="20"/>
                <w:color w:val="auto"/>
              </w:rPr>
            </w:pPr>
            <w:r>
              <w:rPr>
                <w:rFonts w:ascii="Arial" w:cs="Arial" w:eastAsia="Arial" w:hAnsi="Arial"/>
                <w:sz w:val="17"/>
                <w:szCs w:val="17"/>
                <w:b w:val="1"/>
                <w:bCs w:val="1"/>
                <w:color w:val="auto"/>
                <w:w w:val="89"/>
              </w:rPr>
              <w:t>Change</w:t>
            </w:r>
          </w:p>
        </w:tc>
        <w:tc>
          <w:tcPr>
            <w:tcW w:w="720" w:type="dxa"/>
            <w:vAlign w:val="bottom"/>
            <w:tcBorders>
              <w:bottom w:val="single" w:sz="8" w:color="auto"/>
            </w:tcBorders>
          </w:tcPr>
          <w:p>
            <w:pPr>
              <w:spacing w:after="0"/>
              <w:rPr>
                <w:sz w:val="24"/>
                <w:szCs w:val="24"/>
                <w:color w:val="auto"/>
              </w:rPr>
            </w:pPr>
          </w:p>
        </w:tc>
      </w:tr>
      <w:tr>
        <w:trPr>
          <w:trHeight w:val="251"/>
        </w:trPr>
        <w:tc>
          <w:tcPr>
            <w:tcW w:w="2100" w:type="dxa"/>
            <w:vAlign w:val="bottom"/>
          </w:tcPr>
          <w:p>
            <w:pPr>
              <w:spacing w:after="0"/>
              <w:rPr>
                <w:sz w:val="21"/>
                <w:szCs w:val="21"/>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r>
      <w:tr>
        <w:trPr>
          <w:trHeight w:val="213"/>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96"/>
              </w:rPr>
              <w:t>130%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6"/>
              </w:rPr>
              <w:t>5,548%</w:t>
            </w:r>
          </w:p>
        </w:tc>
      </w:tr>
    </w:tbl>
    <w:p>
      <w:pPr>
        <w:spacing w:after="0" w:line="310"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Other income, net increased by $2.9 million in the three months ended June 30, 2023 compared to the same period in 2022. The increase was primarily due to $4.0 million increase in dividend income, partially offset by $1.1 million decrease in grant income during the three months ended June 30, 2023.</w:t>
      </w:r>
    </w:p>
    <w:p>
      <w:pPr>
        <w:spacing w:after="0" w:line="1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Other income, net increased by $7.7 million in the six months ended June 30, 2023 compared to the same period in 2022. The increase was due to an increase in dividend income of $7.7 million during the six months ended June 30, 2023.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23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To supplement our condensed consolidated financial statements prepared and presented in accordance with GAAP, we use the non-GAAP financial measures of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address these limitations, we provide a reconciliation of Contribution Profit, Contribution Margin, Adjusted EBITDA, Adjusted EBITDA Margin, and Adjusted Net Income (Loss) and Adjusted Net Income (Loss) Per Share to income (loss) from operations and net income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Profit and Contribution Margin</w:t>
      </w:r>
    </w:p>
    <w:p>
      <w:pPr>
        <w:spacing w:after="0" w:line="23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Contribution Profit and Contribution Margin have limitations as an analytical tool, and should not be considered in isolation or as a substitute for analysis of our results as reported under GAAP. Contribution Profit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6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60" w:type="dxa"/>
            <w:vAlign w:val="bottom"/>
            <w:gridSpan w:val="4"/>
          </w:tcPr>
          <w:p>
            <w:pPr>
              <w:jc w:val="right"/>
              <w:ind w:right="7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258,345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143,689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572,327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260,830</w:t>
            </w:r>
          </w:p>
        </w:tc>
        <w:tc>
          <w:tcPr>
            <w:tcW w:w="0" w:type="dxa"/>
            <w:vAlign w:val="bottom"/>
          </w:tcPr>
          <w:p>
            <w:pPr>
              <w:spacing w:after="0"/>
              <w:rPr>
                <w:sz w:val="1"/>
                <w:szCs w:val="1"/>
                <w:color w:val="auto"/>
              </w:rPr>
            </w:pPr>
          </w:p>
        </w:tc>
      </w:tr>
      <w:tr>
        <w:trPr>
          <w:trHeight w:val="218"/>
        </w:trPr>
        <w:tc>
          <w:tcPr>
            <w:tcW w:w="358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42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(32,107)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(33,344)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2,726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(165,179)</w:t>
            </w: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Operating Margin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4"/>
        </w:trPr>
        <w:tc>
          <w:tcPr>
            <w:tcW w:w="3580" w:type="dxa"/>
            <w:vAlign w:val="bottom"/>
          </w:tcPr>
          <w:p>
            <w:pPr>
              <w:ind w:left="20"/>
              <w:spacing w:after="0" w:line="174" w:lineRule="exact"/>
              <w:rPr>
                <w:sz w:val="20"/>
                <w:szCs w:val="20"/>
                <w:color w:val="auto"/>
              </w:rPr>
            </w:pPr>
            <w:r>
              <w:rPr>
                <w:rFonts w:ascii="Arial" w:cs="Arial" w:eastAsia="Arial" w:hAnsi="Arial"/>
                <w:sz w:val="17"/>
                <w:szCs w:val="17"/>
                <w:color w:val="auto"/>
                <w:w w:val="97"/>
              </w:rPr>
              <w:t>Sales and marketing, net of borrower acquisition</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80" w:type="dxa"/>
            <w:vAlign w:val="bottom"/>
          </w:tcPr>
          <w:p>
            <w:pPr>
              <w:ind w:left="20"/>
              <w:spacing w:after="0" w:line="225" w:lineRule="exact"/>
              <w:rPr>
                <w:sz w:val="20"/>
                <w:szCs w:val="20"/>
                <w:color w:val="auto"/>
              </w:rPr>
            </w:pPr>
            <w:r>
              <w:rPr>
                <w:rFonts w:ascii="Arial" w:cs="Arial" w:eastAsia="Arial" w:hAnsi="Arial"/>
                <w:sz w:val="17"/>
                <w:szCs w:val="17"/>
                <w:color w:val="auto"/>
              </w:rPr>
              <w:t>costs</w:t>
            </w:r>
            <w:r>
              <w:rPr>
                <w:rFonts w:ascii="Arial" w:cs="Arial" w:eastAsia="Arial" w:hAnsi="Arial"/>
                <w:sz w:val="22"/>
                <w:szCs w:val="22"/>
                <w:color w:val="auto"/>
                <w:vertAlign w:val="superscript"/>
              </w:rPr>
              <w:t>(1)</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11,927</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4,842</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21,562</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16,568</w:t>
            </w:r>
          </w:p>
        </w:tc>
        <w:tc>
          <w:tcPr>
            <w:tcW w:w="0" w:type="dxa"/>
            <w:vAlign w:val="bottom"/>
          </w:tcPr>
          <w:p>
            <w:pPr>
              <w:spacing w:after="0"/>
              <w:rPr>
                <w:sz w:val="1"/>
                <w:szCs w:val="1"/>
                <w:color w:val="auto"/>
              </w:rPr>
            </w:pPr>
          </w:p>
        </w:tc>
      </w:tr>
      <w:tr>
        <w:trPr>
          <w:trHeight w:val="168"/>
        </w:trPr>
        <w:tc>
          <w:tcPr>
            <w:tcW w:w="35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6"/>
              </w:rPr>
              <w:t>Customer operations, net of borrower verification</w:t>
            </w:r>
          </w:p>
        </w:tc>
        <w:tc>
          <w:tcPr>
            <w:tcW w:w="4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6,941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8,079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13,021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18,863</w:t>
            </w:r>
          </w:p>
        </w:tc>
        <w:tc>
          <w:tcPr>
            <w:tcW w:w="0" w:type="dxa"/>
            <w:vAlign w:val="bottom"/>
          </w:tcPr>
          <w:p>
            <w:pPr>
              <w:spacing w:after="0"/>
              <w:rPr>
                <w:sz w:val="1"/>
                <w:szCs w:val="1"/>
                <w:color w:val="auto"/>
              </w:rPr>
            </w:pPr>
          </w:p>
        </w:tc>
      </w:tr>
      <w:tr>
        <w:trPr>
          <w:trHeight w:val="232"/>
        </w:trPr>
        <w:tc>
          <w:tcPr>
            <w:tcW w:w="3580" w:type="dxa"/>
            <w:vAlign w:val="bottom"/>
            <w:shd w:val="clear" w:color="auto" w:fill="CCEEFF"/>
          </w:tcPr>
          <w:p>
            <w:pPr>
              <w:ind w:left="20"/>
              <w:spacing w:after="0" w:line="231" w:lineRule="exact"/>
              <w:rPr>
                <w:sz w:val="20"/>
                <w:szCs w:val="20"/>
                <w:color w:val="auto"/>
              </w:rPr>
            </w:pPr>
            <w:r>
              <w:rPr>
                <w:rFonts w:ascii="Arial" w:cs="Arial" w:eastAsia="Arial" w:hAnsi="Arial"/>
                <w:sz w:val="17"/>
                <w:szCs w:val="17"/>
                <w:color w:val="auto"/>
              </w:rPr>
              <w:t>and servicing costs</w:t>
            </w:r>
            <w:r>
              <w:rPr>
                <w:rFonts w:ascii="Arial" w:cs="Arial" w:eastAsia="Arial" w:hAnsi="Arial"/>
                <w:sz w:val="22"/>
                <w:szCs w:val="22"/>
                <w:color w:val="auto"/>
                <w:vertAlign w:val="superscript"/>
              </w:rPr>
              <w:t>(2)</w:t>
            </w:r>
          </w:p>
        </w:tc>
        <w:tc>
          <w:tcPr>
            <w:tcW w:w="42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580" w:type="dxa"/>
            <w:vAlign w:val="bottom"/>
          </w:tcPr>
          <w:p>
            <w:pPr>
              <w:ind w:left="20"/>
              <w:spacing w:after="0"/>
              <w:rPr>
                <w:sz w:val="20"/>
                <w:szCs w:val="20"/>
                <w:color w:val="auto"/>
              </w:rPr>
            </w:pPr>
            <w:r>
              <w:rPr>
                <w:rFonts w:ascii="Arial" w:cs="Arial" w:eastAsia="Arial" w:hAnsi="Arial"/>
                <w:sz w:val="17"/>
                <w:szCs w:val="17"/>
                <w:color w:val="auto"/>
              </w:rPr>
              <w:t>Engineering and product development</w:t>
            </w: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57,045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57,974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107,036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168,045</w:t>
            </w: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administrative, and other</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46,940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50,448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90,396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103,111</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income and fair value adjustments, net</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30,183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7,923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34,029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22,137</w:t>
            </w:r>
          </w:p>
        </w:tc>
        <w:tc>
          <w:tcPr>
            <w:tcW w:w="0" w:type="dxa"/>
            <w:vAlign w:val="bottom"/>
          </w:tcPr>
          <w:p>
            <w:pPr>
              <w:spacing w:after="0"/>
              <w:rPr>
                <w:sz w:val="1"/>
                <w:szCs w:val="1"/>
                <w:color w:val="auto"/>
              </w:rPr>
            </w:pPr>
          </w:p>
        </w:tc>
      </w:tr>
      <w:tr>
        <w:trPr>
          <w:trHeight w:val="238"/>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 Profit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120,929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95,922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268,770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163,545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i w:val="1"/>
                <w:iCs w:val="1"/>
                <w:color w:val="auto"/>
              </w:rPr>
              <w:t>Contribution Margin</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47 %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67 %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47 %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92"/>
        </w:trPr>
        <w:tc>
          <w:tcPr>
            <w:tcW w:w="3580" w:type="dxa"/>
            <w:vAlign w:val="bottom"/>
          </w:tcPr>
          <w:p>
            <w:pPr>
              <w:spacing w:after="0"/>
              <w:rPr>
                <w:sz w:val="20"/>
                <w:szCs w:val="20"/>
                <w:color w:val="auto"/>
              </w:rPr>
            </w:pPr>
            <w:r>
              <w:rPr>
                <w:rFonts w:ascii="Arial" w:cs="Arial" w:eastAsia="Arial" w:hAnsi="Arial"/>
                <w:sz w:val="17"/>
                <w:szCs w:val="17"/>
                <w:color w:val="auto"/>
              </w:rPr>
              <w:t>_________</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7"/>
        <w:spacing w:after="0" w:line="243"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Borrower acquisition costs were $93.3 million and $19.0 million for the three months ended June 30, 2022 and 2023, respectively, and were $217.1 million and $38.8 million for the six months ended June 30, 2022 and 2023,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jc w:val="both"/>
        <w:ind w:left="460" w:hanging="457"/>
        <w:spacing w:after="0" w:line="344" w:lineRule="auto"/>
        <w:tabs>
          <w:tab w:leader="none" w:pos="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Borrower verification and servicing costs were $44.1 million and $28.7 million for the three months ended June 30, 2022 and 2023, respectively, and were $86.5 million and $58.5 million for the six months ended June 30, 2022 and 2023,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believe that Adjusted EBITDA and Adjusted EBITDA Margin are useful for investors to use in comparing our financial performance with the performance of other companies for the following reasons:</w:t>
      </w:r>
    </w:p>
    <w:p>
      <w:pPr>
        <w:spacing w:after="0" w:line="61" w:lineRule="exact"/>
        <w:rPr>
          <w:sz w:val="20"/>
          <w:szCs w:val="20"/>
          <w:color w:val="auto"/>
        </w:rPr>
      </w:pPr>
    </w:p>
    <w:p>
      <w:pPr>
        <w:jc w:val="both"/>
        <w:ind w:left="940" w:hanging="318"/>
        <w:spacing w:after="0" w:line="258" w:lineRule="auto"/>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65" w:lineRule="exact"/>
        <w:rPr>
          <w:rFonts w:ascii="Arial" w:cs="Arial" w:eastAsia="Arial" w:hAnsi="Arial"/>
          <w:sz w:val="17"/>
          <w:szCs w:val="17"/>
          <w:color w:val="auto"/>
        </w:rPr>
      </w:pPr>
    </w:p>
    <w:p>
      <w:pPr>
        <w:jc w:val="both"/>
        <w:ind w:left="940" w:hanging="318"/>
        <w:spacing w:after="0" w:line="258" w:lineRule="auto"/>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and Adjusted EBITDA Margin eliminate the impact of certain items such as stock-based compensation expense and certain payroll tax expense, warrant expense, acquisition-related costs, and reorganization expenses that may obscure trends in the underlying performance of our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91" w:lineRule="exact"/>
        <w:rPr>
          <w:sz w:val="20"/>
          <w:szCs w:val="20"/>
          <w:color w:val="auto"/>
        </w:rPr>
      </w:pPr>
    </w:p>
    <w:p>
      <w:pPr>
        <w:ind w:left="940" w:hanging="318"/>
        <w:spacing w:after="0" w:line="264"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202"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61" w:lineRule="exact"/>
        <w:rPr>
          <w:sz w:val="20"/>
          <w:szCs w:val="20"/>
          <w:color w:val="auto"/>
        </w:rPr>
      </w:pPr>
    </w:p>
    <w:p>
      <w:pPr>
        <w:ind w:left="940" w:hanging="318"/>
        <w:spacing w:after="0" w:line="331" w:lineRule="auto"/>
        <w:tabs>
          <w:tab w:leader="none" w:pos="9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14" w:lineRule="exact"/>
        <w:rPr>
          <w:rFonts w:ascii="Arial" w:cs="Arial" w:eastAsia="Arial" w:hAnsi="Arial"/>
          <w:sz w:val="15"/>
          <w:szCs w:val="15"/>
          <w:color w:val="auto"/>
        </w:rPr>
      </w:pPr>
    </w:p>
    <w:p>
      <w:pPr>
        <w:jc w:val="both"/>
        <w:ind w:left="940" w:hanging="318"/>
        <w:spacing w:after="0" w:line="295" w:lineRule="auto"/>
        <w:tabs>
          <w:tab w:leader="none" w:pos="9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54" w:lineRule="exact"/>
        <w:rPr>
          <w:rFonts w:ascii="Arial" w:cs="Arial" w:eastAsia="Arial" w:hAnsi="Arial"/>
          <w:sz w:val="15"/>
          <w:szCs w:val="15"/>
          <w:color w:val="auto"/>
        </w:rPr>
      </w:pPr>
    </w:p>
    <w:p>
      <w:pPr>
        <w:jc w:val="both"/>
        <w:ind w:left="940" w:hanging="318"/>
        <w:spacing w:after="0" w:line="250"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85" w:lineRule="exact"/>
        <w:rPr>
          <w:rFonts w:ascii="Arial" w:cs="Arial" w:eastAsia="Arial" w:hAnsi="Arial"/>
          <w:sz w:val="17"/>
          <w:szCs w:val="17"/>
          <w:color w:val="auto"/>
        </w:rPr>
      </w:pPr>
    </w:p>
    <w:p>
      <w:pPr>
        <w:jc w:val="both"/>
        <w:ind w:left="940" w:hanging="318"/>
        <w:spacing w:after="0" w:line="250"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14" w:lineRule="exact"/>
        <w:rPr>
          <w:sz w:val="20"/>
          <w:szCs w:val="20"/>
          <w:color w:val="auto"/>
        </w:rPr>
      </w:pPr>
    </w:p>
    <w:p>
      <w:pPr>
        <w:jc w:val="both"/>
        <w:ind w:firstLine="541"/>
        <w:spacing w:after="0" w:line="250" w:lineRule="auto"/>
        <w:rPr>
          <w:sz w:val="20"/>
          <w:szCs w:val="20"/>
          <w:color w:val="auto"/>
        </w:rPr>
      </w:pPr>
      <w:r>
        <w:rPr>
          <w:rFonts w:ascii="Arial" w:cs="Arial" w:eastAsia="Arial" w:hAnsi="Arial"/>
          <w:sz w:val="17"/>
          <w:szCs w:val="17"/>
          <w:color w:val="auto"/>
        </w:rPr>
        <w:t>Because of these limitations, Adjusted EBITDA and Adjusted EBITDA Margin should be considered along with other operating and financial performance measures presented in accordance with GAAP. The following table provides a reconciliation of net income (loss) and Net Income (Loss) Margin to Adjusted EBITDA Margin. We define Net Income (Loss) Margin as net income (loss) divided by total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7"/>
                <w:szCs w:val="17"/>
                <w:b w:val="1"/>
                <w:bCs w:val="1"/>
                <w:color w:val="auto"/>
              </w:rPr>
              <w:t>Six Months Ended June 30,</w:t>
            </w:r>
          </w:p>
        </w:tc>
      </w:tr>
      <w:tr>
        <w:trPr>
          <w:trHeight w:val="219"/>
        </w:trPr>
        <w:tc>
          <w:tcPr>
            <w:tcW w:w="34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2023</w:t>
            </w: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228,162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135,766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538,298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238,693</w:t>
            </w:r>
          </w:p>
        </w:tc>
      </w:tr>
      <w:tr>
        <w:trPr>
          <w:trHeight w:val="225"/>
        </w:trPr>
        <w:tc>
          <w:tcPr>
            <w:tcW w:w="34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4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(29,871)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(28,165)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114"/>
              <w:spacing w:after="0"/>
              <w:rPr>
                <w:sz w:val="20"/>
                <w:szCs w:val="20"/>
                <w:color w:val="auto"/>
              </w:rPr>
            </w:pPr>
            <w:r>
              <w:rPr>
                <w:rFonts w:ascii="Arial" w:cs="Arial" w:eastAsia="Arial" w:hAnsi="Arial"/>
                <w:sz w:val="17"/>
                <w:szCs w:val="17"/>
                <w:color w:val="auto"/>
              </w:rPr>
              <w:t>2,821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74"/>
              <w:spacing w:after="0"/>
              <w:rPr>
                <w:sz w:val="20"/>
                <w:szCs w:val="20"/>
                <w:color w:val="auto"/>
              </w:rPr>
            </w:pPr>
            <w:r>
              <w:rPr>
                <w:rFonts w:ascii="Arial" w:cs="Arial" w:eastAsia="Arial" w:hAnsi="Arial"/>
                <w:sz w:val="17"/>
                <w:szCs w:val="17"/>
                <w:color w:val="auto"/>
              </w:rPr>
              <w:t>(157,419)</w:t>
            </w:r>
          </w:p>
        </w:tc>
      </w:tr>
      <w:tr>
        <w:trPr>
          <w:trHeight w:val="226"/>
        </w:trPr>
        <w:tc>
          <w:tcPr>
            <w:tcW w:w="340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Net Income (Loss) Margin</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8"/>
        </w:trPr>
        <w:tc>
          <w:tcPr>
            <w:tcW w:w="3400" w:type="dxa"/>
            <w:vAlign w:val="bottom"/>
          </w:tcPr>
          <w:p>
            <w:pPr>
              <w:ind w:left="20"/>
              <w:spacing w:after="0"/>
              <w:rPr>
                <w:sz w:val="20"/>
                <w:szCs w:val="20"/>
                <w:color w:val="auto"/>
              </w:rPr>
            </w:pPr>
            <w:r>
              <w:rPr>
                <w:rFonts w:ascii="Arial" w:cs="Arial" w:eastAsia="Arial" w:hAnsi="Arial"/>
                <w:sz w:val="17"/>
                <w:szCs w:val="17"/>
                <w:color w:val="auto"/>
              </w:rPr>
              <w:t>Adjusted to exclude the following:</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75"/>
        </w:trPr>
        <w:tc>
          <w:tcPr>
            <w:tcW w:w="340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w w:val="96"/>
              </w:rPr>
              <w:t>Stock-based compensation and certain payroll</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26"/>
        </w:trPr>
        <w:tc>
          <w:tcPr>
            <w:tcW w:w="3400" w:type="dxa"/>
            <w:vAlign w:val="bottom"/>
            <w:shd w:val="clear" w:color="auto" w:fill="CCEEFF"/>
          </w:tcPr>
          <w:p>
            <w:pPr>
              <w:ind w:left="20"/>
              <w:spacing w:after="0" w:line="225" w:lineRule="exact"/>
              <w:rPr>
                <w:sz w:val="20"/>
                <w:szCs w:val="20"/>
                <w:color w:val="auto"/>
              </w:rPr>
            </w:pPr>
            <w:r>
              <w:rPr>
                <w:rFonts w:ascii="Arial" w:cs="Arial" w:eastAsia="Arial" w:hAnsi="Arial"/>
                <w:sz w:val="17"/>
                <w:szCs w:val="17"/>
                <w:color w:val="auto"/>
              </w:rPr>
              <w:t>tax expenses</w:t>
            </w:r>
            <w:r>
              <w:rPr>
                <w:rFonts w:ascii="Arial" w:cs="Arial" w:eastAsia="Arial" w:hAnsi="Arial"/>
                <w:sz w:val="22"/>
                <w:szCs w:val="22"/>
                <w:color w:val="auto"/>
                <w:vertAlign w:val="superscript"/>
              </w:rPr>
              <w:t>(1)</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30,836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33,519</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56,765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108,545</w:t>
            </w:r>
          </w:p>
        </w:tc>
      </w:tr>
      <w:tr>
        <w:trPr>
          <w:trHeight w:val="218"/>
        </w:trPr>
        <w:tc>
          <w:tcPr>
            <w:tcW w:w="340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44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3,354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4,425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4"/>
              <w:spacing w:after="0"/>
              <w:rPr>
                <w:sz w:val="20"/>
                <w:szCs w:val="20"/>
                <w:color w:val="auto"/>
              </w:rPr>
            </w:pPr>
            <w:r>
              <w:rPr>
                <w:rFonts w:ascii="Arial" w:cs="Arial" w:eastAsia="Arial" w:hAnsi="Arial"/>
                <w:sz w:val="17"/>
                <w:szCs w:val="17"/>
                <w:color w:val="auto"/>
              </w:rPr>
              <w:t>6,135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4"/>
              <w:spacing w:after="0"/>
              <w:rPr>
                <w:sz w:val="20"/>
                <w:szCs w:val="20"/>
                <w:color w:val="auto"/>
              </w:rPr>
            </w:pPr>
            <w:r>
              <w:rPr>
                <w:rFonts w:ascii="Arial" w:cs="Arial" w:eastAsia="Arial" w:hAnsi="Arial"/>
                <w:sz w:val="17"/>
                <w:szCs w:val="17"/>
                <w:color w:val="auto"/>
              </w:rPr>
              <w:t>10,866</w:t>
            </w: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Reorganization expenses</w:t>
            </w: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15,536</w:t>
            </w:r>
          </w:p>
        </w:tc>
      </w:tr>
      <w:tr>
        <w:trPr>
          <w:trHeight w:val="218"/>
        </w:trPr>
        <w:tc>
          <w:tcPr>
            <w:tcW w:w="3400" w:type="dxa"/>
            <w:vAlign w:val="bottom"/>
          </w:tcPr>
          <w:p>
            <w:pPr>
              <w:ind w:left="20"/>
              <w:spacing w:after="0"/>
              <w:rPr>
                <w:sz w:val="20"/>
                <w:szCs w:val="20"/>
                <w:color w:val="auto"/>
              </w:rPr>
            </w:pPr>
            <w:r>
              <w:rPr>
                <w:rFonts w:ascii="Arial" w:cs="Arial" w:eastAsia="Arial" w:hAnsi="Arial"/>
                <w:sz w:val="17"/>
                <w:szCs w:val="17"/>
                <w:color w:val="auto"/>
              </w:rPr>
              <w:t>Expense on convertible notes</w:t>
            </w:r>
          </w:p>
        </w:tc>
        <w:tc>
          <w:tcPr>
            <w:tcW w:w="44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1,170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1,176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4"/>
              <w:spacing w:after="0"/>
              <w:rPr>
                <w:sz w:val="20"/>
                <w:szCs w:val="20"/>
                <w:color w:val="auto"/>
              </w:rPr>
            </w:pPr>
            <w:r>
              <w:rPr>
                <w:rFonts w:ascii="Arial" w:cs="Arial" w:eastAsia="Arial" w:hAnsi="Arial"/>
                <w:sz w:val="17"/>
                <w:szCs w:val="17"/>
                <w:color w:val="auto"/>
              </w:rPr>
              <w:t>2,339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4"/>
              <w:spacing w:after="0"/>
              <w:rPr>
                <w:sz w:val="20"/>
                <w:szCs w:val="20"/>
                <w:color w:val="auto"/>
              </w:rPr>
            </w:pPr>
            <w:r>
              <w:rPr>
                <w:rFonts w:ascii="Arial" w:cs="Arial" w:eastAsia="Arial" w:hAnsi="Arial"/>
                <w:sz w:val="17"/>
                <w:szCs w:val="17"/>
                <w:color w:val="auto"/>
              </w:rPr>
              <w:t>2,350</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34</w:t>
            </w:r>
          </w:p>
        </w:tc>
      </w:tr>
      <w:tr>
        <w:trPr>
          <w:trHeight w:val="213"/>
        </w:trPr>
        <w:tc>
          <w:tcPr>
            <w:tcW w:w="340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5,513</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10,973</w:t>
            </w:r>
          </w:p>
        </w:tc>
        <w:tc>
          <w:tcPr>
            <w:tcW w:w="5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14"/>
              <w:spacing w:after="0"/>
              <w:rPr>
                <w:sz w:val="20"/>
                <w:szCs w:val="20"/>
                <w:color w:val="auto"/>
              </w:rPr>
            </w:pPr>
            <w:r>
              <w:rPr>
                <w:rFonts w:ascii="Arial" w:cs="Arial" w:eastAsia="Arial" w:hAnsi="Arial"/>
                <w:sz w:val="17"/>
                <w:szCs w:val="17"/>
                <w:color w:val="auto"/>
              </w:rPr>
              <w:t>68,103</w:t>
            </w:r>
          </w:p>
        </w:tc>
        <w:tc>
          <w:tcPr>
            <w:tcW w:w="5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74"/>
              <w:spacing w:after="0"/>
              <w:rPr>
                <w:sz w:val="20"/>
                <w:szCs w:val="20"/>
                <w:color w:val="auto"/>
              </w:rPr>
            </w:pPr>
            <w:r>
              <w:rPr>
                <w:rFonts w:ascii="Arial" w:cs="Arial" w:eastAsia="Arial" w:hAnsi="Arial"/>
                <w:sz w:val="17"/>
                <w:szCs w:val="17"/>
                <w:color w:val="auto"/>
              </w:rPr>
              <w:t>(20,088)</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340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Adjusted EBITDA Margin</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52"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(Loss) and Adjusted Net Income (Loss) Per Share</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define Adjusted Net Income (Loss) as net income (loss) exclusive of stock-based compensation expense and certain payroll tax expense and reorganization expenses.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8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60" w:type="dxa"/>
            <w:vAlign w:val="bottom"/>
            <w:gridSpan w:val="4"/>
          </w:tcPr>
          <w:p>
            <w:pPr>
              <w:jc w:val="right"/>
              <w:ind w:right="75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(157,419)</w:t>
            </w:r>
          </w:p>
        </w:tc>
        <w:tc>
          <w:tcPr>
            <w:tcW w:w="0" w:type="dxa"/>
            <w:vAlign w:val="bottom"/>
          </w:tcPr>
          <w:p>
            <w:pPr>
              <w:spacing w:after="0"/>
              <w:rPr>
                <w:sz w:val="1"/>
                <w:szCs w:val="1"/>
                <w:color w:val="auto"/>
              </w:rPr>
            </w:pPr>
          </w:p>
        </w:tc>
      </w:tr>
      <w:tr>
        <w:trPr>
          <w:trHeight w:val="218"/>
        </w:trPr>
        <w:tc>
          <w:tcPr>
            <w:tcW w:w="3620" w:type="dxa"/>
            <w:vAlign w:val="bottom"/>
          </w:tcPr>
          <w:p>
            <w:pPr>
              <w:ind w:left="20"/>
              <w:spacing w:after="0"/>
              <w:rPr>
                <w:sz w:val="20"/>
                <w:szCs w:val="20"/>
                <w:color w:val="auto"/>
              </w:rPr>
            </w:pPr>
            <w:r>
              <w:rPr>
                <w:rFonts w:ascii="Arial" w:cs="Arial" w:eastAsia="Arial" w:hAnsi="Arial"/>
                <w:sz w:val="17"/>
                <w:szCs w:val="17"/>
                <w:color w:val="auto"/>
              </w:rPr>
              <w:t>Adjusted to exclude the following:</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6"/>
              </w:rPr>
              <w:t>Stock-based compensation and certain payroll</w:t>
            </w:r>
          </w:p>
        </w:tc>
        <w:tc>
          <w:tcPr>
            <w:tcW w:w="4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30,836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33,519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56,765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108,545</w:t>
            </w:r>
          </w:p>
        </w:tc>
        <w:tc>
          <w:tcPr>
            <w:tcW w:w="0" w:type="dxa"/>
            <w:vAlign w:val="bottom"/>
          </w:tcPr>
          <w:p>
            <w:pPr>
              <w:spacing w:after="0"/>
              <w:rPr>
                <w:sz w:val="1"/>
                <w:szCs w:val="1"/>
                <w:color w:val="auto"/>
              </w:rPr>
            </w:pPr>
          </w:p>
        </w:tc>
      </w:tr>
      <w:tr>
        <w:trPr>
          <w:trHeight w:val="232"/>
        </w:trPr>
        <w:tc>
          <w:tcPr>
            <w:tcW w:w="3620" w:type="dxa"/>
            <w:vAlign w:val="bottom"/>
            <w:shd w:val="clear" w:color="auto" w:fill="CCEEFF"/>
          </w:tcPr>
          <w:p>
            <w:pPr>
              <w:ind w:left="220"/>
              <w:spacing w:after="0" w:line="231" w:lineRule="exact"/>
              <w:rPr>
                <w:sz w:val="20"/>
                <w:szCs w:val="20"/>
                <w:color w:val="auto"/>
              </w:rPr>
            </w:pPr>
            <w:r>
              <w:rPr>
                <w:rFonts w:ascii="Arial" w:cs="Arial" w:eastAsia="Arial" w:hAnsi="Arial"/>
                <w:sz w:val="17"/>
                <w:szCs w:val="17"/>
                <w:color w:val="auto"/>
              </w:rPr>
              <w:t>tax expenses</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20" w:type="dxa"/>
            <w:vAlign w:val="bottom"/>
          </w:tcPr>
          <w:p>
            <w:pPr>
              <w:ind w:left="220"/>
              <w:spacing w:after="0"/>
              <w:rPr>
                <w:sz w:val="20"/>
                <w:szCs w:val="20"/>
                <w:color w:val="auto"/>
              </w:rPr>
            </w:pPr>
            <w:r>
              <w:rPr>
                <w:rFonts w:ascii="Arial" w:cs="Arial" w:eastAsia="Arial" w:hAnsi="Arial"/>
                <w:sz w:val="17"/>
                <w:szCs w:val="17"/>
                <w:color w:val="auto"/>
              </w:rPr>
              <w:t>Reorganization expenses</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15,536</w:t>
            </w: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(Loss)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59,586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(33,338)</w:t>
            </w:r>
          </w:p>
        </w:tc>
        <w:tc>
          <w:tcPr>
            <w:tcW w:w="0" w:type="dxa"/>
            <w:vAlign w:val="bottom"/>
          </w:tcPr>
          <w:p>
            <w:pPr>
              <w:spacing w:after="0"/>
              <w:rPr>
                <w:sz w:val="1"/>
                <w:szCs w:val="1"/>
                <w:color w:val="auto"/>
              </w:rPr>
            </w:pPr>
          </w:p>
        </w:tc>
      </w:tr>
      <w:tr>
        <w:trPr>
          <w:trHeight w:val="205"/>
        </w:trPr>
        <w:tc>
          <w:tcPr>
            <w:tcW w:w="3620" w:type="dxa"/>
            <w:vAlign w:val="bottom"/>
          </w:tcPr>
          <w:p>
            <w:pPr>
              <w:ind w:left="20"/>
              <w:spacing w:after="0"/>
              <w:rPr>
                <w:sz w:val="20"/>
                <w:szCs w:val="20"/>
                <w:color w:val="auto"/>
              </w:rPr>
            </w:pPr>
            <w:r>
              <w:rPr>
                <w:rFonts w:ascii="Arial" w:cs="Arial" w:eastAsia="Arial" w:hAnsi="Arial"/>
                <w:sz w:val="17"/>
                <w:szCs w:val="17"/>
                <w:color w:val="auto"/>
              </w:rPr>
              <w:t>Net income (loss) per share:</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8"/>
        </w:trPr>
        <w:tc>
          <w:tcPr>
            <w:tcW w:w="3620" w:type="dxa"/>
            <w:vAlign w:val="bottom"/>
          </w:tcPr>
          <w:p>
            <w:pPr>
              <w:ind w:left="220"/>
              <w:spacing w:after="0"/>
              <w:rPr>
                <w:sz w:val="20"/>
                <w:szCs w:val="20"/>
                <w:color w:val="auto"/>
              </w:rPr>
            </w:pPr>
            <w:r>
              <w:rPr>
                <w:rFonts w:ascii="Arial" w:cs="Arial" w:eastAsia="Arial" w:hAnsi="Arial"/>
                <w:sz w:val="17"/>
                <w:szCs w:val="17"/>
                <w:color w:val="auto"/>
              </w:rPr>
              <w:t>Diluted</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(0.36)</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(0.34)</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0.03</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(Loss) per Share:</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20" w:type="dxa"/>
            <w:vAlign w:val="bottom"/>
          </w:tcPr>
          <w:p>
            <w:pPr>
              <w:ind w:left="220"/>
              <w:spacing w:after="0"/>
              <w:rPr>
                <w:sz w:val="20"/>
                <w:szCs w:val="20"/>
                <w:color w:val="auto"/>
              </w:rPr>
            </w:pPr>
            <w:r>
              <w:rPr>
                <w:rFonts w:ascii="Arial" w:cs="Arial" w:eastAsia="Arial" w:hAnsi="Arial"/>
                <w:sz w:val="17"/>
                <w:szCs w:val="17"/>
                <w:color w:val="auto"/>
              </w:rPr>
              <w:t>Basic</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0.01</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0.06</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0.71</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25"/>
        </w:trPr>
        <w:tc>
          <w:tcPr>
            <w:tcW w:w="3620" w:type="dxa"/>
            <w:vAlign w:val="bottom"/>
          </w:tcPr>
          <w:p>
            <w:pPr>
              <w:ind w:left="20"/>
              <w:spacing w:after="0"/>
              <w:rPr>
                <w:sz w:val="20"/>
                <w:szCs w:val="20"/>
                <w:color w:val="auto"/>
              </w:rPr>
            </w:pPr>
            <w:r>
              <w:rPr>
                <w:rFonts w:ascii="Arial" w:cs="Arial" w:eastAsia="Arial" w:hAnsi="Arial"/>
                <w:sz w:val="17"/>
                <w:szCs w:val="17"/>
                <w:color w:val="auto"/>
                <w:w w:val="98"/>
              </w:rPr>
              <w:t>Weighted-average common shares outstanding:</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83,833,963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83,130,638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84,031,109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82,524,403</w:t>
            </w:r>
          </w:p>
        </w:tc>
        <w:tc>
          <w:tcPr>
            <w:tcW w:w="0" w:type="dxa"/>
            <w:vAlign w:val="bottom"/>
          </w:tcPr>
          <w:p>
            <w:pPr>
              <w:spacing w:after="0"/>
              <w:rPr>
                <w:sz w:val="1"/>
                <w:szCs w:val="1"/>
                <w:color w:val="auto"/>
              </w:rPr>
            </w:pPr>
          </w:p>
        </w:tc>
      </w:tr>
      <w:tr>
        <w:trPr>
          <w:trHeight w:val="218"/>
        </w:trPr>
        <w:tc>
          <w:tcPr>
            <w:tcW w:w="3620" w:type="dxa"/>
            <w:vAlign w:val="bottom"/>
          </w:tcPr>
          <w:p>
            <w:pPr>
              <w:ind w:left="220"/>
              <w:spacing w:after="0"/>
              <w:rPr>
                <w:sz w:val="20"/>
                <w:szCs w:val="20"/>
                <w:color w:val="auto"/>
              </w:rPr>
            </w:pPr>
            <w:r>
              <w:rPr>
                <w:rFonts w:ascii="Arial" w:cs="Arial" w:eastAsia="Arial" w:hAnsi="Arial"/>
                <w:sz w:val="17"/>
                <w:szCs w:val="17"/>
                <w:color w:val="auto"/>
              </w:rPr>
              <w:t>Diluted</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93,340,659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91,026,284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94,509,060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82,524,403</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52"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Payroll tax expenses includes the amount of employer payroll tax-related expense on employee stock transactions, as the amount is dependent on our stock price and other factors that are beyond our control and do not correlate to the operation of our business.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and Uses of Cash</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June 30, 2023, our primary source of liquidity was cash of $443.7 million. We also held $5.0 million of investments in certificates of deposit with maturities greater than three months as of June 30, 2023. Certificates of deposit provide a secondary source of liquidity since they can be converted into cash in a timely manner. Changes in the balance of cash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or the warehouse trusts and corporate cash.</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convertible senior notes have a principal balance of $661.3 million and bear interest at a rate of 0.25% per year, payable semiannually in arrears on February 15 and August 15 of each year. The Notes mature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August 15, 2026 unless earlier converted, redeemed, or repurchased in accordance with their terms. Refer to “</w:t>
      </w:r>
      <w:r>
        <w:rPr>
          <w:rFonts w:ascii="Arial" w:cs="Arial" w:eastAsia="Arial" w:hAnsi="Arial"/>
          <w:sz w:val="17"/>
          <w:szCs w:val="17"/>
          <w:i w:val="1"/>
          <w:iCs w:val="1"/>
          <w:color w:val="auto"/>
        </w:rPr>
        <w:t>Note 9. Borrowings</w:t>
      </w:r>
      <w:r>
        <w:rPr>
          <w:rFonts w:ascii="Arial" w:cs="Arial" w:eastAsia="Arial" w:hAnsi="Arial"/>
          <w:sz w:val="17"/>
          <w:szCs w:val="17"/>
          <w:color w:val="auto"/>
        </w:rPr>
        <w:t>” in Part I, Item 1 of this Quarterly Report on Form 10-Q for further details on our Notes.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ULT Warehouse Credit Facility, which matures in June 2026, allows us to borrow up to $175.0 million to purchase unsecured personal loans. Our UAWT Warehouse Credit Facility, which matures in June 2025, allows us to borrow up to $200.0 million to purchase secured auto loans. As of June 30, 2023, we have drawn an aggregate of $279.2 million on our warehouse credit facilities. Refer to “</w:t>
      </w:r>
      <w:r>
        <w:rPr>
          <w:rFonts w:ascii="Arial" w:cs="Arial" w:eastAsia="Arial" w:hAnsi="Arial"/>
          <w:sz w:val="17"/>
          <w:szCs w:val="17"/>
          <w:i w:val="1"/>
          <w:iCs w:val="1"/>
          <w:color w:val="auto"/>
        </w:rPr>
        <w:t>Note 9. Borrowings</w:t>
      </w:r>
      <w:r>
        <w:rPr>
          <w:rFonts w:ascii="Arial" w:cs="Arial" w:eastAsia="Arial" w:hAnsi="Arial"/>
          <w:sz w:val="17"/>
          <w:szCs w:val="17"/>
          <w:color w:val="auto"/>
        </w:rPr>
        <w:t>” in Part I, Item 1 of this Quarterly Report on Form 10-Q for further details on our warehouse credit facilities.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lease office facilities under operating lease agreements which expire between 2027 and 2032. Our cash requirements related to these lease agreements are $112.8 million, of which $16.2 million is expected to be paid within the next 12 months. Refer to “</w:t>
      </w:r>
      <w:r>
        <w:rPr>
          <w:rFonts w:ascii="Arial" w:cs="Arial" w:eastAsia="Arial" w:hAnsi="Arial"/>
          <w:sz w:val="17"/>
          <w:szCs w:val="17"/>
          <w:i w:val="1"/>
          <w:iCs w:val="1"/>
          <w:color w:val="auto"/>
        </w:rPr>
        <w:t>Note 11. Leases</w:t>
      </w:r>
      <w:r>
        <w:rPr>
          <w:rFonts w:ascii="Arial" w:cs="Arial" w:eastAsia="Arial" w:hAnsi="Arial"/>
          <w:sz w:val="17"/>
          <w:szCs w:val="17"/>
          <w:color w:val="auto"/>
        </w:rPr>
        <w:t>” in Part I, Item 1 of this Quarterly Report on Form 10-Q for further details on our operating lease obligations.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have committed to purchase loans from certain lending partners at the conclusion of the required holding period, which is generally equal to three business days. As of June 30, 2023, the total loan purchase commitment was $33.2 million. See “</w:t>
      </w:r>
      <w:r>
        <w:rPr>
          <w:rFonts w:ascii="Arial" w:cs="Arial" w:eastAsia="Arial" w:hAnsi="Arial"/>
          <w:sz w:val="17"/>
          <w:szCs w:val="17"/>
          <w:i w:val="1"/>
          <w:iCs w:val="1"/>
          <w:color w:val="auto"/>
        </w:rPr>
        <w:t>Note 12. Commitments and Contingencies</w:t>
      </w:r>
      <w:r>
        <w:rPr>
          <w:rFonts w:ascii="Arial" w:cs="Arial" w:eastAsia="Arial" w:hAnsi="Arial"/>
          <w:sz w:val="17"/>
          <w:szCs w:val="17"/>
          <w:color w:val="auto"/>
        </w:rPr>
        <w:t>” in Part I, Item 1 of this Quarterly Report on Form 10-Q for further details on our loan purchase obligations.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connection with our committed capital arrangements, we have agreed to risk sharing arrangements whereby we are obligated to put a certain amount of our capital at risk in relation to the credit performance of the loans. As of June 30, 2023, the amount of our capital at risk is $40.2 million. Refer to “</w:t>
      </w:r>
      <w:r>
        <w:rPr>
          <w:rFonts w:ascii="Arial" w:cs="Arial" w:eastAsia="Arial" w:hAnsi="Arial"/>
          <w:sz w:val="17"/>
          <w:szCs w:val="17"/>
          <w:i w:val="1"/>
          <w:iCs w:val="1"/>
          <w:color w:val="auto"/>
        </w:rPr>
        <w:t>Note 5.</w:t>
      </w:r>
      <w:r>
        <w:rPr>
          <w:rFonts w:ascii="Arial" w:cs="Arial" w:eastAsia="Arial" w:hAnsi="Arial"/>
          <w:sz w:val="17"/>
          <w:szCs w:val="17"/>
          <w:color w:val="auto"/>
        </w:rPr>
        <w:t xml:space="preserve"> </w:t>
      </w:r>
      <w:r>
        <w:rPr>
          <w:rFonts w:ascii="Arial" w:cs="Arial" w:eastAsia="Arial" w:hAnsi="Arial"/>
          <w:sz w:val="17"/>
          <w:szCs w:val="17"/>
          <w:i w:val="1"/>
          <w:iCs w:val="1"/>
          <w:color w:val="auto"/>
        </w:rPr>
        <w:t>Beneficial Interests</w:t>
      </w:r>
      <w:r>
        <w:rPr>
          <w:rFonts w:ascii="Arial" w:cs="Arial" w:eastAsia="Arial" w:hAnsi="Arial"/>
          <w:sz w:val="17"/>
          <w:szCs w:val="17"/>
          <w:color w:val="auto"/>
        </w:rPr>
        <w:t>” for additional information.</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As of June 30, 2023, the potential value of these risk sharing arrangements, to be realized over time, ranges between $0 to $83.4 million, depending on the actual future performance of the loans sold under these arrangements. The estimated value of our risk sharing arrangements is $51.7 million, which represents the undiscounted value of the capital at risk and is based on the actual and expected future performance of the underlying loans.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Additionally, our cash requirements for the next 12 months for the committed capital arrangements are expected to be $40.9 million.</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40" w:type="dxa"/>
            <w:vAlign w:val="bottom"/>
          </w:tcPr>
          <w:p>
            <w:pPr>
              <w:spacing w:after="0"/>
              <w:rPr>
                <w:sz w:val="20"/>
                <w:szCs w:val="20"/>
                <w:color w:val="auto"/>
              </w:rPr>
            </w:pPr>
            <w:r>
              <w:rPr>
                <w:rFonts w:ascii="Arial" w:cs="Arial" w:eastAsia="Arial" w:hAnsi="Arial"/>
                <w:sz w:val="17"/>
                <w:szCs w:val="17"/>
                <w:b w:val="1"/>
                <w:bCs w:val="1"/>
                <w:i w:val="1"/>
                <w:iCs w:val="1"/>
                <w:color w:val="auto"/>
              </w:rPr>
              <w:t>Cash Flows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25"/>
        </w:trPr>
        <w:tc>
          <w:tcPr>
            <w:tcW w:w="7540" w:type="dxa"/>
            <w:vAlign w:val="bottom"/>
          </w:tcPr>
          <w:p>
            <w:pPr>
              <w:ind w:left="620"/>
              <w:spacing w:after="0"/>
              <w:rPr>
                <w:sz w:val="20"/>
                <w:szCs w:val="20"/>
                <w:color w:val="auto"/>
              </w:rPr>
            </w:pPr>
            <w:r>
              <w:rPr>
                <w:rFonts w:ascii="Arial" w:cs="Arial" w:eastAsia="Arial" w:hAnsi="Arial"/>
                <w:sz w:val="17"/>
                <w:szCs w:val="17"/>
                <w:color w:val="auto"/>
              </w:rPr>
              <w:t>The following table summarizes our cash flows during the periods indicated:</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8"/>
        </w:trPr>
        <w:tc>
          <w:tcPr>
            <w:tcW w:w="7540" w:type="dxa"/>
            <w:vAlign w:val="bottom"/>
          </w:tcPr>
          <w:p>
            <w:pPr>
              <w:spacing w:after="0"/>
              <w:rPr>
                <w:sz w:val="22"/>
                <w:szCs w:val="22"/>
                <w:color w:val="auto"/>
              </w:rPr>
            </w:pPr>
          </w:p>
        </w:tc>
        <w:tc>
          <w:tcPr>
            <w:tcW w:w="30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Six Months Ended June 30,</w:t>
            </w:r>
          </w:p>
        </w:tc>
        <w:tc>
          <w:tcPr>
            <w:tcW w:w="660" w:type="dxa"/>
            <w:vAlign w:val="bottom"/>
          </w:tcPr>
          <w:p>
            <w:pPr>
              <w:spacing w:after="0"/>
              <w:rPr>
                <w:sz w:val="22"/>
                <w:szCs w:val="22"/>
                <w:color w:val="auto"/>
              </w:rPr>
            </w:pPr>
          </w:p>
        </w:tc>
      </w:tr>
      <w:tr>
        <w:trPr>
          <w:trHeight w:val="27"/>
        </w:trPr>
        <w:tc>
          <w:tcPr>
            <w:tcW w:w="7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3"/>
        </w:trPr>
        <w:tc>
          <w:tcPr>
            <w:tcW w:w="7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7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2023</w:t>
            </w:r>
          </w:p>
        </w:tc>
        <w:tc>
          <w:tcPr>
            <w:tcW w:w="660" w:type="dxa"/>
            <w:vAlign w:val="bottom"/>
          </w:tcPr>
          <w:p>
            <w:pPr>
              <w:spacing w:after="0"/>
              <w:rPr>
                <w:sz w:val="19"/>
                <w:szCs w:val="19"/>
                <w:color w:val="auto"/>
              </w:rPr>
            </w:pPr>
          </w:p>
        </w:tc>
      </w:tr>
      <w:tr>
        <w:trPr>
          <w:trHeight w:val="27"/>
        </w:trPr>
        <w:tc>
          <w:tcPr>
            <w:tcW w:w="7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(320,438)</w:t>
            </w:r>
          </w:p>
        </w:tc>
        <w:tc>
          <w:tcPr>
            <w:tcW w:w="124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86,652</w:t>
            </w:r>
          </w:p>
        </w:tc>
      </w:tr>
      <w:tr>
        <w:trPr>
          <w:trHeight w:val="218"/>
        </w:trPr>
        <w:tc>
          <w:tcPr>
            <w:tcW w:w="75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(4,764)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1"/>
              </w:rPr>
              <w:t>(64,346)</w:t>
            </w:r>
          </w:p>
        </w:tc>
      </w:tr>
      <w:tr>
        <w:trPr>
          <w:trHeight w:val="21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48,382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(44,880)</w:t>
            </w:r>
          </w:p>
        </w:tc>
      </w:tr>
      <w:tr>
        <w:trPr>
          <w:trHeight w:val="219"/>
        </w:trPr>
        <w:tc>
          <w:tcPr>
            <w:tcW w:w="7540" w:type="dxa"/>
            <w:vAlign w:val="bottom"/>
          </w:tcPr>
          <w:p>
            <w:pPr>
              <w:ind w:left="220"/>
              <w:spacing w:after="0"/>
              <w:rPr>
                <w:sz w:val="20"/>
                <w:szCs w:val="20"/>
                <w:color w:val="auto"/>
              </w:rPr>
            </w:pPr>
            <w:r>
              <w:rPr>
                <w:rFonts w:ascii="Arial" w:cs="Arial" w:eastAsia="Arial" w:hAnsi="Arial"/>
                <w:sz w:val="17"/>
                <w:szCs w:val="17"/>
                <w:color w:val="auto"/>
              </w:rPr>
              <w:t>Decrease in cash and restricted cash</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3"/>
              </w:rPr>
              <w:t>(276,820)</w:t>
            </w:r>
          </w:p>
        </w:tc>
        <w:tc>
          <w:tcPr>
            <w:tcW w:w="1240" w:type="dxa"/>
            <w:vAlign w:val="bottom"/>
            <w:gridSpan w:val="2"/>
          </w:tcPr>
          <w:p>
            <w:pPr>
              <w:jc w:val="right"/>
              <w:ind w:right="1040"/>
              <w:spacing w:after="0"/>
              <w:rPr>
                <w:sz w:val="20"/>
                <w:szCs w:val="20"/>
                <w:color w:val="auto"/>
              </w:rPr>
            </w:pPr>
            <w:r>
              <w:rPr>
                <w:rFonts w:ascii="Arial" w:cs="Arial" w:eastAsia="Arial" w:hAnsi="Arial"/>
                <w:sz w:val="17"/>
                <w:szCs w:val="17"/>
                <w:color w:val="auto"/>
              </w:rPr>
              <w:t>$</w:t>
            </w:r>
          </w:p>
        </w:tc>
        <w:tc>
          <w:tcPr>
            <w:tcW w:w="660" w:type="dxa"/>
            <w:vAlign w:val="bottom"/>
          </w:tcPr>
          <w:p>
            <w:pPr>
              <w:jc w:val="center"/>
              <w:spacing w:after="0"/>
              <w:rPr>
                <w:sz w:val="20"/>
                <w:szCs w:val="20"/>
                <w:color w:val="auto"/>
              </w:rPr>
            </w:pPr>
            <w:r>
              <w:rPr>
                <w:rFonts w:ascii="Arial" w:cs="Arial" w:eastAsia="Arial" w:hAnsi="Arial"/>
                <w:sz w:val="17"/>
                <w:szCs w:val="17"/>
                <w:color w:val="auto"/>
                <w:w w:val="91"/>
              </w:rPr>
              <w:t>(22,574)</w:t>
            </w:r>
          </w:p>
        </w:tc>
      </w:tr>
      <w:tr>
        <w:trPr>
          <w:trHeight w:val="26"/>
        </w:trPr>
        <w:tc>
          <w:tcPr>
            <w:tcW w:w="754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Operating Activities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main uses of cash in our operating activities include payments to marketing partners, vendor payments, payroll and other personnel-related expenses, payments for facilities, and other general business expenditures.</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Net cash provided by operating activities was $86.7 million for the six months ended June 30, 2023, which primarily consisted of adjustments for non-cash items of $208.9 million, net loss of $157.4 million, and $35.2 million in net changes in operating assets and liabilities. The increase in non-cash adjustments was primarily related to $106.7 million of stock-based compensation and $98.6 million of changes in fair value of financial instruments. The increase in net changes in operating assets and liabilities was primarily related to $101.8 million in principal payments received for loans held-for-sale and $16.3 million in net proceeds from purchase and sale of loans held-for-sale, partially offset by a $50.8 million decrease in amounts payable to investors, a $17.9 million decrease in accrued expenses and other liabilities, and a $11.8 decrease in accounts payable.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Investing Activities</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Net cash used in investing activities was $64.3 million for the six months ended June 30, 2023 as a result of $83.9 million purchases of loans held-for-investment and $26.4 million acquisition of beneficial interests, partially offset by $50.4 million in principal payments received for loans held-for-investment.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Financing Activities</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Net cash used in financing activities was $44.9 million for the six months ended June 30, 2023 as a result of $397.6 million repayments of borrowings, partially offset by $340.4 million proceeds from borrowings, $6.7 million proceeds from exercise of stock options, and $5.7 million in proceeds from issuance of common stock under ESPP.</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Composition of Retained Loan Portfolio</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June 30, 2023, we held $837.6 million of loans on our condensed consolidated balance sheet. $492.8 million of these loans were originated for research and development purposes, primarily in support of our auto lending products and expansion of our unsecured personal loan product to new categories of borrowers. We also held $344.8 million of core personal loans which would otherwise be immediately purchased by institutional investors.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retained loans to institutional investors over time in the form of secondary sales or securitizations.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Arial" w:cs="Arial" w:eastAsia="Arial" w:hAnsi="Arial"/>
          <w:sz w:val="17"/>
          <w:szCs w:val="17"/>
          <w:i w:val="1"/>
          <w:iCs w:val="1"/>
          <w:color w:val="auto"/>
        </w:rPr>
        <w:t>Note 3. Variable Interest Entities</w:t>
      </w:r>
      <w:r>
        <w:rPr>
          <w:rFonts w:ascii="Arial" w:cs="Arial" w:eastAsia="Arial" w:hAnsi="Arial"/>
          <w:sz w:val="17"/>
          <w:szCs w:val="17"/>
          <w:color w:val="auto"/>
        </w:rPr>
        <w:t>” in Part I, Item 1 of this Quarterly Report on Form 10-Q.</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critical accounting policies are described in Part II, Item 7, “Critical Accounting Policies and Estimates” in our Annual Report on Form 10-K for the year ended December 31, 2022. There have been no material changes to these policies for the six months ended June 30, 2023.</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 Description of Business and Significant Accounting Policies”</w:t>
      </w:r>
      <w:r>
        <w:rPr>
          <w:rFonts w:ascii="Arial" w:cs="Arial" w:eastAsia="Arial" w:hAnsi="Arial"/>
          <w:sz w:val="17"/>
          <w:szCs w:val="17"/>
          <w:color w:val="auto"/>
        </w:rPr>
        <w:t xml:space="preserve"> in Part I, Item 1 of this Quarterly Report on Form 10-Q for recently adopted accounting pronouncements and recently issued accounting pronouncements not yet adopted when applicable.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current credit facilities and term loans. Our inability or failure to manage market risks could harm our business, financial condition or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Discount Rate Risk</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 rates.</w:t>
      </w:r>
    </w:p>
    <w:p>
      <w:pPr>
        <w:spacing w:after="0" w:line="25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of December 31, 2022 and June 30, 2023, we were exposed to market discount rate risk on $1,010.4 million and $837.6 million, respectively, of loans held on our condensed consolidated balance sheets. The fair value of these loans is estimated using a discounted cash flow methodology, where the discount rate represents an estimate of the required rate of return by market participants. The changes in the discount rates for loans retained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$12.0 million and $23.7 million decrease, respectively, in the fair value of loans held on our condensed consolidated balance sheet as of December 31, 2022 and a $9.8 million and $19.3 million decrease, respectively, as of June 30, 2023.</w:t>
      </w:r>
    </w:p>
    <w:p>
      <w:pPr>
        <w:spacing w:after="0" w:line="19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As of June 30, 2023, we were also exposed to market discount rate risk on other financial instruments, including $28.7 million of beneficial interests. Beneficial interests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$0.7 million and $1.4 million decrease, respectively, in the fair value of beneficial interests held on our consolidated balance sheet as of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Credit risk refers to the risk of loss of the loans on our condensed consolidated balance sheets arising from individual borrower default due to inability or unwillingness to meet their financial obligations. The performance of certain financial instruments, including loans, beneficial interests, securitization notes and residual certificates,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values of these loans, beneficial interests, securitization notes, and residual certificates are estimated based on a discounted cash flow model which involves the use of significant unobservable inputs and assumptions. These instruments are sensitive to changes in credit risk.</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December 31, 2022 and June 30, 2023, we were exposed to credit risk on $1,010.4 million and $837.6 million, respectively, of loans held on our condensed consolidated balance sheet. These loans bear fixed interest rates and are carried on our condensed consolidated balance sheets at fair value. As of December 31, 2022, a hypothetical 10% and 20% increase in credit risk would result in a $11.9 million and $23.9 million decrease, and as of June 30, 2023, a hypothetical 10% and 20% increase in credit risk would result in a $10.2 million and $20.3 million decrease in the fair value of loans held on our condensed consolidated balance sheets, respectively.</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are also exposed to credit risk on $28.7 million of beneficial interests held on the condensed consolidated balance sheet as of June 30, 2023. A hypothetical 10% and 20% increase in credit risk spread would result in a $5.0 million and $13.0 million decrease, respectively, in the fair value of beneficial interests held on our consolidated balance sheet as of June 30, 2023.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Counterparty Risk</w:t>
      </w:r>
    </w:p>
    <w:p>
      <w:pPr>
        <w:spacing w:after="0" w:line="23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0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of December 31, 2022 and June 30, 2023, we held $532.5 million and $509.9 million, respectively, related to cash and restricted cash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4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customer bankruptcies and charge-offs, and decreasing recoveries, all of which could have a material adverse effect on our business. We expect these outcomes would generally invert in an environment of decreasing interest rates.</w:t>
      </w:r>
    </w:p>
    <w:p>
      <w:pPr>
        <w:spacing w:after="0" w:line="17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An increase or decrease in interest rates may also impact our exposure to interest rate risk on our warehouse credit facilities. As of December 31, 2022 and June 30, 2023, we were exposed to interest rate risk on $336.5 million and $279.2 million, respectively, under our warehouse credit facilities, which bear floating interest rates. Changes in interest rates may impact our cost of borrowing. During the six months ended June 30, 2023 we entered into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rate cap agreements in connection with our warehouse credit facilities with an aggregate notional amount of $333.0 million. The interest rate caps provide protection to the credit facilities against exposure to changes in cash flows to the extent the 1-month SOFR exceeds the strike rate. The UAWT interest rate cap matures in April 2029 and the ULT interest rate cap matures June 2025. Refer to </w:t>
      </w:r>
      <w:r>
        <w:rPr>
          <w:rFonts w:ascii="Arial" w:cs="Arial" w:eastAsia="Arial" w:hAnsi="Arial"/>
          <w:sz w:val="16"/>
          <w:szCs w:val="16"/>
          <w:i w:val="1"/>
          <w:iCs w:val="1"/>
          <w:color w:val="auto"/>
        </w:rPr>
        <w:t>“Note 4. Derivative Financial Instruments”</w:t>
      </w:r>
      <w:r>
        <w:rPr>
          <w:rFonts w:ascii="Arial" w:cs="Arial" w:eastAsia="Arial" w:hAnsi="Arial"/>
          <w:sz w:val="16"/>
          <w:szCs w:val="16"/>
          <w:color w:val="auto"/>
        </w:rPr>
        <w:t xml:space="preserve"> for further details.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Investment Risk</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non-marketable equity securities are subject to a wide variety of market-related risks that could substantially reduce or increase the carrying value of our investments.</w:t>
      </w:r>
    </w:p>
    <w:p>
      <w:pPr>
        <w:spacing w:after="0" w:line="19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(loss) upon recognition of such adjustments or impairments. As of December 31, 2022 and June 30, 2023, the carrying value of our non-marketable equity securities, which do not have readily determinable fair values, totaled $41.3 million.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June 30, 2023,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that occurred during the quarter ended June 30, 2023 that has materially affected, or is reasonably likely to materially affect, our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PROCEEDINGS</w:t>
      </w:r>
    </w:p>
    <w:p>
      <w:pPr>
        <w:spacing w:after="0" w:line="217"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For a description of our material pending legal proceedings, please see “</w:t>
      </w:r>
      <w:r>
        <w:rPr>
          <w:rFonts w:ascii="Arial" w:cs="Arial" w:eastAsia="Arial" w:hAnsi="Arial"/>
          <w:sz w:val="17"/>
          <w:szCs w:val="17"/>
          <w:i w:val="1"/>
          <w:iCs w:val="1"/>
          <w:color w:val="auto"/>
        </w:rPr>
        <w:t>Note 12. Commitments and Contingencies</w:t>
      </w:r>
      <w:r>
        <w:rPr>
          <w:rFonts w:ascii="Arial" w:cs="Arial" w:eastAsia="Arial" w:hAnsi="Arial"/>
          <w:sz w:val="17"/>
          <w:szCs w:val="17"/>
          <w:color w:val="auto"/>
        </w:rPr>
        <w:t>” in Part I, Item 1 of this Quarterly Report on Form 10-Q and “</w:t>
      </w:r>
      <w:r>
        <w:rPr>
          <w:rFonts w:ascii="Arial" w:cs="Arial" w:eastAsia="Arial" w:hAnsi="Arial"/>
          <w:sz w:val="17"/>
          <w:szCs w:val="17"/>
          <w:i w:val="1"/>
          <w:iCs w:val="1"/>
          <w:color w:val="auto"/>
        </w:rPr>
        <w:t>Risk Factors</w:t>
      </w:r>
      <w:r>
        <w:rPr>
          <w:rFonts w:ascii="Arial" w:cs="Arial" w:eastAsia="Arial" w:hAnsi="Arial"/>
          <w:sz w:val="17"/>
          <w:szCs w:val="17"/>
          <w:color w:val="auto"/>
        </w:rPr>
        <w:t>”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RISK FACTORS</w:t>
      </w:r>
    </w:p>
    <w:p>
      <w:pPr>
        <w:spacing w:after="0" w:line="22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RISK FACTORS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material risks that may affect our business, financial condition or results of operations include, but are not limited to, those relating to the following:</w:t>
      </w:r>
    </w:p>
    <w:p>
      <w:pPr>
        <w:spacing w:after="0" w:line="137" w:lineRule="exact"/>
        <w:rPr>
          <w:sz w:val="20"/>
          <w:szCs w:val="20"/>
          <w:color w:val="auto"/>
        </w:rPr>
      </w:pPr>
    </w:p>
    <w:p>
      <w:pPr>
        <w:ind w:left="620" w:hanging="307"/>
        <w:spacing w:after="0" w:line="279"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experienced rapid growth in the past and have a relatively limited operating history, which may result in increased risks, uncertainties, expenses and difficulties, and makes it difficult to evaluate our future prospects.</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business has been and may continue to be adversely affected by economic conditions and other factors that we cannot control, including the recent bank failures and resulting disruption in the banking sector.</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are unable to maintain diverse, consistent and robust loan funding programs with institutional investors, our growth prospects, business, financial condition and results of operations could be adversely affected.</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our existing lending partners cease or limit operations with us or if we are unable to attract and onboard new lending partners, our business, financial condition and results of operations will be adversely affected.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have incurred net losses, and we may not be able to achieve profitability in the future.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revenue growth rate and financial performance in prior periods may not be indicative of future performance.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quarterly results are likely to fluctuate and as a result may adversely affect the trading price of our common stock.</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1" w:lineRule="exact"/>
        <w:rPr>
          <w:rFonts w:ascii="Arial" w:cs="Arial" w:eastAsia="Arial" w:hAnsi="Arial"/>
          <w:sz w:val="17"/>
          <w:szCs w:val="17"/>
          <w:color w:val="auto"/>
        </w:rPr>
      </w:pPr>
    </w:p>
    <w:p>
      <w:pPr>
        <w:ind w:left="620" w:hanging="307"/>
        <w:spacing w:after="0" w:line="312"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37" w:lineRule="exact"/>
        <w:rPr>
          <w:rFonts w:ascii="Arial" w:cs="Arial" w:eastAsia="Arial" w:hAnsi="Arial"/>
          <w:sz w:val="16"/>
          <w:szCs w:val="16"/>
          <w:color w:val="auto"/>
        </w:rPr>
      </w:pPr>
    </w:p>
    <w:p>
      <w:pPr>
        <w:ind w:left="620" w:hanging="307"/>
        <w:spacing w:after="0" w:line="279"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61" w:lineRule="exact"/>
        <w:rPr>
          <w:rFonts w:ascii="Arial" w:cs="Arial" w:eastAsia="Arial" w:hAnsi="Arial"/>
          <w:sz w:val="17"/>
          <w:szCs w:val="17"/>
          <w:color w:val="auto"/>
        </w:rPr>
      </w:pPr>
    </w:p>
    <w:p>
      <w:pPr>
        <w:jc w:val="both"/>
        <w:ind w:left="620" w:hanging="307"/>
        <w:spacing w:after="0" w:line="290"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the reduced supply of loan funding capital or require us to seek more costly financing for our marketplace.</w:t>
      </w:r>
    </w:p>
    <w:p>
      <w:pPr>
        <w:spacing w:after="0" w:line="54"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Cross River Bank and one other lending partner account for a substantial portion of the total number of loans facilitated by our platform and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sales and onboarding process of new lending partners could take longer than expected, leading to fluctuations or variability in expected revenues and results of operations.</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Substantially all of our revenue is derived from a single loan product, and we are thus particularly susceptible to fluctuations in the unsecured personal loan market. We also do not currently offer a broad suite of products that lending partners may find desirable.</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we fail to effectively manage our growth, our business, financial condition and results of operations could be adversely affected.</w:t>
      </w:r>
    </w:p>
    <w:p>
      <w:pPr>
        <w:spacing w:after="0" w:line="113" w:lineRule="exact"/>
        <w:rPr>
          <w:rFonts w:ascii="Arial" w:cs="Arial" w:eastAsia="Arial" w:hAnsi="Arial"/>
          <w:sz w:val="17"/>
          <w:szCs w:val="17"/>
          <w:color w:val="auto"/>
        </w:rPr>
      </w:pPr>
    </w:p>
    <w:p>
      <w:pPr>
        <w:ind w:left="620" w:hanging="307"/>
        <w:spacing w:after="0" w:line="312"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37" w:lineRule="exact"/>
        <w:rPr>
          <w:rFonts w:ascii="Arial" w:cs="Arial" w:eastAsia="Arial" w:hAnsi="Arial"/>
          <w:sz w:val="16"/>
          <w:szCs w:val="16"/>
          <w:color w:val="auto"/>
        </w:rPr>
      </w:pPr>
    </w:p>
    <w:p>
      <w:pPr>
        <w:jc w:val="both"/>
        <w:ind w:left="620" w:hanging="307"/>
        <w:spacing w:after="0" w:line="266"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reputation and brand are important to our success, and if we are unable to continue developing our reputation and brand, our ability to retain existing and attract new lending partners, our ability to attract borrowers to our platform, our ability to maintain a diverse funding marketplace and our ability to maintain and improve our relationship with regulators of our industry could be adversely affected.</w:t>
      </w:r>
    </w:p>
    <w:p>
      <w:pPr>
        <w:spacing w:after="0" w:line="71"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fail to achieve the expected cost savings and related benefits from our reduction in workforce initiated in November 2022 and January 2023.</w:t>
      </w:r>
    </w:p>
    <w:p>
      <w:pPr>
        <w:spacing w:after="0" w:line="125" w:lineRule="exact"/>
        <w:rPr>
          <w:rFonts w:ascii="Arial" w:cs="Arial" w:eastAsia="Arial" w:hAnsi="Arial"/>
          <w:sz w:val="16"/>
          <w:szCs w:val="16"/>
          <w:color w:val="auto"/>
        </w:rPr>
      </w:pPr>
    </w:p>
    <w:p>
      <w:pPr>
        <w:ind w:left="620" w:hanging="307"/>
        <w:spacing w:after="0" w:line="312"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experienced rapid growth in the past and have a relatively limited operating history, which may result in increased risks, uncertainties, expenses and difficulties, and makes it difficult to evaluate our future prospects.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were founded in 2012 and have experienced rapid growth in the past.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1"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improve the effectiveness and predictiveness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 and increase the volume of loans facilitated through our AI lending marketplace;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enter into new and maintain existing lending partnerships;</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successfully maintain a diversified loan funding strategy, including lending partnerships, whole loan sales and securitization transactions that enhance loan liquidity for the lending partners that use our marketplace, and committed capital sources;</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successfully fund a sufficient quantity of our borrower loan demand with low cost lending partner funding to help keep interest rates offered to borrowers competitive;</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 competitive interest rates offered to borrowers on our platform, while enabling our lending partners and institutional investors to achieve an adequate return over their cost of funds, whether through their own balance sheets or through our loan funding programs;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successfully build our brand and protect our reputation from negative publicity;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 the effectiveness of our marketing strategies, including our direct consumer marketing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continue to expand the number of potential borrowers;</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successfully adjust our proprietary AI models, products and services in a timely manner in response to changing macroeconomic conditions and fluctuations in the credit market;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comply with and successfully adapt to complex and evolving regulatory environments;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protect against increasingly sophisticated fraudulent borrowing and online theft;</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successfully compete with companies that are currently in, or may in the future enter, the business of providing online lending services to financial institutions or consumer financial services to borrowers;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enter into new markets and introduce new products and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successfully obtain and maintain corporate funding and liquidity to support growth and for general corporate purposes;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realize the anticipated benefits of our acquisitions of or investments in complementary businesses and technologies;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attract, integrate and retain qualified employees;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successfully implement the reductions in workforce and achieve the anticipated cost reductions;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effectively manage and expand the capabilities of our operations teams, outsourcing relationships and other business operations.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If we are not able to timely and effectively address these risks and difficulties as well as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our business and results of operations may be harmed.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has been and may continue to be adversely affected by economic conditions and other factors that we cannot control.</w:t>
      </w:r>
    </w:p>
    <w:p>
      <w:pPr>
        <w:spacing w:after="0" w:line="24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Uncertainty and negative trends in general economic conditions, including significant tightening of credit markets and periods of rising and/or high interest rates, historically have created a difficult operating environment for our industry. Many factors, including factors that are beyond our control, may impact our business, financial condition and results of operations by affecting the supply of capital by our lending partners and institutional investors to fund loans or the demand by borrowers to incur loan obligations or their ability or willingness to repay their loans. These factors include, but are not limited to, interest rates, inflation, unemployment levels, personal savings rates, the 2023 bank failures and resulting disruption in the banking sector, lower consumer confidence, reduced consumer discretionary spending, conditions in the housing market, immigration policies, gas prices, energy costs, government shutdowns, trade wars and delays in tax refunds, as well as events such as natural disasters, acts of war (including the recent Russia-Ukraine conflict), terrorism, catastrophes and pandemics.</w:t>
      </w:r>
    </w:p>
    <w:p>
      <w:pPr>
        <w:spacing w:after="0" w:line="18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United States has recently experienced historically high levels of inflation. According to the U.S. Department of Labor, the annual inflation rate for the United States was approximately 3% for June 2023. In response to high levels of inflation and recession fears, the U.S. Federal Reserve has raised, and may continue to raise, interest rates and implement fiscal policy interventions. Even if these interventions lower inflation, they may also reduce economic growth rates, create a recession, increase unemployment rates, contribute to bank failures and further disrupt the banking sector. Continuing economic uncertainty and the magnitude and duration of the resulting fluctuations in business activity cannot currently be estimated and has had several effects on our business and results of operations, including, among other things:</w:t>
      </w:r>
    </w:p>
    <w:p>
      <w:pPr>
        <w:spacing w:after="0" w:line="209"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reduction in the availability of loan funding and liquidity from institutional investors and the capital markets;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lower acceptance rates from borrowers;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reductions in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decreases in origination volumes on our platform;</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increases in the use of our balance sheet to fund Upstart-powered loans;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the adoption of our AI platform by new lending partners;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potential for increased delinquencies and default rates for new and existing Upstart-powered loans.</w:t>
      </w:r>
    </w:p>
    <w:p>
      <w:pPr>
        <w:spacing w:after="0" w:line="23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During periods of economic slowdown or recession, our current and potential institutional investors in our loan funding programs have reduced and may continue to reduce the number of loans or interest in loans they purchase or demand terms that are less favorable to us to compensate for any increased risks. For example, increasing interest rates caused, and may in the future cause, our lending partners and institutional investors in our loan funding programs to limit the amount of funding they wanted to provide on our platform for loans to borrowers, which reduced the volume of Upstart-powered loans we completed and therefore negatively impacted our revenue. In response to this constrained loan funding, we have increased, and may continue to increase, the use of our balance sheet to fund loans originated through our platform. This increase in the use of our balance sheet has diverted capital resources, increased our exposure to the changes in the fair value of such loans, and could result in losses if such loans held on our balance sheet default or we sell those loans at a loss. We have also secured multiple committed capital arrangements with institutional investors, which terms include risk sharing arrangements. See “</w:t>
      </w:r>
      <w:r>
        <w:rPr>
          <w:rFonts w:ascii="Arial" w:cs="Arial" w:eastAsia="Arial" w:hAnsi="Arial"/>
          <w:sz w:val="16"/>
          <w:szCs w:val="16"/>
          <w:i w:val="1"/>
          <w:iCs w:val="1"/>
          <w:color w:val="auto"/>
        </w:rPr>
        <w:t>Note 5. Beneficial Interests</w:t>
      </w:r>
      <w:r>
        <w:rPr>
          <w:rFonts w:ascii="Arial" w:cs="Arial" w:eastAsia="Arial" w:hAnsi="Arial"/>
          <w:sz w:val="16"/>
          <w:szCs w:val="16"/>
          <w:color w:val="auto"/>
        </w:rPr>
        <w:t>” for further information. A further reduction in the volume of the loans and loan financing products we sell would negatively impact our ability to maintain or increase the number of loans facilitated through our marketplace.</w:t>
      </w:r>
    </w:p>
    <w:p>
      <w:pPr>
        <w:spacing w:after="0" w:line="202"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Furthermore, many new consumers on the Upstart platform have poor, limited or no credit history. Accordingly, such borrowers have historically been, and may in the future be, disproportionately affected by adverse macroeconomic conditions, such as the disruption and uncertainty caused by the COVID-19 pandemic or a recession. For example, nearly all personal loans presently facilitated through our platform are issued with fixed interest rates. As interest rates rise, potential borrowers could seek to defer loans as they wait for interest rates to stabilize. As a result of these circumstances, borrowers may be discouraged from engaging with our platform and as a result, reduce the volume of Upstart-powered loans. Additionally, increased interest rates may adversely impact the spending levels of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 In addition, major medical expenses, unemployment, divorce, death or other issues that affect borrowers could affect a borrower’s willingness or ability to make payments on their loans. Recently, default rates on loans facilitated through our marketplace have increased. Increases in default rates increase our costs to service these loans without a corresponding increase in our servicing fees or other related fees. In addition, if we experience higher than expected default rates on loans held on our balance sheet, the value of those loans may decline. Higher default rates by borrowers may lead to lower demand by our lending partners and institutional investors to fund loans facilitated through our marketplace, which would adversely affect our business, financial condition and results of operations. Any sustained decline in demand for loans or loan financing products, or any increase in delinquencies, defaults or foreclosures that result from economic downturns, may harm our ability to maintain robust loan funding programs, which would adversely affect our business, financial condition and results of operations.</w:t>
      </w:r>
    </w:p>
    <w:p>
      <w:pPr>
        <w:spacing w:after="0" w:line="1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continue to monitor the ongoing economic conditions to assess possible implications to our business and to take appropriate actions in an effort to mitigate the adverse consequences of uncertainty or negative trends. However, there can be no assurances that initiatives we undertake will be sufficient or successful. If there is an economic downturn that affects our current and prospective borrowers or our lending partners and institutional investors, or if we are unable to address and mitigate the risks associated with any of the foregoing, our business, financial condition and results of operations could be adversely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maintain diverse, consistent and robust loan funding programs with institutional investors, our growth prospects,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business depends on sourcing and maintaining diverse, consistent and robust loan funding programs to fund Upstart-powered loans that are not retained by our lending partners. In the six months ended June 30, 2023, 38% of the loans funded through our platform were retained by our lending partners, and 50% of loans were purchased by institutional investors through our loan funding programs. Our loan funding programs include whole loan sales and pass-through certificate issuances to institutional investors, asset-backed securitization transactions, committed capital arrangements, and utilization of warehouse credit facilities. The availability and capacity of our loan funding sources depend on many factors that are outside of our control, such as capital markets and interest rate volatility, economic conditions and regulatory reforms. We cannot be sure that the existing funding sources will continue to be available, or any new funding source will become available, on reasonable terms or at all.</w:t>
      </w:r>
    </w:p>
    <w:p>
      <w:pPr>
        <w:spacing w:after="0" w:line="21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We have recently experienced reductions in capital from certain funding sources due to concerns about the current macroeconomic environment, including rapidly rising interest rates, risk of increased loan default rates, recessionary concerns, and 2023 bank failures and resulting disruption in the banking sector. Such reductions in capital have resulted in, and could continue to result in, declines in revenue and transaction volume. In addition, we have utilized, and expect to continue utilizing, our balance sheet to support funding of loans that would otherwise be held by institutional investors. The increase in the percentage of loans held on our balance sheet has diverted capital resources, increased our exposure to the changes in the fair value of such loans and could result in losses if such loans held on our balance sheet default. Increases in the percentage of loans held on our balance sheet could further have these impacts and could adversely affect our business, financial condition and results of operations. In the event of continued reductions in capital, we may not be able to maintain the current loan volume without incurring substantially higher funding costs, which could adversely affect our business, financial condition and results of operations.</w:t>
      </w:r>
    </w:p>
    <w:p>
      <w:pPr>
        <w:spacing w:after="0" w:line="18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order to provide more stability in our loan funding programs, we recently secured committed capital arrangements with institutional investors, which are expected to deliver a significant amount of loan funding to the Upstart marketplace for the rest of this year and the beginning of next year. While we expect these arrangements to provide us with a more robust capital supply, the funding terms include risk sharing arrangements. In particular, we have agreed to compensate, subject to a limit, the committed capital investors if credit losses on the loans sold to them deviate from expectations. As of June 30, 2023, our capital at risk, which represents the maximum exposure to losses, under these arrangements was $40.2 million. The potential amount of our capital, to be realized over time, ranges between $0 to $83.4 million, depending on the actual future performance of the loans sold under these arrangements. See “</w:t>
      </w:r>
      <w:r>
        <w:rPr>
          <w:rFonts w:ascii="Arial" w:cs="Arial" w:eastAsia="Arial" w:hAnsi="Arial"/>
          <w:sz w:val="17"/>
          <w:szCs w:val="17"/>
          <w:i w:val="1"/>
          <w:iCs w:val="1"/>
          <w:color w:val="auto"/>
        </w:rPr>
        <w:t>Note 5. Beneficial</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Interests</w:t>
      </w:r>
      <w:r>
        <w:rPr>
          <w:rFonts w:ascii="Arial" w:cs="Arial" w:eastAsia="Arial" w:hAnsi="Arial"/>
          <w:sz w:val="17"/>
          <w:szCs w:val="17"/>
          <w:color w:val="auto"/>
        </w:rPr>
        <w:t>” for more information. These types of terms could negatively impact our financial results. We may also experience declines in revenue and loan volume if</w:t>
      </w:r>
      <w:r>
        <w:rPr>
          <w:rFonts w:ascii="Arial" w:cs="Arial" w:eastAsia="Arial" w:hAnsi="Arial"/>
          <w:sz w:val="17"/>
          <w:szCs w:val="17"/>
          <w:i w:val="1"/>
          <w:iCs w:val="1"/>
          <w:color w:val="auto"/>
        </w:rPr>
        <w:t xml:space="preserve"> </w:t>
      </w:r>
      <w:r>
        <w:rPr>
          <w:rFonts w:ascii="Arial" w:cs="Arial" w:eastAsia="Arial" w:hAnsi="Arial"/>
          <w:sz w:val="17"/>
          <w:szCs w:val="17"/>
          <w:color w:val="auto"/>
        </w:rPr>
        <w:t>the existing committed capital investors do not provide funding on the agreed upon terms or we fail to secure additional committed capital arrangements in the future on reasonable terms or at all.</w:t>
      </w:r>
    </w:p>
    <w:p>
      <w:pPr>
        <w:spacing w:after="0" w:line="21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Furthermore, events of default or breaches of financial, performance or other covenants, or worse than expected performance of certain pools of loans underpinning our pass-through certificate transactions, asset-backed securitizations or other debt facilities, could limit our access to funding from institutional investors. The funding arrangements that we enter into during a high interest rate environment, such as the committed capital arrangements, may become more costly during periods with lower interest rates if such arrangements remain through a full economic cycle.</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color w:val="auto"/>
        </w:rPr>
        <w:t>If our existing lending partners cease or limit operations with us or if we are unable to attract and onboard new lending partners, our business, financial condition and results of operations will be adversely affected.</w:t>
      </w:r>
    </w:p>
    <w:p>
      <w:pPr>
        <w:spacing w:after="0" w:line="18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success depends in significant part on the participation of our lending partners in our marketplace. In the six months ended June 30, 2023, 109% of our total revenue was generated from platform, referral and servicing fees that we receive from our lending partners. Our lending partners may suspend, limit or cease their participation in our marketplace for a number of reasons. For example, several of our lending partners have recently paused or reduced loan origination in order to limit their exposure to consumer loans in the current macroeconomic environment. In addition, the recent bank failures in 2023 and resulting disruption in the banking sector may limit our ability to attract new lending partners and may cause existing lending partners to reduce loan originations on our platform. If our lending partners continue to suspend, limit or cease their operations or otherwise terminate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relationships with us, the number of loans facilitated through our platform will decrease and our revenue will be adversely affected. Moreover, our sales and onboarding process with new lending partners can be long and unpredictable. If we are unable to timely onboard our lending partners, or if our lending partners are not willing to work with us to complete a timely onboarding process, our results of operations could be adversely affected.</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We have entered into separate agreements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In June 2022, the Consumer Financial Protection Bureau, or CFPB, Deputy Director indicated that relationships between banks and nonbank lenders, such as our lending partnerships, will be an area of increased regulatory focus for the agency in the near future. Previously, we received a no-action letter regarding the use of our Al model to underwrite and price unsecured closed-end loans. Our no-action letter was terminated upon our request in June 2022 to prevent delays from seeking regulatory approval of updates to our AI models. As a result, we can provide no assurance that the CFPB or any other federal or state regulator will not take supervisory or enforcement action against us in the future. The Office of the Comptroller of the Currency, or OCC, the prudential regulator for national banks operating in the United States, recently announced that it will be prioritizing the review of third-party relationships between banks and financial technology companies like us as part of the agency’s bank supervisory priorities for the upcoming calendar year. The threat of increased scrutiny from the CFPB, the OCC and other regulators of our lending partners has caused and could continue to cause some of our lending partners to pause, limit or cease their participation in our lending marketplace or to not renew their agreements with us. If additional lending partners stop working with us, suspend, limit or cease their operations or otherwise terminate their relationship with us, the number of loans facilitated through our platform will decrease and our revenue will be adversely affected. Moreover, we could in the future have disagreements or disputes with any of our lending partners, which could negatively impact or threaten our relationship with them. In our agreements with lending partners, we make certain representations and warranties and covenants concerning our compliance with specific policies of a lending partner, our compliance with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addition, our lending partners may retain loans for their own customer base and balance sheet. In general, lending partners can fund loans at lower rates due to the lower cost of funds available to them from their deposit base than is otherwise available in the broader institutional investment markets. Accordingly, loans retained by the lending partners generally carry lower interest rates for borrowers, which leads to better conversion rates and faster growth for our platform. Separately, as our number of lending partners grows, such lending partners will increasingly source new prospective borrowers from their own existing customer base and provide an incremental channel to attract borrowers. If we are unable to attract new lending partners or if we are unable to maintain or expand the number of loans held on their balance sheets, our financial performance would suffer.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net losses, and we may not be able to achieve profitability in the future.</w:t>
      </w:r>
    </w:p>
    <w:p>
      <w:pPr>
        <w:spacing w:after="0" w:line="2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For the six months ended June 30, 2023, we incurred a net loss of $157.4 million. We intend to continue to expend significant funds to continue to develop and improve our proprietary AI models, spend on marketing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expect to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profitable. If we are unable to successfully address these risks and challenges as we encounter them, our business, financial condition and results of operations could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revenue growth rate and financial performance in prior periods may not be indicative of future performance.</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future periods. In fact, our revenue declined during the six months ended June 30, 2023. Our revenue may continue to decline in future periods for a number of reasons, which may include: adverse macroeconomic conditions, changing interest rates, slowing demand for or reduced funding through our lending marketplace offerings and services, sales of loans held on our balance sheet at a loss, increasing competition, credit market volatility, increasing regulatory costs and challenges and our failure to capitalize on growth opportunities.</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believe our growth in the past has been driven in large part by our AI models and our continued improvements to our AI models. Future incremental improvements to our AI models may not lead to the same level of growth as in past periods.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such as auto loans, may cause fluctuations of such percentage from period to period depending on the loan offering mix. As a result of these factors, our revenue growth rates may further decline, and our financial performance may continue to be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quarterly results are likely to fluctuate and as a result may adversely affect the trading price of our common stock.</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quarterly results of operations, including the levels of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75" w:lineRule="exact"/>
        <w:rPr>
          <w:sz w:val="20"/>
          <w:szCs w:val="20"/>
          <w:color w:val="auto"/>
        </w:rPr>
      </w:pPr>
    </w:p>
    <w:p>
      <w:pPr>
        <w:ind w:left="620" w:hanging="307"/>
        <w:spacing w:after="0" w:line="279"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conditions, including economic slowdowns, recessions, interest rate changes, inflation, tightening of credit markets, 2023 bank failures and resulting disruption in the banking sector;</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cost of borrowing money and access to loan funding sources;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improve the effectiveness and predictiveness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attract new lending partners and institutional investors of our loan funding programs;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maintain relationships with existing lending partners and institutional investors of our loan funding programs;</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maintain or increase loan volumes, and improve loan mix and the channels through which the loans, lending partners and loan funding are sourced;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maintain effective relationships with loan aggregators from which prospective borrowers access our website;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improvements to our AI models that negatively impact transaction volume, such as lower approval rates;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identify and prevent fraudulent activity and the impact of fraud prevention measures;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fair value of assets and liabilities on our balance sheet;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and success of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effectiveness of our direct marketing and other marketing channels;</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maintaining and expanding our business, operations and infrastructure, including acquiring new and maintaining existing lending partners and institutional investors and attracting borrowers to our platform;</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number and extent of loans facilitated on our platform that are subject to loan modifications and/or temporary assistance due to disasters or emergencies;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number and extent of prepayments of loans facilitated on our platform;</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 or incidents;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involvement in litigation or regulatory enforcement efforts (or the threat thereof) or those that impact our industry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length of the onboarding process related to acquisitions of new lending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 and</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 or the development of competitive products by larger well-funded incumbents.</w:t>
      </w:r>
    </w:p>
    <w:p>
      <w:pPr>
        <w:spacing w:after="0" w:line="19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government stimulus programs provided to individuals in response to the COVID-19 pandemic have obscured this seasonality in our overall financial results, we expect our results of operations to continue to be affected by such seasonality in the future because the COVID-19 government stimulus programs have ended. Such seasonality and other fluctuations in our quarterly results may also adversely affect and, increase the volatility of, the trading price of our common stock.</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ability to attract potential borrowers to our platform and increase the number of Upstart-powered loans depend in large part on our ability to effectively evaluate a borrower’s creditworthiness and likelihood of default and, based on that evaluation, offer competitively priced loans and higher approval rates. Our overall operating efficiency and margins further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lending partners and institutional investors to our lending marketplace, increase the number of Upstart-powered loans or maintain or increase the average size of loans facilitated on our platform.</w:t>
      </w:r>
    </w:p>
    <w:p>
      <w:pPr>
        <w:spacing w:after="0" w:line="18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Additionally, errors or inaccuracies in our AI models could result in any person exposed to the credit risk of Upstart-powered loans, whether it be us, our lending partners or institutional investors in our loan funding programs, experiencing higher than expected losses or lower than desired returns, which could impair our ability to retain existing or attract new lending partners and institutional investors to participate in our loan funding programs, reduce the number, or limit the types, of loans lending partners and institutional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196"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Continuing to improve the accuracy of our AI models is central to our business strategy. However, such improvements could negatively impact transaction volume, such as by lowering approval rates. For example, in the third quarter of 2021, we made changes to our AI models in response to an increase in fraudulent activity on our 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result in lower approval rates or higher interest rates for any borrowers identified as a higher risk, either of which could negatively impact our growth and results of operations in the short term.</w:t>
      </w:r>
    </w:p>
    <w:p>
      <w:pPr>
        <w:spacing w:after="0" w:line="174"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160"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The performance of loans facilitated by our platform is significantly dependent on the effectiveness of our proprietary AI models used to evaluate a borrower’s credit profile and likelihood of default. While our AI models are continually adjusted to account for certain macroeconomic conditions, the bulk of the data gathered and the development of our AI models have largely occurred during a period of sustained economic growth or during the COVID-19 pandemic when extraordinary government stimulus impacted the economy. Our AI models have not been extensively tested during other adverse economic cycles. There is no assurance that our AI models can accurately predict loan performance during periods of adverse economic conditions. If our AI models are unable to accurately reflect the credit risk of loans under such economic conditions, our lending partners, institutional investors in our loan funding programs and we may experience greater than expected losses on such loans, which would harm our reputation and erode the trust we have built with our lending partners and institutional investors in our loan funding programs. For example, in response to the COVID-19 pandemic, the federal government quickly implemented stimulus measures. The subsequent discontinuation of those stimulus measures has increased, and may continue to increase, the delinquency and default rates of borrowers of Upstart-powered loans, which has increased uncertainty about the effectiveness of our AI models among lending partners, institutional investors and others. In addition, we consider credit performance to be one of the most important measures of the effectiveness of our AI models and focus on credit performance compared to the expectations of our lending partners or institutional investors at the time of origination. For loans purchased by institutional investors, our 2021 through mid-2022 vintages have underperformed relative to target returns. Moreover, the fair value of the loans on our balance sheet has declined in the quarter ended June 30, 2023 and may decline in future down-cycle economic conditions. Any of these factors could adversely affect our business, financial condition and results of operations.</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jc w:val="both"/>
        <w:ind w:firstLine="619"/>
        <w:spacing w:after="0" w:line="266" w:lineRule="auto"/>
        <w:rPr>
          <w:sz w:val="20"/>
          <w:szCs w:val="20"/>
          <w:color w:val="auto"/>
        </w:rPr>
      </w:pPr>
      <w:r>
        <w:rPr>
          <w:rFonts w:ascii="Arial" w:cs="Arial" w:eastAsia="Arial" w:hAnsi="Arial"/>
          <w:sz w:val="17"/>
          <w:szCs w:val="17"/>
          <w:color w:val="auto"/>
        </w:rPr>
        <w:t>UMI is our effort to quantify the level of macroeconomic risks in terms of the losses or defaults within Upstart-powered loan portfolios. UMI is at an early stage of its development and does not have a long history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track record. Since it is a new initiative, UMI remains unproven and, therefore, may not perform as expected. We intend to continue our research and development efforts to improve UMI, and we expect that such efforts could result in changes or revisions to current or past UMI values. Any significant changes or revisions could harm our reputation and credibility with our lending partners and institutional investors, which in turn could adversely affect our business, financial condition and results of operations.</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Furthermore, the correlation between UMI and the level of macroeconomic risks in terms of losses or defaults within Upstart-powered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19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UMI is based on our analysis of the losses within Upstart-powered loan portfolios and is specific to our borrower base. UMI is not intended to measure the macroeconomic risks in terms of losses of loan portfolios or asset classes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Upstart-powered loans that our lending partners and institutional investors are willing to fund. Any failure to manage the foregoing risks could adversely affect our ability to maintain a diverse and robust loan funding program, which in turn would negatively impact our business, financial condition and results of operations.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Our securitizations, whole loan sales, committed capital arrangements and warehouse credit facilities expose us to certain risks, and we can provide no assurance that we will be able to access the securitization markets, continue our whole loan sales, enter into new committed capital arrangements, renew our existing warehouse credit facilities or obtain new warehouse credit facilities in the future. This may result in the reduced supply of loan funding capital or require us to seek more costly financing for our marketplace.</w:t>
      </w:r>
    </w:p>
    <w:p>
      <w:pPr>
        <w:spacing w:after="0" w:line="20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have facilitated securitizations, and may in the future facilitate additional securitizations, of certain Upstart-powered loans to allow certain of our lending partners, whole loan purchasers, pass-through certificate buyers and ourselves to liquidate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and/or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pass-through certificates buyers and certain lending partners who contribute loans to the transactions receive cash and/or securities representing debt and/or equity interests in such SPE, which are the proceeds from the sale of the securities. The equity interests in the SPEs are residual interests in that they entitle the equity owners of such SPEs, including us if we are an equity owner in the relevant transaction, to a certain proportion of the residual cash flows, if any, from the loans and to any assets remaining in such SPEs. As a result of challenging credit and liquidity conditions, the value of the subordinated securities we or other transaction participants retain in such SPEs might be reduced or, in some cases, eliminated.</w:t>
      </w:r>
    </w:p>
    <w:p>
      <w:pPr>
        <w:spacing w:after="0" w:line="20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periods of financial disruption and economic uncertainty, such as the financial crisis that began in 2008, the beginning of the COVID-19 pandemic in the spring of 2020, periods of significant market volatility driven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by rapidly rising interest, inflation rates and recessionary concerns in 2022 and the bank failures in 2023 and resulting disruption of the banking sector, the securitization market has been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may be materially adversely affected.</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gain on sale and related servicing fees generated by our whole loan sales, and the servicing fees based on sales of asset-backed securities, also represent a material portion of our earnings. We cannot assure you that our loan purchasers will continue to purchase loans or securities (either through whole loan sales or asset-backed securities) or that they will continue to purchase loans in transactions that generate the same spreads and/or fees that we have historically obtained. During the six months ended June 30, 2023, we sold loans that had been originated in an earlier, lower interest rate environment. We recognized losses on these sales which reduced our revenue. As we hold more loans on our balance sheet, or hold these loans for longer periods and interest rates rise, our business, financial condition and results of operation could be adversely affected, including further reductions in revenue. Factors that may affect loan purchaser demand for loans include:</w:t>
      </w:r>
    </w:p>
    <w:p>
      <w:pPr>
        <w:spacing w:after="0" w:line="82" w:lineRule="exact"/>
        <w:rPr>
          <w:sz w:val="20"/>
          <w:szCs w:val="20"/>
          <w:color w:val="auto"/>
        </w:rPr>
      </w:pPr>
    </w:p>
    <w:p>
      <w:pPr>
        <w:jc w:val="both"/>
        <w:ind w:left="620" w:hanging="307"/>
        <w:spacing w:after="0" w:line="266"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competition in the whole loan sales markets where we compete with loan originators who can sell either larger loan portfolios or loans that have characteristics, pricing and terms that may be perceived to be more desirable to certain loan purchasers or institutional investors than those offered in Upstart-powered loans that comprise our whole loan sales;</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4"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extent to which servicing fees and other expenses may reduce overall net return on purchased pools of loans;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actual or perceived credit performance and loan grade and term mix of the portfolios of loans offered for sale;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loan purchasers’ sector and company investment diversification requirements and strategies;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higher yielding investment opportunities at a risk profile deemed similar to our sold loan portfolios;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borrower prepayment behavior within the underlying pools;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regulatory or investment practices related to maintaining net asset value, mark-to-market and similar metrics surrounding pools of purchased loans; and</w:t>
      </w:r>
    </w:p>
    <w:p>
      <w:pPr>
        <w:spacing w:after="0" w:line="136" w:lineRule="exact"/>
        <w:rPr>
          <w:rFonts w:ascii="Arial" w:cs="Arial" w:eastAsia="Arial" w:hAnsi="Arial"/>
          <w:sz w:val="15"/>
          <w:szCs w:val="15"/>
          <w:color w:val="auto"/>
        </w:rPr>
      </w:pPr>
    </w:p>
    <w:p>
      <w:pPr>
        <w:jc w:val="both"/>
        <w:ind w:left="620" w:hanging="307"/>
        <w:spacing w:after="0" w:line="266"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Potential institutional investors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increased, institutional loan investors reduced the prices they were willing to pay to purchase certain loans we held which had been originated during an earlier, lower interest rate environment,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19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6"/>
          <w:szCs w:val="16"/>
          <w:color w:val="auto"/>
        </w:rPr>
        <w:t>In connection with our committed capital arrangements, we have agreed to compensate, subject to a limit, the committed capital investors if credit losses on the loans sold to them deviate from expectations. As of June 30, 2023, our capital at risk, which represents the maximum exposure to losses, under these arrangements was $40.2 million. The potential amount of our capital, to be realized over time, ranges between $0 to $83.4 million, depending on the actual future performance of the loans sold under these arrangements. See “</w:t>
      </w:r>
      <w:r>
        <w:rPr>
          <w:rFonts w:ascii="Arial" w:cs="Arial" w:eastAsia="Arial" w:hAnsi="Arial"/>
          <w:sz w:val="16"/>
          <w:szCs w:val="16"/>
          <w:i w:val="1"/>
          <w:iCs w:val="1"/>
          <w:color w:val="auto"/>
        </w:rPr>
        <w:t>Note 5. Beneficial Interests</w:t>
      </w:r>
      <w:r>
        <w:rPr>
          <w:rFonts w:ascii="Arial" w:cs="Arial" w:eastAsia="Arial" w:hAnsi="Arial"/>
          <w:sz w:val="16"/>
          <w:szCs w:val="16"/>
          <w:color w:val="auto"/>
        </w:rPr>
        <w:t>” for more information. These types of terms could negatively impact our financial results. We may also experience declines in revenue and loan volume if the existing committed capital investors do not provide funding on the agreed upon terms or we fail to secure additional committed capital arrangements on reasonable terms or at all.</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Cross River Bank and one other lending partner account for a substantial portion of the total number of loans facilitated by our platform and our revenue.</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Cross River Bank, or CRB, a New Jersey-chartered community bank, originates a majority of the loans on our platform. In the six months ended June 30, 2022 and 2023, CRB originated 52% and 41%, respectively, of the Transaction Volume, Number of Loans. CRB also accounts for a large portion of our revenues. In the six months ended June 30, 2022 and 2023, fees received from CRB accounted for 48% and 31%, respectively, of our total revenue. CRB retains a proportion of the loans they originate on their own balance sheet, and sells the remainder of the loans to us, which we in turn sell to institutional investors, sell to our warehouse trust special purpose entities or retain on our balance sheet. Our most recent commercial arrangement with CRB began on January 1, 2019 and has a term of four years with an automatic renewal provision for an additional two years following the initial four-year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originate and/or retain on its balance sheet. We or CRB may terminate our arrangement immediately upon a material breach by the other party and failure to cure such breach within a cure period, if any representations or warranties are found to be false and such error is not cured within a cure period, bankruptcy or insolvency of either party, receipt of an order or judgment by a governmental entity, a material adverse effect, or a change of control whereby such party involved in such change of control provides 90 days’ notice to the other and payment of a termination fee of $450,000. If we are unable to continue to increase the number of other lending partners on our platform or if CRB or one of our other lending partners were to suspend, limit or cease their operations or otherwise terminate their relationship with us, our business, financial condition and results of operations would be adversely affected.</w:t>
      </w:r>
    </w:p>
    <w:p>
      <w:pPr>
        <w:spacing w:after="0" w:line="201"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In both the six months ended June 30, 2022 and 2023, one other lending partner originated 37% and 32% of the Transaction Volume, Number of Loans. In the six months ended June 30, 2022 and 2023, the fees received from this lending partner accounted for 30% and 28% of our total revenue, respectively.</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sales and onboarding process of new lending partners could take longer than expected, leading to fluctuations or variability in expected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lending model often involves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duration and extent to which the resulting macroeconomic consequences of the COVID-19 pandemic and related government assistance programs will impact our future results of operations and overall financial performance remains uncertain.</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global macroeconomic effects of the COVID-19 pandemic and related government assistance programs and their impacts on our business may persist for an indefinite period. The federal government’s stimulus measures taken in response to the COVID-19 pandemic have contributed to higher inflation, resulting in higher interest rates. The subsequent termination of these government stimulus measures reduced the ability of some individual borrowers to remain current on their obligations which we believe led to increased delinquencies, defaults, customer bankruptcies and charge-offs and decreasing recoveries for loans facilitated through the Upstart marketplace. The continued rise in default rates, delinquencies, customer bankruptcies or charge-offs have led, and may continue to lead, to lower demand by our lending partners to originate, and institutional investors to fund, loans facilitated through our marketplace, which would have an adverse effect on our business. If we are unable to improve our AI platform to account for the resulting macroeconomic impacts of the COVID-19 pandemic and of the related creation and discontinuation of the government assistance programs, or if our AI platform is unable to more successfully predict the creditworthiness of potential borrowers compared to other lenders, then our business, financial condition and results of operations could be adversely affected.</w:t>
      </w:r>
    </w:p>
    <w:p>
      <w:pPr>
        <w:spacing w:after="0" w:line="18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magnitude and duration of the fluctuations in business activity caused by the macroeconomic consequences of the COVID-19 pandemic and related government assistance programs cannot currently be estimated with any degree of certainty and has had several effects on our business and results of operations, including, among other things:</w:t>
      </w:r>
    </w:p>
    <w:p>
      <w:pPr>
        <w:spacing w:after="0" w:line="201"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decreases in origination volumes on our platform;</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potential for increased losses for new and existing Upstart-powered loans;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lower acceptance rates from borrowers;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reduction in the availability of loan funding and liquidity from institutional investors and the capital markets;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restricted sales operations and marketing efforts, and a reduction in the effectiveness of such efforts in some cases.</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practice may change or develop over time through judicial decisions or as new guidance or interpretations are provided by regulatory and governing bodies, such as federal, state and local administrative agencies.</w:t>
      </w:r>
    </w:p>
    <w:p>
      <w:pPr>
        <w:spacing w:after="0" w:line="19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Since we launched our AI lending marketplace, we have been proactively working with the federal government and regulatory bodies to ensure that our AI lending marketplace and other services are in compliance with applicable laws and regulations. For example, after significant collaboration with the Consumer Financial Protection Bureau, or CFPB, the CFPB issued Upstart the first no-action letter in 2017, which provided that the CFPB would not take supervisory or enforcement action against Upstart for a violation of the Equal Credit Opportunity Act (ECOA). Upon its expiration, we received a second no-action letter regarding the use of our Al model to underwrite and price unsecured closed-end loans. In June 2022, the second no-action letter was terminated upon our request. Our requested termination was driven by a need to keep our models accurate and updated during a period of significant economic change. As a result, we can provide no assurance that the CFPB or any other federal or state regulator will not take supervisory or enforcement action against us in the future.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marketplace, any of which could adversely affect our business, financial condition and results of operations.</w:t>
      </w:r>
    </w:p>
    <w:p>
      <w:pPr>
        <w:spacing w:after="0" w:line="201"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Recent financial, political and other events, including the 2023 bank failures and the resulting disruption in the banking sector,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April 2022, the CFPB announced that it intends to examine nonbank financial companies that pose risks to consumers, and in November 2022, the Treasury Department issued a report encouraging the CFPB to increase its supervisory activity with respect to larger nonbank lenders. In July 2023, the CFPB Director Chopra announced that the agency had already begun supervision of at least three nonbank fintech companies. If the CFPB decides to subject us to its supervisory process, it could significantly increase the level of regulatory scrutiny of our business practices. In addition, the Biden Administration recently announced a government-wide effort to eliminate “junk fees” which could subject our business practices to even further scrutiny. The CFPB’s action on junk fees thus far has largely focused on fees associated with deposit products, such as “surprise” overdraft fees and not-sufficient-funds fees, that are not within scope of Upstart’s products or services. However, what constitutes a “junk fee” remains undefined. The CFPB has called out other fees, such as pay-to-pay fees charged by debt collectors, and is actively soliciting consumer input on fee practices associated with other consumer financial products or services, signaling that the “junk fee” initiative is likely to continue to broaden in scope. While Upstart believes that the costs it charges are reasonable under the circumstances and does not charge any fees that have been scrutinized by the CFPB thus far, we expect that we would still be subject to some additional scrutiny should the “junk fee” initiative expands to include fees directly associated with consumer lending products.</w:t>
      </w:r>
    </w:p>
    <w:p>
      <w:pPr>
        <w:spacing w:after="0" w:line="20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Moreover, the CFPB has issued several interpretive statements and guidance documents that could impact our business practices including, but not limited to, a May 2022 statement on compliance obligations under ECOA for companies that rely on complex algorithms when making credit decisions. Further, the agency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states’ authority to enforce requirements of federal consumer financial laws, including ECOA. State regulators have also increased the level of regulatory scrutiny on financial technology companies. For example, the State of Maryland initiated an enforcement action against a financial technology company and its bank partner for unlicensed lending within the state. Moreover, as noted above, the OCC has also indicated that it intends to use its supervisory authority to review bank third-party relationships with financial technology companies including a review of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business practices that could pose a risk of potential consumer harm that could impact the safety and soundness of the banks subject to agency supervision. Should the agency examine any of our lending partners, such examinations would, more than likely, involve a review of our business practices to determine whether they pose a risk to the safety and soundness of those lending partners.</w:t>
      </w:r>
    </w:p>
    <w:p>
      <w:pPr>
        <w:spacing w:after="0" w:line="20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been subject to governmental inquiries as well. See the risk factor titled “—</w:t>
      </w:r>
      <w:r>
        <w:rPr>
          <w:rFonts w:ascii="Arial" w:cs="Arial" w:eastAsia="Arial" w:hAnsi="Arial"/>
          <w:sz w:val="16"/>
          <w:szCs w:val="16"/>
          <w:i w:val="1"/>
          <w:iCs w:val="1"/>
          <w:color w:val="auto"/>
        </w:rPr>
        <w:t>We have been in the past and may in the future be subject to federal</w:t>
      </w:r>
      <w:r>
        <w:rPr>
          <w:rFonts w:ascii="Arial" w:cs="Arial" w:eastAsia="Arial" w:hAnsi="Arial"/>
          <w:sz w:val="16"/>
          <w:szCs w:val="16"/>
          <w:color w:val="auto"/>
        </w:rPr>
        <w:t xml:space="preserve"> </w:t>
      </w:r>
      <w:r>
        <w:rPr>
          <w:rFonts w:ascii="Arial" w:cs="Arial" w:eastAsia="Arial" w:hAnsi="Arial"/>
          <w:sz w:val="16"/>
          <w:szCs w:val="16"/>
          <w:i w:val="1"/>
          <w:iCs w:val="1"/>
          <w:color w:val="auto"/>
        </w:rPr>
        <w:t>and state regulatory inquiries regarding our business</w:t>
      </w:r>
      <w:r>
        <w:rPr>
          <w:rFonts w:ascii="Arial" w:cs="Arial" w:eastAsia="Arial" w:hAnsi="Arial"/>
          <w:sz w:val="16"/>
          <w:szCs w:val="16"/>
          <w:color w:val="auto"/>
        </w:rPr>
        <w:t>” for more information. Any government investigations or inquiries, whether or not accurate or warranted, or</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Substantially all of our revenue is derived from a single loan product, and we are thus particularly susceptible to fluctuations in the unsecured personal loan market. We also do not currently offer a broad suite of products that lending partners may find desirable.</w:t>
      </w:r>
    </w:p>
    <w:p>
      <w:pPr>
        <w:spacing w:after="0" w:line="18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While we expanded the type of loan products offered on our platform to include auto loans and continue to invest in developing new loan products, the vast majority of loan originations currently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9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lending partners may in the future seek partnerships with competitors that are able to offer them a broader array of credit products. Over time, in order to preserve and expand our relationships with our existing lending partners, and enter into new lending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effectively manage our growth,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Over the last several years, we experienced rapid growth in our business. Our rapid growth during that time placed significant demands on our management, processes and operational, technological and financial resources. More recently, economic headwinds in 2022 led to us announcing reductions in our workforce in November 2022 and January 2023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As part of that effort and from time to time, we rely on temporary independent contractor programs to scale our operations 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 See also the risk factor titled “</w:t>
      </w:r>
      <w:r>
        <w:rPr>
          <w:rFonts w:ascii="Arial" w:cs="Arial" w:eastAsia="Arial" w:hAnsi="Arial"/>
          <w:sz w:val="16"/>
          <w:szCs w:val="16"/>
          <w:i w:val="1"/>
          <w:iCs w:val="1"/>
          <w:color w:val="auto"/>
        </w:rPr>
        <w:t>We depend on our key personnel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highly skilled personnel, and if we fail to attract, retain and motivate our personnel, our business, financial condition and results of operations could be adversely affected.”</w:t>
      </w:r>
    </w:p>
    <w:p>
      <w:pPr>
        <w:spacing w:after="0" w:line="199"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6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We have introduced auto loan and small dollar loan products and are continuing to invest in developing new loan products and service offerings, such as mortgages.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184"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our small business loan product when we decided to suspend its development in January 2023 due to the adverse macroeconomic conditions affecting our business at that time. If the profile of borrowers using any new products and services is different from that of those currently served by our existing loan products, our AI models may not be able to accurately evaluate the credit risk of such borrowers, and our lending partners and institutional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20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Our reputation and brand are important to our success, and if we are unable to continue developing our reputation and brand, our ability to retain existing and attract new lending partners, our ability to attract borrowers to our platform, our ability to maintain a diverse funding marketplace and our ability to maintain and improve our relationship with regulators of our industry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believe maintaining a strong brand and trustworthy reputation is critical to our success and our ability to attract borrowers to our platform, attract new lending partners, maintain a diverse funding marketplace and sustain good relations with regulators. Factors that affect our brand and reputation include: perceptions of artificial intelligence, our industry and our company, including the quality and reliability of our AI lending marketplace; the accuracy of our AI models; characterizations of our company as a traditional lending company due to the amount of loans held on our balance sheet; perceptions regarding the application of artificial intelligence to consumer lending specifically and that algorithmic lending is inherently biased;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08"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lending partners to reduce their origination volumes or terminate their arrangements with us, impede our ability to attract new lending partners or delay the onboarding of lending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18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lending partners or us for loans originated by our lending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8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6"/>
          <w:szCs w:val="16"/>
          <w:color w:val="auto"/>
        </w:rPr>
        <w:t>Artificial intelligence and related technologies are subject to public debate and heightened regulatory scrutiny. The CFPB Director recently indicated that artificial intelligence remains a regulatory hot topic for the agency including the use of complex credit scoring models as part of the loan underwriting process. The agency has taken several steps to increase regulatory scrutiny of financial technology companies that rely on artificial intelligence. In April 2023, the FTC, DOJ, CFPB, and EEOC released a joint statement on artificial intelligence demonstrating their interest in monitoring the development and use of automated systems and enforcement of their respective laws and regulations. Any negative publicity or negative public perception of artificial intelligence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lending marketplace, may harm our ability to attract prospective borrowers to our platform, retain existing and attract new lending partners and achieve regulatory acceptance of our business.</w:t>
      </w:r>
    </w:p>
    <w:p>
      <w:pPr>
        <w:spacing w:after="0" w:line="20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models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models, including, but not limited to, its use of educational variables, and to engage a neutral third-party firm to perform periodic fair lending assessments over a two-year period. In accordance with the terms of the agreement, we engaged Relman Colfax LLC, or Relman, as a neutral third-party firm, and provided data to conduct fair lending testing of our underwriting models. The fair lending testing was designed to assess lending outcomes from our underwriting models to determine if the models caused or resulted in a disparate impact on any protected class, and if so, whether there were less discriminatory alternative practices while maintaining the models’ predictiveness. Most recently, in September 2022, Relman published its third public report that summarized its findings, recommendations and best practices, as well as any aspects of our AI models that raise particular fair lending concerns or implicate novel insights on educational equity that serve the public interest. While we have input on Relman’s reports and the agreement provides that Relman and the parties to the agreement will collaborate to reach agreement on any recommendations, we may disagree with Relman, the LDF or the SBPC regarding the contents of the reports or particular recommendations that were made, the manner in which they should be implemented, if at all, or whether they would maintain the predictiveness of our AI models or meet any other legitimate business needs of Upstart. If we do not implement Relman’s recommendations, the LDF and/or the SBPC could terminate the agreement with us. If Relman’s reports are viewed negatively for any reason, or Relman terminates its agreement with us and/or the agreement with the LDF and/or the SBPC is terminated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or the SBPC, including the reports published by Relman, could lead to additional regulatory scrutiny for our lending partners.</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been subject to other governmental inquiries on this topic. See the risk factor titled “</w:t>
      </w:r>
      <w:r>
        <w:rPr>
          <w:rFonts w:ascii="Arial" w:cs="Arial" w:eastAsia="Arial" w:hAnsi="Arial"/>
          <w:sz w:val="17"/>
          <w:szCs w:val="17"/>
          <w:i w:val="1"/>
          <w:iCs w:val="1"/>
          <w:color w:val="auto"/>
        </w:rPr>
        <w:t>—We have been in the past and may in the future be subject</w:t>
      </w:r>
      <w:r>
        <w:rPr>
          <w:rFonts w:ascii="Arial" w:cs="Arial" w:eastAsia="Arial" w:hAnsi="Arial"/>
          <w:sz w:val="17"/>
          <w:szCs w:val="17"/>
          <w:color w:val="auto"/>
        </w:rPr>
        <w:t xml:space="preserve"> </w:t>
      </w:r>
      <w:r>
        <w:rPr>
          <w:rFonts w:ascii="Arial" w:cs="Arial" w:eastAsia="Arial" w:hAnsi="Arial"/>
          <w:sz w:val="17"/>
          <w:szCs w:val="17"/>
          <w:i w:val="1"/>
          <w:iCs w:val="1"/>
          <w:color w:val="auto"/>
        </w:rPr>
        <w:t>to federal and state regulatory inquiries regarding our business</w:t>
      </w:r>
      <w:r>
        <w:rPr>
          <w:rFonts w:ascii="Arial" w:cs="Arial" w:eastAsia="Arial" w:hAnsi="Arial"/>
          <w:sz w:val="17"/>
          <w:szCs w:val="17"/>
          <w:color w:val="auto"/>
        </w:rPr>
        <w:t>” for more information. Negative public perception, actions by advocacy groups or legislative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0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Misconduct and errors by our employees, former employees, vendors, or service providers could harm our reputation and subject us to significant legal liability.</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If any of our employees, vendors or service providers engage in illegal, improper, or suspicious activity or other misconduct, we could suffer serious harm to our reputation, financial condition, relationships with lending partners and borrowers, and our ability to attract new lending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do not compete effectively in our target markets, our business, results of operations and financial condition could be harmed.</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lending partners, approval rates, model efficiency, speed and simplicity of loan origination, ease-of-use, marketing expertise, service levels, products and services, technological capabilities and integration, borrower experience, brand and reputation, and terms available to our loan funding institutional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institutional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b w:val="1"/>
          <w:bCs w:val="1"/>
          <w:color w:val="auto"/>
        </w:rPr>
        <w:t>Our business is heavily concentrated in U.S. consumer credit, and therefore our results are more susceptible to fluctuations in that market than a more diversified company.</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manage the risks associated with fraudulent activity, our brand and reputation, business, financial condition and results of operations could be adversely affected.</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lending partners and institutional investors in our loan funding programs. For example, in the third quarter of 2021 and the first quarter of 2022, we experienced temporary increases in fraudulent activity.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In addition, our lending partners, institutional investors in our loan funding programs or we may not be able to recover amounts disbursed on loans made in connection with inaccurate statements, omissions of fact or fraud, which could erode the trust in our brand and negatively impact our ability to attract new lending partners and institutional investors in our loan funding programs.</w:t>
      </w:r>
    </w:p>
    <w:p>
      <w:pPr>
        <w:spacing w:after="0" w:line="18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fail to achieve the expected cost savings and related benefits from our reduction in workforce initiated in November 2022 and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November 2022, we announced a plan to reduce our workforce on our Operations Onboarding team to enable us to help achieve a more cost-efficient organization, which resulted in reducing headcount by 7%. In January 2023, we announced another plan to reduce our workforce by 20% to reduce operating costs, streamline operations and return Upstart to profitability.</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We may fail to effectively execute on, or achieve the stated goals of, the reductions in workforce. Our plans may also change as we continue to refocus on reducing operating costs, streamlining operations and returning our business to profitability. These actions may take more time than we currently estimate and we may not be able to achieve the cost-efficiencies sought. In addition, the reduction in workforce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goals.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Chief Technology Officer, and other highly skilled personnel. Our success also depends on our ability to identify, hire, develop, motivate and retain highly qualified personnel for all areas of our organization.</w:t>
      </w:r>
    </w:p>
    <w:p>
      <w:pPr>
        <w:spacing w:after="0" w:line="20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204"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Furthermore, we have reduced our workforce in November 2022 and January 2023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conditions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Security breaches and incidents compromising borrowers’ confidential information that we store may harm our reputation, adversely affect our results of operations and expose us to liability.</w:t>
      </w:r>
    </w:p>
    <w:p>
      <w:pPr>
        <w:spacing w:after="0" w:line="18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lending partners, loan institutional investors, or by malicious third parties.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These risks may be heightened in connection with the Russia-Ukraine conflict.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Digital First working environment could increase the risks of security breaches and incidents. Significant disruptions of our, our lending partners and third-party vendors’ and/or other business partners’ information technology systems or other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39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or incident, whether actual or perceived, would harm our reputation and ability to attract new borrowers to our platform.</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Like other financial services firms, we have been and continue to be the subject of actual or attempted unauthorized access, mishandling or misuse of information, computer viruses or malware, and cyber-attacks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could obtain confidential information, destroy data, disrupt or degrade service, sabotage systems or cause other damage, distributed denial of service attacks, data breaches and other infiltration, exfiltration or other similar events.</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lending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lending partners and other third parties to lose trust in us or we could be subject to claims by our lending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conducted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39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manage the risks related to our loan servicing and collections obligations, our business, financial condition and results of operations could be adversely affected.</w:t>
      </w:r>
    </w:p>
    <w:p>
      <w:pPr>
        <w:spacing w:after="0" w:line="183"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vast majority of Upstart-powered loans are not secured by any collateral, guaranteed or insured by any third party or backed by any governmental authority. As a result, we are limited in our ability to collect on such loans on behalf of our lending partners and institutional investors of our loan funding programs if a borrower is unwilling or unable to repay them. The ability to collect on the loans is dependent on the borrower’s continuing financial stability, and consequently, collections can be adversely affected by a number of factors, including, but not limited to, unemployment, divorce, death, illness, bankruptcy or the economic or social factors beyond a borrower’s personal circumstances. In addition, the application of various federal and state laws, including federal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platform, reduce income received from the loans facilitated through our platform, or negatively affect our business, financial condition and results of operations.</w:t>
      </w:r>
    </w:p>
    <w:p>
      <w:pPr>
        <w:spacing w:after="0" w:line="2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began conducting first-party collection activities in the fourth quarter of 2022. We have no prior experience conducting first-party or in-house collection activities, and we cannot be certain that we will be able to effectively manage risks associated with such activities. In addition to first-party collection activities, we partner with third-party collection agencies for loans we service. If such third-party collection agencies do not perform as expected under our agreements with them or if we or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we and the collection agents are proactive and consistent in contacting a borrower to bring a delinquent balance current and ultimately avoid the related loan becoming charged off. If we or the collection agents are unable to maintain a high quality of service, or fulfill the servicing obligations at all due to resource constraints, it could result in increased delinquencies and charge-offs on the loans, which could decrease fees payable to us, cause our lending partners to decrease the volume of Upstart-powered loans kept on their balance sheets, erode trust in our lending marketplace or increase the costs of our loan funding programs. If we fail to successfully address any of the foregoing risks associated with our collection activities, our business, financial condition and results of operations could be adversely affected.</w:t>
      </w:r>
    </w:p>
    <w:p>
      <w:pPr>
        <w:spacing w:after="0" w:line="19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are the loan servicer for most loans facilitated through our platform, including those loans that are part of our loan funding programs, such as asset-backed securitization, pass-through certificate transactions and whole loan sales.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institutional investors in our loan funding programs.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are subject to change.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202"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While auto loans issued through our lending platform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lending partners to decrease the volume of Upstart-powered auto loans kept on their balance sheets, erode trust in our lending marketplace and increase the costs of our loan funding programs.</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In connection with our loan funding programs, we make representations and warranties concerning the loans sold, and if such representations and warranties are not accurate when made, we could be required to repurchase the applicable loans.</w:t>
      </w:r>
    </w:p>
    <w:p>
      <w:pPr>
        <w:spacing w:after="0" w:line="183"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6"/>
          <w:szCs w:val="16"/>
          <w:color w:val="auto"/>
        </w:rPr>
        <w:t>In our loan funding programs, including asset-backed securitizations, pass-through certificate transactions, warehouse credit facilities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in our loan funding programs. If those representations and warranties were not accurate when made and are not timely cured or incurable, we may be required to repurchase the underlying loans. Failure to repurchase such loans could constitute a default, an event of default or termination event under the agreements governing our various loan funding programs and could require us to indemnify certain financing parties. Through June 30, 2023, the number of repurchased Upstart-powered loans as a result of inaccurate representations and warranties represents less than 1%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20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lending partners and institutional investors in our loan funding programs would be adversely affected and our ability to attract new lending partners and institutional investors in our loan funding programs would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marketing efforts and brand promotion activities may not be effective.</w:t>
      </w:r>
    </w:p>
    <w:p>
      <w:pPr>
        <w:spacing w:after="0" w:line="249"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Promoting awareness of our AI lending marketplace is important to our ability to grow our business, attract new lending partners, increase the number of potential borrowers on our platform and attract institutional investors to participate in our loan funding programs. We believe that the importance of brand recognition will increase as competition in the consumer lending industry expands. However, because our lending partners are increasingly adopting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in our loan funding programs to our competitors or be unable to attract new lending partners and institutional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Unfavorable outcomes in legal proceedings may harm our business and results of operations.</w:t>
      </w:r>
    </w:p>
    <w:p>
      <w:pPr>
        <w:spacing w:after="0" w:line="24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For example, we are a defendant in a number of securities class action and other related lawsuits. See the risk factor titled “—</w:t>
      </w:r>
      <w:r>
        <w:rPr>
          <w:rFonts w:ascii="Arial" w:cs="Arial" w:eastAsia="Arial" w:hAnsi="Arial"/>
          <w:sz w:val="16"/>
          <w:szCs w:val="16"/>
          <w:i w:val="1"/>
          <w:iCs w:val="1"/>
          <w:color w:val="auto"/>
        </w:rPr>
        <w:t>The trading price of our 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may be volatile, and you could lose all or part of your investment</w:t>
      </w:r>
      <w:r>
        <w:rPr>
          <w:rFonts w:ascii="Arial" w:cs="Arial" w:eastAsia="Arial" w:hAnsi="Arial"/>
          <w:sz w:val="16"/>
          <w:szCs w:val="16"/>
          <w:color w:val="auto"/>
        </w:rPr>
        <w:t>” for more information.</w:t>
      </w:r>
    </w:p>
    <w:p>
      <w:pPr>
        <w:spacing w:after="0" w:line="19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through the lending marketplace. See—“If loans facilitated through our platform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lending partners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w:t>
      </w:r>
      <w:r>
        <w:rPr>
          <w:rFonts w:ascii="Arial" w:cs="Arial" w:eastAsia="Arial" w:hAnsi="Arial"/>
          <w:sz w:val="16"/>
          <w:szCs w:val="16"/>
          <w:i w:val="1"/>
          <w:iCs w:val="1"/>
          <w:color w:val="auto"/>
        </w:rPr>
        <w:t>If loans originated by our lending partners were</w:t>
      </w:r>
      <w:r>
        <w:rPr>
          <w:rFonts w:ascii="Arial" w:cs="Arial" w:eastAsia="Arial" w:hAnsi="Arial"/>
          <w:sz w:val="16"/>
          <w:szCs w:val="16"/>
          <w:color w:val="auto"/>
        </w:rPr>
        <w:t xml:space="preserve"> </w:t>
      </w:r>
      <w:r>
        <w:rPr>
          <w:rFonts w:ascii="Arial" w:cs="Arial" w:eastAsia="Arial" w:hAnsi="Arial"/>
          <w:sz w:val="16"/>
          <w:szCs w:val="16"/>
          <w:i w:val="1"/>
          <w:iCs w:val="1"/>
          <w:color w:val="auto"/>
        </w:rPr>
        <w:t>found to violate the laws of one or more states, whether at origination or after sale by the lending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6"/>
          <w:szCs w:val="16"/>
          <w:color w:val="auto"/>
        </w:rPr>
        <w:t>” below. In addition, the recent inquiries related to our model’s</w:t>
      </w:r>
      <w:r>
        <w:rPr>
          <w:rFonts w:ascii="Arial" w:cs="Arial" w:eastAsia="Arial" w:hAnsi="Arial"/>
          <w:sz w:val="16"/>
          <w:szCs w:val="16"/>
          <w:i w:val="1"/>
          <w:iCs w:val="1"/>
          <w:color w:val="auto"/>
        </w:rPr>
        <w:t xml:space="preserve"> </w:t>
      </w:r>
      <w:r>
        <w:rPr>
          <w:rFonts w:ascii="Arial" w:cs="Arial" w:eastAsia="Arial" w:hAnsi="Arial"/>
          <w:sz w:val="16"/>
          <w:szCs w:val="16"/>
          <w:color w:val="auto"/>
        </w:rPr>
        <w:t>use of education variables in assessing credit risk could prompt potential litigation and government enforcement claims based on perceived violations of ECOA. See—“</w:t>
      </w:r>
      <w:r>
        <w:rPr>
          <w:rFonts w:ascii="Arial" w:cs="Arial" w:eastAsia="Arial" w:hAnsi="Arial"/>
          <w:sz w:val="16"/>
          <w:szCs w:val="16"/>
          <w:i w:val="1"/>
          <w:iCs w:val="1"/>
          <w:color w:val="auto"/>
        </w:rPr>
        <w:t>We have been in the past and may in the future be subject to federal and state regulatory inquiries regarding our business</w:t>
      </w:r>
      <w:r>
        <w:rPr>
          <w:rFonts w:ascii="Arial" w:cs="Arial" w:eastAsia="Arial" w:hAnsi="Arial"/>
          <w:sz w:val="16"/>
          <w:szCs w:val="16"/>
          <w:color w:val="auto"/>
        </w:rPr>
        <w:t>”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party lawsuit or counterclaim, we may have to devote significant financial and management resources to address these issues, which could harm our business, financial condition and results of operations.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have a limited history of operating with a Digital First workforce, and the long-term impact on our business, financial condition and results of operations is uncertain.</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Since our announcement of a Digital First work model in June 2021, remote work with less time in the office has been the primary experience for most of our employees. Our workforce is currently distributed across the U.S., and we expect this distribution to continue. We have a limited history of operating with a Digital First workforce.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0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19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60"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utilization of our financial resources for acquisitions or investments that may fail to realize the anticipated benefits;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25" w:lineRule="exact"/>
        <w:rPr>
          <w:rFonts w:ascii="Arial" w:cs="Arial" w:eastAsia="Arial" w:hAnsi="Arial"/>
          <w:sz w:val="16"/>
          <w:szCs w:val="16"/>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coordination of technology, product development and sales and marketing functions and integration of administrative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transition of the acquired company’s borrowers to our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retention of employees from the acquired company;</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risks, including maintaining good standing with existing regulatory bodies or receiving any necessary approvals, as well as being subject to new regulators with oversight over an acquired business;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attracting financing;</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effective controls, procedures and policies;</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potential write-offs of loans or intangibles or other assets acquired in such transactions that may have an adverse effect on our results of operations in a given period;</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assumption of contractual obligations that contain terms that are not beneficial to us, require us to license or waive intellectual property or increase our risk for liability;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litigation, claims or other liabilities in connection with the acquired company.</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198"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0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acts of war and other armed conflicts, disruptions in global trade, travel restrictions and quarantines, terrorism and other civil, political and geo-political unrest, such as the ongoing Russia-Ukraine conflict,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fair value determinations, stock-based compensation, consolidation of variable interest entities, provision for income taxes, net of valuation allowance for deferred tax assets, and the evaluation for impairment of goodwill and acquired intangible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8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Weaknesses in our disclosure controls and internal control over financial reporting have been discovered in the past and may be discovered in the future. We cannot assure you that the measures we have taken to date,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19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3"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regularly maintain domestic cash deposits in Federal Deposit Insurance Corporation (“FDIC”) insured banks that exceed the FDIC insurance limits. Bank failures, events involving limited liquidity, defaults,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174"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RISKS RELATED TO OUR INTELLECTUAL PROPERTY AND PLATFORM DEVELOPMENT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and costly to protect our intellectual property rights, and we may not be able to ensure their protection.</w:t>
      </w:r>
    </w:p>
    <w:p>
      <w:pPr>
        <w:spacing w:after="0" w:line="24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patents issued and one patent application pending, we have limited patent protection and our patent application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18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9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Any significant disruption in our AI lending platform could prevent us from processing loan applicants and servicing loans, reduce the effectiveness of our AI models and result in a loss of lending partners or borrowers.</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cloud storage services and national consumer reporting agencies.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platform, we obtain borrowers’ data from national consumer reporting agencies, such as TransUnion, and rely on their services in order to process loan applications. Any interference or disruption of our technology and underlying infrastructure or our use of third-party services could adversely affect our relationships with our lending partners and institutional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0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platform and internal systems rely on software that is highly technical, and if our software contains undetected errors, our business could be adversely affected.</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19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Some aspects of our business processes include open source software, and any failure to comply with the terms of one or more of these open source licenses could negatively affect our business.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be construed in a manner that limits our use of the software, inhibits certain aspects of our systems and negatively affects our business operations.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Some open source licenses contain requirements that we make source code available at no cost for modifications or derivative works we create based upon the type of open source software we use.</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43"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13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A significant number of consumers that apply for a loan on Upstart.com learn about and access Upstart.com through the website of a loan aggregator, typically with a hyperlink from such loan aggregator’s website to a landing page on our website. While we are planning to move towards more direct acquisition channels, we anticipate that we will continue to depend in significant part on relationships with loan aggregators to maintain and grow our business. For example, a significant amount of our loan originations was derived from traffic from one of our partners, Credit Karma. Our most recent agreement with Credit Karma provides that either party may terminate our arrangement immediately upon a material breach of any provision of the agreement or at any time, with or without cause, by providing no less than 30 days’ notice. Our agreements with the loan aggregators do not require loan aggregators, including Credit Karma, to display offers from lenders on Upstart.com nor prohibit them from working with our competitors or from offering competing services. In this regard, Credit Karma has been directing, and may continue to direct, more customer traffic to a program that hosts and aggregates the credit models of other loan providers directly on its platform for the purpose of giving credit offers. If traffic from Credit Karma or other loan aggregators decreases in the future as a result of this program or for other reasons, our loan originations and results of operations would be adversely affected. There is also no assurance that Credit Karma or other loan aggregators will continue its contract with us on commercially reasonable terms or at all. Furthermore, on December 3, 2020, Credit Karma was acquired by Intuit Inc. It is possible Intuit may not continue our agreement on commercially reasonable terms or at all, which would adversely affect our business.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0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those rates offered through aggregators. In the event we do not successfully optimize direct traffic, our ability to attract borrowers would be adversely affected.</w:t>
      </w:r>
    </w:p>
    <w:p>
      <w:pPr>
        <w:spacing w:after="0" w:line="25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lending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8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marketplace or increase the number of Upstart-powered loans and adversely affect our business, financial condition and results of operations.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0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Failure by our third-party vendors or our failure to comply with legal or regulatory requirements or other contractual requirements could have an adverse effect on our business.</w:t>
      </w:r>
    </w:p>
    <w:p>
      <w:pPr>
        <w:spacing w:after="0" w:line="18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CFPB and each of the prudential bank regulators that supervise our lending partners have issued guidance stating that institutions under their supervision may be held responsible for the actions of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with which they contract. As a service provider to those supervised entities, we must ensure we have implemented an adequate vendor management program. We or our lending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If loans originated by our lending partners were found to violate the laws of one or more states, whether at origination or after sale by the lending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7"/>
          <w:szCs w:val="17"/>
          <w:color w:val="auto"/>
        </w:rPr>
        <w:t>.</w:t>
      </w:r>
    </w:p>
    <w:p>
      <w:pPr>
        <w:spacing w:after="0" w:line="20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lending partners rely on certain authority under federal law to export the interest rate requirements of the state where each lending partner is located to borrowers in all other states. Further, certain of our lending partners and institutional investors rely on the ability of subsequent holders to continue charging such rate and fee structures and enforce other contractual terms agreed to by our lending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1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18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institutional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12"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192"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On February 8, 2022, the court ruled in favor of the OCC and FDIC holding that the agencies did not exceed their statutory authorities when promulgating their “valid when made” rules.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2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For example, Hawaii has broadened its oversight of installment lenders. Effective January 1, 2022, Hawaii instituted a new licensing requirement for “installment lenders”, which is defined to capture loans offered under a bank partnership model (i.e., it applies to a person “who arranges a consumer loan for a third party, or who acts as an agent for a third party, regardless of whether the third party is exempt from licensure.” H.B. 1192 (2021)). Other states may take different paths to promulgate similar “true lender” restrictions, and if not through a legislative path, impacted parties may have little to no advance notice of new restrictions and compliance obligations.</w:t>
      </w:r>
    </w:p>
    <w:p>
      <w:pPr>
        <w:spacing w:after="0" w:line="19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If a borrower or any state agency were to successfully bring a claim against us, our lending partners, our securitization vehicles and/or the trustees of such vehicles or our institutional investors for a state usury law or fee restriction violation and the rate or fee at issue on the loan was impermissible under applicable state law, we, our lending partners, securitization vehicles and/or trustees or institutional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19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Additionally, effective July 1, 2024, Colorado updated its Uniform Consumer Credit Code invoking its right under the Depository Institutions Deregulation and Monetary Control Act to opt out of a provision that allows state-chartered banks to preempt state interest rates applicable to consumer credit transactions. This will affect the bank partnership model as out-of-state state banks and credit unions will be required to follow Colorado’s interest rate and fee restrictions on consumer loans to Colorado residents if the loans are deemed to be made in Colorado.</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If loans facilitated through our platform for one or more lending partners were subject to successful challenge that the lending partner was not the “true lender,” such loans may be unenforceable, subject to rescission or otherwise impaired, we or other program participants may be subject to penalties, and/or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relationships may suffer, each which would adversely affect our business and results of operations.</w:t>
      </w:r>
    </w:p>
    <w:p>
      <w:pPr>
        <w:spacing w:after="0" w:line="24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Upstart-powered loans are originated in reliance on the fact that our lending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lending partners, many state consumer financial regulatory requirements, including usury restrictions (other than the restrictions of the state in which a lending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9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This case has since been remanded to the Superior Court of the District of Columbia. A similar complaint against online lender Opportunity Financial, LLC was filed in early 2021, alleging that it rather than a bank originated these loans and the loans were therefore in violation of Washington, DC usury laws. The parties settled this case in November 2021. Also in April 2021, the Maryland Office of the Commissioner of Financial Regulation also alleged in the context of a civil suit that a state-chartered bank and its fintech partners engaged in a bank partnership program that violated various state licensing and credit statutes. The case is pending before the Office of the Commissioner of Financial Regulation for administrative adjudication.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CRB (Case No. 21-CV-985). Furthermore, in April 2022, the California Department of Financial Protection and Innovation filed a complaint in Los Angeles Superior Court alleging that Opportunity Financial, LLC is the “true lender” of several loans to California residents that exceeded the applicable California usury limit for small dollar loans. There is an ongoing risk that government agencies and private plaintiffs will seek to challenge these types of relationships.</w:t>
      </w:r>
    </w:p>
    <w:p>
      <w:pPr>
        <w:spacing w:after="0" w:line="20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19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lending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However, we have taken steps to confirm that our business model conforms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requirements of the Colorado safe harbor. We have also taken additional steps to facilitate compliance with that above-described law enacted in Maine.</w:t>
      </w:r>
    </w:p>
    <w:p>
      <w:pPr>
        <w:spacing w:after="0" w:line="25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6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It is also possible that other state agencies or regulators could make similar assertions. If a court, or a state or federal enforcement agency, were to deem Upstart, rather than our lending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lending partners, institutional investors or other commercial counterparties).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counterparty risk with respect to the capped call transactions.</w:t>
      </w:r>
    </w:p>
    <w:p>
      <w:pPr>
        <w:spacing w:after="0" w:line="24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or cash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4"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REGULATORY ENVIRONMENT</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Litigation, regulatory actions and compliance issues could subject us to significant fines, penalties, judgments, remediation costs and/or requirements resulting in increased expenses.</w:t>
      </w:r>
    </w:p>
    <w:p>
      <w:pPr>
        <w:spacing w:after="0" w:line="18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are subject to or facilitate compliance with a variety of federal, state, and local laws, including those related to consumer protection and loan financings.</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lending partners. These regulators may augment requirements that apply to loans facilitated by our platform, or impose new programs and restrictions, and could otherwise revise or create new regulatory requirements that apply to us (or our lending partners), impacting our business, operations, and profitability.</w:t>
      </w:r>
    </w:p>
    <w:p>
      <w:pPr>
        <w:spacing w:after="0" w:line="20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Certain state laws generally regulate interest rates and other charges and require certain disclosures. In addition, other federal and state laws may apply to the origination, servicing and collection of loans originated on our platform, and the purchase and sale of whole loans or asset-backed securitizations. In particular, certain laws, regulations and rules we or our lending partners are subject to include:</w:t>
      </w:r>
    </w:p>
    <w:p>
      <w:pPr>
        <w:spacing w:after="0" w:line="72" w:lineRule="exact"/>
        <w:rPr>
          <w:sz w:val="20"/>
          <w:szCs w:val="20"/>
          <w:color w:val="auto"/>
        </w:rPr>
      </w:pPr>
    </w:p>
    <w:p>
      <w:pPr>
        <w:jc w:val="both"/>
        <w:ind w:left="620" w:hanging="307"/>
        <w:spacing w:after="0" w:line="262"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4"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require creditors to comply with certain lending practice restrictions, limit the ability of a creditor to impose certain loan terms and impose disclosure requirements in connection with credit card origination;</w:t>
      </w:r>
    </w:p>
    <w:p>
      <w:pPr>
        <w:spacing w:after="0" w:line="61" w:lineRule="exact"/>
        <w:rPr>
          <w:sz w:val="20"/>
          <w:szCs w:val="20"/>
          <w:color w:val="auto"/>
        </w:rPr>
      </w:pPr>
    </w:p>
    <w:p>
      <w:pPr>
        <w:jc w:val="both"/>
        <w:ind w:left="620" w:hanging="307"/>
        <w:spacing w:after="0" w:line="262"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4" w:lineRule="exact"/>
        <w:rPr>
          <w:rFonts w:ascii="Arial" w:cs="Arial" w:eastAsia="Arial" w:hAnsi="Arial"/>
          <w:sz w:val="17"/>
          <w:szCs w:val="17"/>
          <w:color w:val="auto"/>
        </w:rPr>
      </w:pPr>
    </w:p>
    <w:p>
      <w:pPr>
        <w:jc w:val="both"/>
        <w:ind w:left="620" w:hanging="307"/>
        <w:spacing w:after="0" w:line="262"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1" w:lineRule="exact"/>
        <w:rPr>
          <w:rFonts w:ascii="Arial" w:cs="Arial" w:eastAsia="Arial" w:hAnsi="Arial"/>
          <w:sz w:val="17"/>
          <w:szCs w:val="17"/>
          <w:color w:val="auto"/>
        </w:rPr>
      </w:pPr>
    </w:p>
    <w:p>
      <w:pPr>
        <w:jc w:val="both"/>
        <w:ind w:left="620" w:hanging="307"/>
        <w:spacing w:after="0" w:line="257"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1" w:lineRule="exact"/>
        <w:rPr>
          <w:rFonts w:ascii="Arial" w:cs="Arial" w:eastAsia="Arial" w:hAnsi="Arial"/>
          <w:sz w:val="17"/>
          <w:szCs w:val="17"/>
          <w:color w:val="auto"/>
        </w:rPr>
      </w:pPr>
    </w:p>
    <w:p>
      <w:pPr>
        <w:ind w:left="620" w:right="280" w:hanging="307"/>
        <w:spacing w:after="0" w:line="281"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61" w:lineRule="exact"/>
        <w:rPr>
          <w:rFonts w:ascii="Arial" w:cs="Arial" w:eastAsia="Arial" w:hAnsi="Arial"/>
          <w:sz w:val="16"/>
          <w:szCs w:val="16"/>
          <w:color w:val="auto"/>
        </w:rPr>
      </w:pPr>
    </w:p>
    <w:p>
      <w:pPr>
        <w:jc w:val="both"/>
        <w:ind w:left="620" w:hanging="307"/>
        <w:spacing w:after="0" w:line="259"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79"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Bankruptcy Code, which limits the extent to which creditors may seek to enforce debts against parties who have filed for bankruptcy protection;</w:t>
      </w:r>
    </w:p>
    <w:p>
      <w:pPr>
        <w:spacing w:after="0" w:line="125" w:lineRule="exact"/>
        <w:rPr>
          <w:rFonts w:ascii="Arial" w:cs="Arial" w:eastAsia="Arial" w:hAnsi="Arial"/>
          <w:sz w:val="16"/>
          <w:szCs w:val="16"/>
          <w:color w:val="auto"/>
        </w:rPr>
      </w:pPr>
    </w:p>
    <w:p>
      <w:pPr>
        <w:jc w:val="both"/>
        <w:ind w:left="620" w:hanging="307"/>
        <w:spacing w:after="0" w:line="266"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71"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1" w:lineRule="exact"/>
        <w:rPr>
          <w:rFonts w:ascii="Arial" w:cs="Arial" w:eastAsia="Arial" w:hAnsi="Arial"/>
          <w:sz w:val="17"/>
          <w:szCs w:val="17"/>
          <w:color w:val="auto"/>
        </w:rPr>
      </w:pPr>
    </w:p>
    <w:p>
      <w:pPr>
        <w:jc w:val="both"/>
        <w:ind w:left="620" w:hanging="307"/>
        <w:spacing w:after="0" w:line="290" w:lineRule="auto"/>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54" w:lineRule="exact"/>
        <w:rPr>
          <w:rFonts w:ascii="Arial" w:cs="Arial" w:eastAsia="Arial" w:hAnsi="Arial"/>
          <w:sz w:val="16"/>
          <w:szCs w:val="16"/>
          <w:color w:val="auto"/>
        </w:rPr>
      </w:pPr>
    </w:p>
    <w:p>
      <w:pPr>
        <w:ind w:left="620" w:hanging="307"/>
        <w:spacing w:after="0" w:line="279"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Right to Financial Privacy Act and similar state laws enacted to provide the financial records of financial institution customers a reasonable amount of privacy from government scrutiny;</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Bank Secrecy Act and the USA PATRIOT Act, which relate to compliance with anti-money laundering, borrower due diligence and record-keeping policies and procedures;</w:t>
      </w:r>
    </w:p>
    <w:p>
      <w:pPr>
        <w:spacing w:after="0" w:line="61"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4"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state-specific and local laws and regulations.</w:t>
      </w:r>
    </w:p>
    <w:p>
      <w:pPr>
        <w:spacing w:after="0" w:line="243"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lending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in March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18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Internet-based loan origination processes may give rise to greater risks than paper-based processes and may not always be allowed under state law.</w:t>
      </w:r>
    </w:p>
    <w:p>
      <w:pPr>
        <w:spacing w:after="0" w:line="27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found to be operating without having obtained necessary state or local licenses, our business, financial condition and results of operations could be adversely affected.</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platform could be rendered void or unenforceable in whole or in part, any of which could have a material adverse effect on our business.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Transfer Act and Regulation E, among other regulations, and to enforce compliance with those laws. The CFPB supervises banks, thrifts and credit unions with assets over $10 billion and examines certain of our lending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83"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In April 2022, the CFPB announced that it intends to examine nonbank financial companies that pose risks to consumers. If the CFPB decides to subject us to its supervisory process, it could significantly increase the level of regulatory scrutiny of our business practices. See the risk factor titled “—Our business is subject to a wide range of laws and regulations, many of which are evolving, and failure or perceived failure to comply with such laws and regulations could harm our business, financial condition and results of operations” for more information.</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addition, evolving views regarding the use of alternative variables and machine learning in assessing credit risk could result in the CFPB taking actions</w:t>
      </w:r>
    </w:p>
    <w:p>
      <w:pPr>
        <w:spacing w:after="0" w:line="45"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 xml:space="preserve">that result in requirements to alter or cease offering affected financial products and services, making them less attractive and restricting our ability to offer them. See the risk factor titled “— </w:t>
      </w:r>
      <w:r>
        <w:rPr>
          <w:rFonts w:ascii="Arial" w:cs="Arial" w:eastAsia="Arial" w:hAnsi="Arial"/>
          <w:sz w:val="15"/>
          <w:szCs w:val="15"/>
          <w:i w:val="1"/>
          <w:iCs w:val="1"/>
          <w:color w:val="auto"/>
        </w:rPr>
        <w:t>Our reputation and brand are important to our success, and if we are unable to continue developing our reputation and brand, our</w:t>
      </w:r>
      <w:r>
        <w:rPr>
          <w:rFonts w:ascii="Arial" w:cs="Arial" w:eastAsia="Arial" w:hAnsi="Arial"/>
          <w:sz w:val="15"/>
          <w:szCs w:val="15"/>
          <w:color w:val="auto"/>
        </w:rPr>
        <w:t xml:space="preserve"> </w:t>
      </w:r>
      <w:r>
        <w:rPr>
          <w:rFonts w:ascii="Arial" w:cs="Arial" w:eastAsia="Arial" w:hAnsi="Arial"/>
          <w:sz w:val="15"/>
          <w:szCs w:val="15"/>
          <w:i w:val="1"/>
          <w:iCs w:val="1"/>
          <w:color w:val="auto"/>
        </w:rPr>
        <w:t>ability to retain existing and attract new bank partners, our ability to attract borrowers to our platform, our ability to maintain a diverse funding marketplace and</w:t>
      </w:r>
    </w:p>
    <w:p>
      <w:pPr>
        <w:jc w:val="both"/>
        <w:spacing w:after="0" w:line="250" w:lineRule="auto"/>
        <w:rPr>
          <w:sz w:val="20"/>
          <w:szCs w:val="20"/>
          <w:color w:val="auto"/>
        </w:rPr>
      </w:pPr>
      <w:r>
        <w:rPr>
          <w:rFonts w:ascii="Arial" w:cs="Arial" w:eastAsia="Arial" w:hAnsi="Arial"/>
          <w:sz w:val="17"/>
          <w:szCs w:val="17"/>
          <w:i w:val="1"/>
          <w:iCs w:val="1"/>
          <w:color w:val="auto"/>
        </w:rPr>
        <w:t xml:space="preserve">our ability to maintain and improve our relationship with regulators of our industry could be adversely affected” </w:t>
      </w:r>
      <w:r>
        <w:rPr>
          <w:rFonts w:ascii="Arial" w:cs="Arial" w:eastAsia="Arial" w:hAnsi="Arial"/>
          <w:sz w:val="17"/>
          <w:szCs w:val="17"/>
          <w:color w:val="auto"/>
        </w:rPr>
        <w:t>for more information. The CFPB could also</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 rules that restrict our effectiveness in servicing our financial products and services.</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9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current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9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compliance and operational costs and litigation exposure could increase if and when the CFPB or another agency amends or finalizes any proposed regulations, including the regulations discussed above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been in the past and may in the future be subject to federal and state regulatory inquiries regarding our business.</w:t>
      </w:r>
    </w:p>
    <w:p>
      <w:pPr>
        <w:spacing w:after="0" w:line="249"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lending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were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Upon Upstart’s request, such no-action letter was terminated in June 2022. While the termination of the no-action letter removes the obligation to regularly share updates with the CFPB,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18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19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6"/>
          <w:szCs w:val="16"/>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in our loan funding programs.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w:t>
      </w:r>
    </w:p>
    <w:p>
      <w:pPr>
        <w:spacing w:after="0" w:line="18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6"/>
          <w:szCs w:val="16"/>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in March 2021, Virginia enacted the Virginia Consumer Data Protection Act of 2021, or VCDPA; in June 2021 Colorado enacted the Colorado Privacy Act, or CPA; in March 2022, Utah, enacted the Utah Consumer Privacy Act, or UCPA; in May 2022, Connecticut enacted a similar law, An Act Concerning Personal Data Privacy and Online Monitoring, or CTDPA; and in March 2023, Iowa enacted an Act Relating to Consumer Data Protection, or ICDPA. The VCDPA went into effect on January 1, 2023, and the CPA and CTDPA both go into effect on July 31, 2023. The UCPA will go into effect December 31, 2023. The ICDPA will go into effect January 1, 2025. In June 2023, Texas enacted the Texas Data Privacy and Security Act, which will go into effect January 1, 2024. Additionally, other U.S. states are proposing and enacting laws and regulations that impose obligations similar to the CCPA or that otherwise involve significant obligations and restrictions.</w:t>
      </w:r>
    </w:p>
    <w:p>
      <w:pPr>
        <w:spacing w:after="0" w:line="21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Many privacy and data security laws, such as the CCPA, apply to biometric data. However, some states have passed or are considering legislation that are biometric specific. For instance, in Illinois, the Biometric Information Privacy Act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As the regulatory framework for artificial intelligence and machine learning technology evolves, our business, financial condition and results of operations may be adversely affected.</w:t>
      </w:r>
    </w:p>
    <w:p>
      <w:pPr>
        <w:spacing w:after="0" w:line="18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4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lending partners.</w:t>
      </w:r>
    </w:p>
    <w:p>
      <w:pPr>
        <w:spacing w:after="0" w:line="19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If the exemptive order ceases to apply to our business, and we are not able to rely on other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0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If our transactions with institutional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required to register with the SEC or under state securities laws as a broker-dealer, our ability to conduct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0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96"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RISKS RELATED TO INDEBTEDNESS</w:t>
      </w:r>
    </w:p>
    <w:p>
      <w:pPr>
        <w:spacing w:after="0" w:line="243"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6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through our warehouse trust special purpose entities, have entered into warehouse credit facilities to partially finance the purchase of loans from certain lending partners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Under our warehouse credit facility for unsecured personal loans (the “ULT Warehouse Credit Facility”), we may borrow from an aggregate of $175.0 million financing capacity, until the earlier of June 2025 and an accelerated amortization event. Any outstanding principal, together with any accrued and unpaid interest, are due and payable by the warehouse trust special purpose entity in June 2026. As of June 30, 2023, the amount borrowed under the ULT Warehouse Credit Facility was $91.5 million, and $123.4 million of aggregated fair value of loans purchased were pledged as collateral. Under our warehouse facility for auto loans (the “UAWT Warehouse Credit Facility”), we may borrow up to $200 million until June 14, 2024, and any outstanding principal, together with any accrued and unpaid interest, are due and payable by the warehouse trust special purpose entity twelve months after the determined amortization date. As of June 30, 2023, the amount borrowed under the UAWT Warehouse Credit Facility was $187.7 million, and $272.1 million of aggregated fair value of loans purchased were pledged as collateral.</w:t>
      </w:r>
    </w:p>
    <w:p>
      <w:pPr>
        <w:spacing w:after="0" w:line="20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warehouse credit facilities impose operating and financial covenants on the applicable warehouse trust special purpose entity, and under certain events of default, the applicable lender could require that all or a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lending partners’ ability or willingness to originate new loans, which in turn would have an adverse effect on our business, results of operations and financial condition.</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8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loan liquidity to our lending partners and whole loan purchasers. As a result, our lack of parent debt rating and any further downgrades to the ratings of our asset-backed securities could negatively impact our business, financial condition and results of operations.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addition, in August 2021, we issued $661.3 million aggregate principal amount of 0.25% convertible senior notes due 2026, or Notes (including the exercise in full of the initial purchasers’ option to purchase an additional $86.3 million aggregate principal of additional Notes). Holders of the Notes may require us to purchase all or a portion of their Notes upon the occurrence of a fundamental change before the maturity date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in the indenture for the Notes may deter or prevent a business combination that may be favorable to you.</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3"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RISKS RELATED TO TAXES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ability to use our deferred tax assets to offset future taxable income may be subject to certain limitations, which may have a material impact on our result of operations.</w:t>
      </w:r>
    </w:p>
    <w:p>
      <w:pPr>
        <w:spacing w:after="0" w:line="18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of June 30, 2023, a valuation allowance has been recorded to recognize only deferred tax assets that are more likely than not to be realized in the United States federal and state tax jurisdictions. Our net deferred tax assets are primarily related to net operating loss carryforwards, or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8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law.</w:t>
      </w:r>
    </w:p>
    <w:p>
      <w:pPr>
        <w:spacing w:after="0" w:line="19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tax laws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19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1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trading price of our common stock may be volatile, and you could lose all or part of your investment.</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2" w:lineRule="exact"/>
        <w:rPr>
          <w:sz w:val="20"/>
          <w:szCs w:val="20"/>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financial technology stocks;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reduction in the availability of loan funding and liquidity from institutional investors and the capital markets;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quarterly fluctuations in demand for the loans we facilitate through our platform;</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financial technology companies and technology companies that offer services to financial institutions;</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 including sales to cover tax withholding obligations upon vesting of RSUs issued to our employees;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issuance of shares of our common stock, whether in connection with an acquisition or upon conversion of some or all of the outstanding Notes;</w:t>
      </w:r>
    </w:p>
    <w:p>
      <w:pPr>
        <w:spacing w:after="0" w:line="125" w:lineRule="exact"/>
        <w:rPr>
          <w:rFonts w:ascii="Arial" w:cs="Arial" w:eastAsia="Arial" w:hAnsi="Arial"/>
          <w:sz w:val="16"/>
          <w:szCs w:val="16"/>
          <w:color w:val="auto"/>
        </w:rPr>
      </w:pPr>
    </w:p>
    <w:p>
      <w:pPr>
        <w:ind w:left="620" w:hanging="307"/>
        <w:spacing w:after="0" w:line="279"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prevailing interest rates;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compliance with government policies or regulations;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issuance of any cease-and-desist orders from regulatory agencies that we are subject to;</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market perception of the accuracy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actual or perceived data security breaches or other data security incidents;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development relating to our reductions in workforce announced in November 2022 and January 2023;</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political unrest, natural disasters, pandemics or responses to these events; and</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general economic conditions, including economic slowdowns, recessions, rising interest and inflation rates, tightening of credit markets and the 2023 bank failures and resulting disruption in the banking sector.</w:t>
      </w:r>
    </w:p>
    <w:p>
      <w:pPr>
        <w:spacing w:after="0" w:line="19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capped call transactions may affect the price of our common stock.</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intended to offset the potential dilution and/or offset any cash payments we make in excess of the aggregate principal amount of converted Notes, as the case may be, as a result of conversion of the Notes.</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or following any repurchase of the Notes). This activity could also cause or prevent an increase or a decrease in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insiders have significant voting power, which could limit your ability to influence the outcome of key transactions, including a change of control.</w:t>
      </w:r>
    </w:p>
    <w:p>
      <w:pPr>
        <w:spacing w:after="0" w:line="27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large number of shares of our capital stock eligible for public sale or subject to rights requiring us to register them for public sale could depress the market price of our common stock.</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common stock does not provide any rights directly related to the loans we hold.</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6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amended and restated certificate of incorporation authorizes us to issue 616,188,516 shares of authorized but unissued common stock and rights relating to common stock for the consideration and on the terms and conditions established by our Board of Directors in its sole discretion, whether in connection with acquisitions or otherwise. We have reserved 6,298,961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To the extent a large number of shares of our common stock are sold in connection with any “sell to cover” transactions upon vesting of restricted stock units (RSUs) issued to our employees, our stock price may fluctuate.</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80" w:lineRule="exact"/>
        <w:rPr>
          <w:sz w:val="20"/>
          <w:szCs w:val="20"/>
          <w:color w:val="auto"/>
        </w:rPr>
      </w:pPr>
    </w:p>
    <w:p>
      <w:pPr>
        <w:ind w:left="620" w:hanging="307"/>
        <w:spacing w:after="0" w:line="279"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vacancies and newly-created seats on our Board of Directors will be able to be filled only by our Board of Directors and not by stockholders;</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only the Chair of our Board of Directors, our Chief Executive Officer, our president, or a majority of our entire Board of Directors are authorized to call a special meeting of stockholders;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litigation against us or our directors, stockholders, officers or employees can only be brought in Delaware;</w:t>
      </w:r>
    </w:p>
    <w:p>
      <w:pPr>
        <w:spacing w:after="0" w:line="113"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 and</w:t>
      </w:r>
    </w:p>
    <w:p>
      <w:pPr>
        <w:spacing w:after="0" w:line="61"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197"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8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0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common stock market price and trading volume could decline if equity or industry analysts do not publish research or publish inaccurate or unfavorable research about our business.</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requirements of being a public company may strain our resources, divert management’s attention and affect our ability to attract and retain qualified board members.</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management team has limited experience managing a public company.</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do not intend to pay dividends for the foreseeable future.</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repurchases of the Company’s common stock during the three months ended 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 Securities Trading Plans of Executive Officers and Directors</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some of the Company’s executive officers or directors may determine that it is advisable to diversify their investments for personal financial planning reasons or may seek liquidity for other reasons and may sell shares of common stock of the Company. To effect such sales, from time to time, some of the Company’s executive officers or directors may enter into trading plans that are designed to comply with the Company’s Insider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Trading Policy and intended to satisfy the affirmative defense conditions of Rule 10b5-1(c) of the Securities Exchange Act of 1934, as amended (the “Exchange Act”).</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quarter ended June 30, 2023, the following officers (as defined in Rule 16a-1(f) of the Exchange Act) of the Company (“officers”) have adopted a contract, instruction or written plan for the sale of securities of the Company intended to satisfy the affirmative defense conditions of Rule 10b5–1(c) of the Exchange Act: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Name and title of officer: Paul Gu, Chief Technology Officer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Date of adoption: May 31, 2023</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Duration of the trading arrangement: Through May 31, 2024 or earlier if all transactions under the trading arrangement are completed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Aggregate number of securities to be sold from time to time: up to 580,000 shares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Name and title of officer: Sanjay Datta,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Date of adoption: May 31, 2023</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Duration of the trading arrangement: Through March 11, 2024 or earlier if all transactions under the trading arrangement are completed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Aggregate number of securities to be sold from time to time: up to 28,000 shares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Name and title of officer: Scott Darling, Chief Legal Officer and Corporate Secretary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Date of adoption: May 30, 2023</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Duration of the trading arrangement: Through July 31, 2024 or earlier if all transactions under the trading arrangement are completed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Aggregate number of securities to be sold from time to time: up to 250,821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5" w:name="page136"/>
    <w:bookmarkEnd w:id="135"/>
    <w:p>
      <w:pPr>
        <w:spacing w:after="0"/>
        <w:rPr>
          <w:sz w:val="20"/>
          <w:szCs w:val="20"/>
          <w:color w:val="auto"/>
        </w:rPr>
      </w:pPr>
      <w:r>
        <w:rPr>
          <w:rFonts w:ascii="Arial" w:cs="Arial" w:eastAsia="Arial" w:hAnsi="Arial"/>
          <w:sz w:val="19"/>
          <w:szCs w:val="19"/>
          <w:b w:val="1"/>
          <w:bCs w:val="1"/>
          <w:color w:val="auto"/>
        </w:rPr>
        <w:t>ITEM 6. EXHIBITS</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exhibits listed below are filed as part of this Quarterly Report on Form 10-Q or are incorporated herein by reference, in each case as indicated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100" w:type="dxa"/>
            <w:vAlign w:val="bottom"/>
            <w:gridSpan w:val="9"/>
          </w:tcPr>
          <w:p>
            <w:pPr>
              <w:ind w:left="3340"/>
              <w:spacing w:after="0"/>
              <w:rPr>
                <w:sz w:val="20"/>
                <w:szCs w:val="20"/>
                <w:color w:val="auto"/>
              </w:rPr>
            </w:pPr>
            <w:r>
              <w:rPr>
                <w:rFonts w:ascii="Arial" w:cs="Arial" w:eastAsia="Arial" w:hAnsi="Arial"/>
                <w:sz w:val="17"/>
                <w:szCs w:val="17"/>
                <w:b w:val="1"/>
                <w:bCs w:val="1"/>
                <w:color w:val="212529"/>
              </w:rPr>
              <w:t>EXHIBIT INDEX</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9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160"/>
              <w:spacing w:after="0"/>
              <w:rPr>
                <w:sz w:val="20"/>
                <w:szCs w:val="20"/>
                <w:color w:val="auto"/>
              </w:rPr>
            </w:pPr>
            <w:r>
              <w:rPr>
                <w:rFonts w:ascii="Arial" w:cs="Arial" w:eastAsia="Arial" w:hAnsi="Arial"/>
                <w:sz w:val="17"/>
                <w:szCs w:val="17"/>
                <w:b w:val="1"/>
                <w:bCs w:val="1"/>
                <w:color w:val="auto"/>
              </w:rPr>
              <w:t>Incorporated by Reference</w:t>
            </w:r>
          </w:p>
        </w:tc>
      </w:tr>
      <w:tr>
        <w:trPr>
          <w:trHeight w:val="162"/>
        </w:trPr>
        <w:tc>
          <w:tcPr>
            <w:tcW w:w="1120" w:type="dxa"/>
            <w:vAlign w:val="bottom"/>
          </w:tcPr>
          <w:p>
            <w:pPr>
              <w:ind w:left="280"/>
              <w:spacing w:after="0" w:line="162" w:lineRule="exact"/>
              <w:rPr>
                <w:sz w:val="20"/>
                <w:szCs w:val="20"/>
                <w:color w:val="auto"/>
              </w:rPr>
            </w:pPr>
            <w:r>
              <w:rPr>
                <w:rFonts w:ascii="Arial" w:cs="Arial" w:eastAsia="Arial" w:hAnsi="Arial"/>
                <w:sz w:val="17"/>
                <w:szCs w:val="17"/>
                <w:b w:val="1"/>
                <w:bCs w:val="1"/>
                <w:color w:val="auto"/>
              </w:rPr>
              <w:t>Exhibit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24"/>
        </w:trPr>
        <w:tc>
          <w:tcPr>
            <w:tcW w:w="1120" w:type="dxa"/>
            <w:vAlign w:val="bottom"/>
          </w:tcPr>
          <w:p>
            <w:pPr>
              <w:ind w:left="260"/>
              <w:spacing w:after="0"/>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40" w:type="dxa"/>
            <w:vAlign w:val="bottom"/>
            <w:gridSpan w:val="6"/>
          </w:tcPr>
          <w:p>
            <w:pPr>
              <w:ind w:left="1400"/>
              <w:spacing w:after="0"/>
              <w:rPr>
                <w:sz w:val="20"/>
                <w:szCs w:val="20"/>
                <w:color w:val="auto"/>
              </w:rPr>
            </w:pPr>
            <w:r>
              <w:rPr>
                <w:rFonts w:ascii="Arial" w:cs="Arial" w:eastAsia="Arial" w:hAnsi="Arial"/>
                <w:sz w:val="17"/>
                <w:szCs w:val="17"/>
                <w:b w:val="1"/>
                <w:bCs w:val="1"/>
                <w:color w:val="auto"/>
              </w:rPr>
              <w:t>Description</w:t>
            </w:r>
          </w:p>
        </w:tc>
        <w:tc>
          <w:tcPr>
            <w:tcW w:w="10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b w:val="1"/>
                <w:bCs w:val="1"/>
                <w:color w:val="auto"/>
              </w:rPr>
              <w:t>Form</w:t>
            </w:r>
          </w:p>
        </w:tc>
        <w:tc>
          <w:tcPr>
            <w:tcW w:w="1120" w:type="dxa"/>
            <w:vAlign w:val="bottom"/>
          </w:tcPr>
          <w:p>
            <w:pPr>
              <w:ind w:left="380"/>
              <w:spacing w:after="0"/>
              <w:rPr>
                <w:sz w:val="20"/>
                <w:szCs w:val="20"/>
                <w:color w:val="auto"/>
              </w:rPr>
            </w:pPr>
            <w:r>
              <w:rPr>
                <w:rFonts w:ascii="Arial" w:cs="Arial" w:eastAsia="Arial" w:hAnsi="Arial"/>
                <w:sz w:val="17"/>
                <w:szCs w:val="17"/>
                <w:b w:val="1"/>
                <w:bCs w:val="1"/>
                <w:color w:val="auto"/>
              </w:rPr>
              <w:t>File No.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180"/>
              <w:spacing w:after="0"/>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9"/>
                <w:szCs w:val="19"/>
                <w:color w:val="auto"/>
              </w:rPr>
            </w:pPr>
          </w:p>
        </w:tc>
        <w:tc>
          <w:tcPr>
            <w:tcW w:w="2040" w:type="dxa"/>
            <w:vAlign w:val="bottom"/>
          </w:tcPr>
          <w:p>
            <w:pPr>
              <w:ind w:left="620"/>
              <w:spacing w:after="0"/>
              <w:rPr>
                <w:sz w:val="20"/>
                <w:szCs w:val="20"/>
                <w:color w:val="auto"/>
              </w:rPr>
            </w:pPr>
            <w:r>
              <w:rPr>
                <w:rFonts w:ascii="Arial" w:cs="Arial" w:eastAsia="Arial" w:hAnsi="Arial"/>
                <w:sz w:val="17"/>
                <w:szCs w:val="17"/>
                <w:b w:val="1"/>
                <w:bCs w:val="1"/>
                <w:color w:val="auto"/>
              </w:rPr>
              <w:t>Filing Date</w:t>
            </w:r>
          </w:p>
        </w:tc>
      </w:tr>
      <w:tr>
        <w:trPr>
          <w:trHeight w:val="187"/>
        </w:trPr>
        <w:tc>
          <w:tcPr>
            <w:tcW w:w="1120" w:type="dxa"/>
            <w:vAlign w:val="bottom"/>
            <w:tcBorders>
              <w:top w:val="single" w:sz="8" w:color="auto"/>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31.1*</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420" w:type="dxa"/>
            <w:vAlign w:val="bottom"/>
            <w:tcBorders>
              <w:top w:val="single" w:sz="8" w:color="auto"/>
            </w:tcBorders>
            <w:gridSpan w:val="7"/>
            <w:shd w:val="clear" w:color="auto" w:fill="CCEEFF"/>
          </w:tcPr>
          <w:p>
            <w:pPr>
              <w:spacing w:after="0" w:line="187" w:lineRule="exact"/>
              <w:rPr>
                <w:sz w:val="20"/>
                <w:szCs w:val="20"/>
                <w:color w:val="auto"/>
              </w:rPr>
            </w:pPr>
            <w:r>
              <w:rPr>
                <w:rFonts w:ascii="Arial" w:cs="Arial" w:eastAsia="Arial" w:hAnsi="Arial"/>
                <w:sz w:val="17"/>
                <w:szCs w:val="17"/>
                <w:color w:val="0000FF"/>
              </w:rPr>
              <w:t>Certification of Principal Executive Officer pursuant to</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r>
        <w:trPr>
          <w:trHeight w:val="173"/>
        </w:trPr>
        <w:tc>
          <w:tcPr>
            <w:tcW w:w="1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420" w:type="dxa"/>
            <w:vAlign w:val="bottom"/>
            <w:gridSpan w:val="7"/>
            <w:shd w:val="clear" w:color="auto" w:fill="CCEEFF"/>
          </w:tcPr>
          <w:p>
            <w:pPr>
              <w:spacing w:after="0" w:line="173" w:lineRule="exact"/>
              <w:rPr>
                <w:sz w:val="20"/>
                <w:szCs w:val="20"/>
                <w:color w:val="auto"/>
              </w:rPr>
            </w:pPr>
            <w:r>
              <w:rPr>
                <w:rFonts w:ascii="Arial" w:cs="Arial" w:eastAsia="Arial" w:hAnsi="Arial"/>
                <w:sz w:val="17"/>
                <w:szCs w:val="17"/>
                <w:color w:val="0000FF"/>
              </w:rPr>
              <w:t>Exchange Act Rules 13a-14(a) and 15d-14(a), as adopted</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r>
        <w:trPr>
          <w:trHeight w:val="218"/>
        </w:trPr>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4100" w:type="dxa"/>
            <w:vAlign w:val="bottom"/>
            <w:tcBorders>
              <w:bottom w:val="single" w:sz="8" w:color="0000FF"/>
            </w:tcBorders>
            <w:gridSpan w:val="5"/>
            <w:shd w:val="clear" w:color="auto" w:fill="CCEEFF"/>
          </w:tcPr>
          <w:p>
            <w:pPr>
              <w:spacing w:after="0" w:line="173" w:lineRule="exact"/>
              <w:rPr>
                <w:sz w:val="20"/>
                <w:szCs w:val="20"/>
                <w:color w:val="auto"/>
              </w:rPr>
            </w:pPr>
            <w:r>
              <w:rPr>
                <w:rFonts w:ascii="Arial" w:cs="Arial" w:eastAsia="Arial" w:hAnsi="Arial"/>
                <w:sz w:val="17"/>
                <w:szCs w:val="17"/>
                <w:color w:val="0000FF"/>
                <w:w w:val="90"/>
              </w:rPr>
              <w:t>pursuant to Section 302 of the Sarbanes-Oxley Act of 2002.</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r>
      <w:tr>
        <w:trPr>
          <w:trHeight w:val="193"/>
        </w:trPr>
        <w:tc>
          <w:tcPr>
            <w:tcW w:w="1120" w:type="dxa"/>
            <w:vAlign w:val="bottom"/>
          </w:tcPr>
          <w:p>
            <w:pPr>
              <w:ind w:left="20"/>
              <w:spacing w:after="0" w:line="194" w:lineRule="exact"/>
              <w:rPr>
                <w:sz w:val="20"/>
                <w:szCs w:val="20"/>
                <w:color w:val="auto"/>
              </w:rPr>
            </w:pPr>
            <w:r>
              <w:rPr>
                <w:rFonts w:ascii="Arial" w:cs="Arial" w:eastAsia="Arial" w:hAnsi="Arial"/>
                <w:sz w:val="17"/>
                <w:szCs w:val="17"/>
                <w:color w:val="auto"/>
              </w:rPr>
              <w:t>31.2*</w:t>
            </w:r>
          </w:p>
        </w:tc>
        <w:tc>
          <w:tcPr>
            <w:tcW w:w="120" w:type="dxa"/>
            <w:vAlign w:val="bottom"/>
          </w:tcPr>
          <w:p>
            <w:pPr>
              <w:spacing w:after="0"/>
              <w:rPr>
                <w:sz w:val="16"/>
                <w:szCs w:val="16"/>
                <w:color w:val="auto"/>
              </w:rPr>
            </w:pPr>
          </w:p>
        </w:tc>
        <w:tc>
          <w:tcPr>
            <w:tcW w:w="3820" w:type="dxa"/>
            <w:vAlign w:val="bottom"/>
            <w:tcBorders>
              <w:bottom w:val="single" w:sz="8" w:color="0000FF"/>
            </w:tcBorders>
            <w:gridSpan w:val="2"/>
          </w:tcPr>
          <w:p>
            <w:pPr>
              <w:spacing w:after="0" w:line="194" w:lineRule="exact"/>
              <w:rPr>
                <w:sz w:val="20"/>
                <w:szCs w:val="20"/>
                <w:color w:val="auto"/>
              </w:rPr>
            </w:pPr>
            <w:r>
              <w:rPr>
                <w:rFonts w:ascii="Arial" w:cs="Arial" w:eastAsia="Arial" w:hAnsi="Arial"/>
                <w:sz w:val="17"/>
                <w:szCs w:val="17"/>
                <w:color w:val="0000FF"/>
                <w:w w:val="95"/>
              </w:rPr>
              <w:t>Certification of Principal Financial Officer pursuant to</w:t>
            </w:r>
          </w:p>
        </w:tc>
        <w:tc>
          <w:tcPr>
            <w:tcW w:w="600" w:type="dxa"/>
            <w:vAlign w:val="bottom"/>
            <w:gridSpan w:val="5"/>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7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gridSpan w:val="7"/>
          </w:tcPr>
          <w:p>
            <w:pPr>
              <w:spacing w:after="0" w:line="173" w:lineRule="exact"/>
              <w:rPr>
                <w:sz w:val="20"/>
                <w:szCs w:val="20"/>
                <w:color w:val="auto"/>
              </w:rPr>
            </w:pPr>
            <w:r>
              <w:rPr>
                <w:rFonts w:ascii="Arial" w:cs="Arial" w:eastAsia="Arial" w:hAnsi="Arial"/>
                <w:sz w:val="17"/>
                <w:szCs w:val="17"/>
                <w:color w:val="0000FF"/>
              </w:rPr>
              <w:t>Exchange Act Rules 13a-14(a) and 15d-14(a), as adopted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7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gridSpan w:val="7"/>
          </w:tcPr>
          <w:p>
            <w:pPr>
              <w:spacing w:after="0" w:line="173" w:lineRule="exact"/>
              <w:rPr>
                <w:sz w:val="20"/>
                <w:szCs w:val="20"/>
                <w:color w:val="auto"/>
              </w:rPr>
            </w:pPr>
            <w:r>
              <w:rPr>
                <w:rFonts w:ascii="Arial" w:cs="Arial" w:eastAsia="Arial" w:hAnsi="Arial"/>
                <w:sz w:val="17"/>
                <w:szCs w:val="17"/>
                <w:color w:val="0000FF"/>
                <w:w w:val="98"/>
              </w:rPr>
              <w:t>pursuant to Section 302 of the Sarbanes-Oxley Act of 2002.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44"/>
        </w:trPr>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34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32.1*#</w:t>
            </w:r>
          </w:p>
        </w:tc>
        <w:tc>
          <w:tcPr>
            <w:tcW w:w="120" w:type="dxa"/>
            <w:vAlign w:val="bottom"/>
            <w:tcBorders>
              <w:right w:val="single" w:sz="8" w:color="CCEEFF"/>
            </w:tcBorders>
            <w:shd w:val="clear" w:color="auto" w:fill="CCEEFF"/>
          </w:tcPr>
          <w:p>
            <w:pPr>
              <w:spacing w:after="0"/>
              <w:rPr>
                <w:sz w:val="15"/>
                <w:szCs w:val="15"/>
                <w:color w:val="auto"/>
              </w:rPr>
            </w:pPr>
          </w:p>
        </w:tc>
        <w:tc>
          <w:tcPr>
            <w:tcW w:w="4420" w:type="dxa"/>
            <w:vAlign w:val="bottom"/>
            <w:gridSpan w:val="7"/>
            <w:shd w:val="clear" w:color="auto" w:fill="CCEEFF"/>
          </w:tcPr>
          <w:p>
            <w:pPr>
              <w:spacing w:after="0" w:line="180" w:lineRule="exact"/>
              <w:rPr>
                <w:sz w:val="20"/>
                <w:szCs w:val="20"/>
                <w:color w:val="auto"/>
              </w:rPr>
            </w:pPr>
            <w:r>
              <w:rPr>
                <w:rFonts w:ascii="Arial" w:cs="Arial" w:eastAsia="Arial" w:hAnsi="Arial"/>
                <w:sz w:val="17"/>
                <w:szCs w:val="17"/>
                <w:color w:val="0000FF"/>
              </w:rPr>
              <w:t>Certifications of Principal Executive Officer and Principal</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1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4000" w:type="dxa"/>
            <w:vAlign w:val="bottom"/>
            <w:tcBorders>
              <w:top w:val="single" w:sz="8" w:color="0000FF"/>
            </w:tcBorders>
            <w:gridSpan w:val="4"/>
            <w:shd w:val="clear" w:color="auto" w:fill="CCEEFF"/>
          </w:tcPr>
          <w:p>
            <w:pPr>
              <w:spacing w:after="0" w:line="148" w:lineRule="exact"/>
              <w:rPr>
                <w:sz w:val="20"/>
                <w:szCs w:val="20"/>
                <w:color w:val="auto"/>
              </w:rPr>
            </w:pPr>
            <w:r>
              <w:rPr>
                <w:rFonts w:ascii="Arial" w:cs="Arial" w:eastAsia="Arial" w:hAnsi="Arial"/>
                <w:sz w:val="17"/>
                <w:szCs w:val="17"/>
                <w:color w:val="0000FF"/>
                <w:w w:val="95"/>
              </w:rPr>
              <w:t>Financial Officer pursuant to 18 U.S.C. Section 1350 as</w:t>
            </w:r>
          </w:p>
        </w:tc>
        <w:tc>
          <w:tcPr>
            <w:tcW w:w="26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r>
      <w:tr>
        <w:trPr>
          <w:trHeight w:val="148"/>
        </w:trPr>
        <w:tc>
          <w:tcPr>
            <w:tcW w:w="1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3820" w:type="dxa"/>
            <w:vAlign w:val="bottom"/>
            <w:tcBorders>
              <w:top w:val="single" w:sz="8" w:color="0000FF"/>
              <w:right w:val="single" w:sz="8" w:color="CCEEFF"/>
            </w:tcBorders>
            <w:gridSpan w:val="2"/>
            <w:shd w:val="clear" w:color="auto" w:fill="CCEEFF"/>
          </w:tcPr>
          <w:p>
            <w:pPr>
              <w:spacing w:after="0" w:line="148" w:lineRule="exact"/>
              <w:rPr>
                <w:sz w:val="20"/>
                <w:szCs w:val="20"/>
                <w:color w:val="auto"/>
              </w:rPr>
            </w:pPr>
            <w:r>
              <w:rPr>
                <w:rFonts w:ascii="Arial" w:cs="Arial" w:eastAsia="Arial" w:hAnsi="Arial"/>
                <w:sz w:val="17"/>
                <w:szCs w:val="17"/>
                <w:color w:val="0000FF"/>
                <w:w w:val="90"/>
              </w:rPr>
              <w:t>adopted pursuant to Section 906 of the Sarbanes-Oxley</w:t>
            </w:r>
          </w:p>
        </w:tc>
        <w:tc>
          <w:tcPr>
            <w:tcW w:w="600" w:type="dxa"/>
            <w:vAlign w:val="bottom"/>
            <w:tcBorders>
              <w:top w:val="single" w:sz="8" w:color="CCEEFF"/>
            </w:tcBorders>
            <w:gridSpan w:val="5"/>
            <w:shd w:val="clear" w:color="auto" w:fill="CCEEFF"/>
          </w:tcPr>
          <w:p>
            <w:pPr>
              <w:spacing w:after="0" w:line="148" w:lineRule="exact"/>
              <w:rPr>
                <w:sz w:val="20"/>
                <w:szCs w:val="20"/>
                <w:color w:val="auto"/>
              </w:rPr>
            </w:pPr>
            <w:r>
              <w:rPr>
                <w:rFonts w:ascii="Arial" w:cs="Arial" w:eastAsia="Arial" w:hAnsi="Arial"/>
                <w:sz w:val="17"/>
                <w:szCs w:val="17"/>
                <w:color w:val="0000FF"/>
              </w:rPr>
              <w:t>Act of</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r>
      <w:tr>
        <w:trPr>
          <w:trHeight w:val="179"/>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80" w:type="dxa"/>
            <w:vAlign w:val="bottom"/>
            <w:tcBorders>
              <w:top w:val="single" w:sz="8" w:color="0000FF"/>
              <w:bottom w:val="single" w:sz="8" w:color="0000FF"/>
            </w:tcBorders>
            <w:shd w:val="clear" w:color="auto" w:fill="CCEEFF"/>
          </w:tcPr>
          <w:p>
            <w:pPr>
              <w:spacing w:after="0" w:line="161" w:lineRule="exact"/>
              <w:rPr>
                <w:sz w:val="20"/>
                <w:szCs w:val="20"/>
                <w:color w:val="auto"/>
              </w:rPr>
            </w:pPr>
            <w:r>
              <w:rPr>
                <w:rFonts w:ascii="Arial" w:cs="Arial" w:eastAsia="Arial" w:hAnsi="Arial"/>
                <w:sz w:val="17"/>
                <w:szCs w:val="17"/>
                <w:color w:val="0000FF"/>
                <w:w w:val="84"/>
              </w:rPr>
              <w:t>2002.</w:t>
            </w:r>
          </w:p>
        </w:tc>
        <w:tc>
          <w:tcPr>
            <w:tcW w:w="344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8"/>
        </w:trPr>
        <w:tc>
          <w:tcPr>
            <w:tcW w:w="1120" w:type="dxa"/>
            <w:vAlign w:val="bottom"/>
          </w:tcPr>
          <w:p>
            <w:pPr>
              <w:ind w:left="20"/>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18"/>
                <w:szCs w:val="18"/>
                <w:color w:val="auto"/>
              </w:rPr>
            </w:pPr>
          </w:p>
        </w:tc>
        <w:tc>
          <w:tcPr>
            <w:tcW w:w="4420" w:type="dxa"/>
            <w:vAlign w:val="bottom"/>
            <w:gridSpan w:val="7"/>
          </w:tcPr>
          <w:p>
            <w:pPr>
              <w:spacing w:after="0"/>
              <w:rPr>
                <w:sz w:val="20"/>
                <w:szCs w:val="20"/>
                <w:color w:val="auto"/>
              </w:rPr>
            </w:pPr>
            <w:r>
              <w:rPr>
                <w:rFonts w:ascii="Arial" w:cs="Arial" w:eastAsia="Arial" w:hAnsi="Arial"/>
                <w:sz w:val="17"/>
                <w:szCs w:val="17"/>
                <w:color w:val="auto"/>
              </w:rPr>
              <w:t>Inline XBRL Instance Document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3"/>
        </w:trPr>
        <w:tc>
          <w:tcPr>
            <w:tcW w:w="1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120" w:type="dxa"/>
            <w:vAlign w:val="bottom"/>
            <w:tcBorders>
              <w:right w:val="single" w:sz="8" w:color="CCEEFF"/>
            </w:tcBorders>
            <w:shd w:val="clear" w:color="auto" w:fill="CCEEFF"/>
          </w:tcPr>
          <w:p>
            <w:pPr>
              <w:spacing w:after="0"/>
              <w:rPr>
                <w:sz w:val="20"/>
                <w:szCs w:val="20"/>
                <w:color w:val="auto"/>
              </w:rPr>
            </w:pPr>
          </w:p>
        </w:tc>
        <w:tc>
          <w:tcPr>
            <w:tcW w:w="442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Inline XBRL Taxonomy Extension Schema Document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168"/>
        </w:trPr>
        <w:tc>
          <w:tcPr>
            <w:tcW w:w="1120" w:type="dxa"/>
            <w:vAlign w:val="bottom"/>
          </w:tcPr>
          <w:p>
            <w:pPr>
              <w:ind w:left="20"/>
              <w:spacing w:after="0" w:line="168" w:lineRule="exact"/>
              <w:rPr>
                <w:sz w:val="20"/>
                <w:szCs w:val="20"/>
                <w:color w:val="auto"/>
              </w:rPr>
            </w:pPr>
            <w:r>
              <w:rPr>
                <w:rFonts w:ascii="Arial" w:cs="Arial" w:eastAsia="Arial" w:hAnsi="Arial"/>
                <w:sz w:val="17"/>
                <w:szCs w:val="17"/>
                <w:color w:val="auto"/>
              </w:rPr>
              <w:t>101.CAL*</w:t>
            </w:r>
          </w:p>
        </w:tc>
        <w:tc>
          <w:tcPr>
            <w:tcW w:w="120" w:type="dxa"/>
            <w:vAlign w:val="bottom"/>
          </w:tcPr>
          <w:p>
            <w:pPr>
              <w:spacing w:after="0"/>
              <w:rPr>
                <w:sz w:val="14"/>
                <w:szCs w:val="14"/>
                <w:color w:val="auto"/>
              </w:rPr>
            </w:pPr>
          </w:p>
        </w:tc>
        <w:tc>
          <w:tcPr>
            <w:tcW w:w="4420" w:type="dxa"/>
            <w:vAlign w:val="bottom"/>
            <w:gridSpan w:val="7"/>
          </w:tcPr>
          <w:p>
            <w:pPr>
              <w:spacing w:after="0" w:line="168" w:lineRule="exact"/>
              <w:rPr>
                <w:sz w:val="20"/>
                <w:szCs w:val="20"/>
                <w:color w:val="auto"/>
              </w:rPr>
            </w:pPr>
            <w:r>
              <w:rPr>
                <w:rFonts w:ascii="Arial" w:cs="Arial" w:eastAsia="Arial" w:hAnsi="Arial"/>
                <w:sz w:val="17"/>
                <w:szCs w:val="17"/>
                <w:color w:val="auto"/>
              </w:rPr>
              <w:t>Inline XBRL Taxonomy Extension Calculation Linkbase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18"/>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7"/>
          </w:tcPr>
          <w:p>
            <w:pPr>
              <w:spacing w:after="0"/>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182"/>
        </w:trPr>
        <w:tc>
          <w:tcPr>
            <w:tcW w:w="112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101.DEF*</w:t>
            </w:r>
          </w:p>
        </w:tc>
        <w:tc>
          <w:tcPr>
            <w:tcW w:w="120" w:type="dxa"/>
            <w:vAlign w:val="bottom"/>
            <w:tcBorders>
              <w:right w:val="single" w:sz="8" w:color="CCEEFF"/>
            </w:tcBorders>
            <w:shd w:val="clear" w:color="auto" w:fill="CCEEFF"/>
          </w:tcPr>
          <w:p>
            <w:pPr>
              <w:spacing w:after="0"/>
              <w:rPr>
                <w:sz w:val="15"/>
                <w:szCs w:val="15"/>
                <w:color w:val="auto"/>
              </w:rPr>
            </w:pPr>
          </w:p>
        </w:tc>
        <w:tc>
          <w:tcPr>
            <w:tcW w:w="4420" w:type="dxa"/>
            <w:vAlign w:val="bottom"/>
            <w:gridSpan w:val="7"/>
            <w:shd w:val="clear" w:color="auto" w:fill="CCEEFF"/>
          </w:tcPr>
          <w:p>
            <w:pPr>
              <w:spacing w:after="0" w:line="182" w:lineRule="exact"/>
              <w:rPr>
                <w:sz w:val="20"/>
                <w:szCs w:val="20"/>
                <w:color w:val="auto"/>
              </w:rPr>
            </w:pPr>
            <w:r>
              <w:rPr>
                <w:rFonts w:ascii="Arial" w:cs="Arial" w:eastAsia="Arial" w:hAnsi="Arial"/>
                <w:sz w:val="17"/>
                <w:szCs w:val="17"/>
                <w:color w:val="auto"/>
              </w:rPr>
              <w:t>Inline XBRL Taxonomy Extension Definition Linkbase</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219"/>
        </w:trPr>
        <w:tc>
          <w:tcPr>
            <w:tcW w:w="11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42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Document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8"/>
        </w:trPr>
        <w:tc>
          <w:tcPr>
            <w:tcW w:w="1120" w:type="dxa"/>
            <w:vAlign w:val="bottom"/>
          </w:tcPr>
          <w:p>
            <w:pPr>
              <w:ind w:left="20"/>
              <w:spacing w:after="0"/>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8"/>
                <w:szCs w:val="18"/>
                <w:color w:val="auto"/>
              </w:rPr>
            </w:pPr>
          </w:p>
        </w:tc>
        <w:tc>
          <w:tcPr>
            <w:tcW w:w="4420" w:type="dxa"/>
            <w:vAlign w:val="bottom"/>
            <w:gridSpan w:val="7"/>
          </w:tcPr>
          <w:p>
            <w:pPr>
              <w:spacing w:after="0"/>
              <w:rPr>
                <w:sz w:val="20"/>
                <w:szCs w:val="20"/>
                <w:color w:val="auto"/>
              </w:rPr>
            </w:pPr>
            <w:r>
              <w:rPr>
                <w:rFonts w:ascii="Arial" w:cs="Arial" w:eastAsia="Arial" w:hAnsi="Arial"/>
                <w:sz w:val="17"/>
                <w:szCs w:val="17"/>
                <w:color w:val="auto"/>
                <w:w w:val="96"/>
              </w:rPr>
              <w:t>Inline XBRL Taxonomy Extension Label Linkbase Document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169"/>
        </w:trPr>
        <w:tc>
          <w:tcPr>
            <w:tcW w:w="1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101.PRE*</w:t>
            </w:r>
          </w:p>
        </w:tc>
        <w:tc>
          <w:tcPr>
            <w:tcW w:w="120" w:type="dxa"/>
            <w:vAlign w:val="bottom"/>
            <w:tcBorders>
              <w:right w:val="single" w:sz="8" w:color="CCEEFF"/>
            </w:tcBorders>
            <w:shd w:val="clear" w:color="auto" w:fill="CCEEFF"/>
          </w:tcPr>
          <w:p>
            <w:pPr>
              <w:spacing w:after="0"/>
              <w:rPr>
                <w:sz w:val="14"/>
                <w:szCs w:val="14"/>
                <w:color w:val="auto"/>
              </w:rPr>
            </w:pPr>
          </w:p>
        </w:tc>
        <w:tc>
          <w:tcPr>
            <w:tcW w:w="4420" w:type="dxa"/>
            <w:vAlign w:val="bottom"/>
            <w:gridSpan w:val="7"/>
            <w:shd w:val="clear" w:color="auto" w:fill="CCEEFF"/>
          </w:tcPr>
          <w:p>
            <w:pPr>
              <w:spacing w:after="0" w:line="169" w:lineRule="exact"/>
              <w:rPr>
                <w:sz w:val="20"/>
                <w:szCs w:val="20"/>
                <w:color w:val="auto"/>
              </w:rPr>
            </w:pPr>
            <w:r>
              <w:rPr>
                <w:rFonts w:ascii="Arial" w:cs="Arial" w:eastAsia="Arial" w:hAnsi="Arial"/>
                <w:sz w:val="17"/>
                <w:szCs w:val="17"/>
                <w:color w:val="auto"/>
              </w:rPr>
              <w:t>Inline XBRL Taxonomy Extension Presentation Linkbase</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232"/>
        </w:trPr>
        <w:tc>
          <w:tcPr>
            <w:tcW w:w="11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42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Document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168"/>
        </w:trPr>
        <w:tc>
          <w:tcPr>
            <w:tcW w:w="1120" w:type="dxa"/>
            <w:vAlign w:val="bottom"/>
          </w:tcPr>
          <w:p>
            <w:pPr>
              <w:ind w:left="20"/>
              <w:spacing w:after="0" w:line="168" w:lineRule="exact"/>
              <w:rPr>
                <w:sz w:val="20"/>
                <w:szCs w:val="20"/>
                <w:color w:val="auto"/>
              </w:rPr>
            </w:pPr>
            <w:r>
              <w:rPr>
                <w:rFonts w:ascii="Arial" w:cs="Arial" w:eastAsia="Arial" w:hAnsi="Arial"/>
                <w:sz w:val="17"/>
                <w:szCs w:val="17"/>
                <w:color w:val="auto"/>
              </w:rPr>
              <w:t>104.0</w:t>
            </w:r>
          </w:p>
        </w:tc>
        <w:tc>
          <w:tcPr>
            <w:tcW w:w="120" w:type="dxa"/>
            <w:vAlign w:val="bottom"/>
          </w:tcPr>
          <w:p>
            <w:pPr>
              <w:spacing w:after="0"/>
              <w:rPr>
                <w:sz w:val="14"/>
                <w:szCs w:val="14"/>
                <w:color w:val="auto"/>
              </w:rPr>
            </w:pPr>
          </w:p>
        </w:tc>
        <w:tc>
          <w:tcPr>
            <w:tcW w:w="4420" w:type="dxa"/>
            <w:vAlign w:val="bottom"/>
            <w:gridSpan w:val="7"/>
          </w:tcPr>
          <w:p>
            <w:pPr>
              <w:spacing w:after="0" w:line="168" w:lineRule="exact"/>
              <w:rPr>
                <w:sz w:val="20"/>
                <w:szCs w:val="20"/>
                <w:color w:val="auto"/>
              </w:rPr>
            </w:pPr>
            <w:r>
              <w:rPr>
                <w:rFonts w:ascii="Arial" w:cs="Arial" w:eastAsia="Arial" w:hAnsi="Arial"/>
                <w:sz w:val="17"/>
                <w:szCs w:val="17"/>
                <w:color w:val="auto"/>
                <w:w w:val="98"/>
              </w:rPr>
              <w:t>Cover Page Interactive Data File (formatted as Inline XBRL</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17"/>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7"/>
          </w:tcPr>
          <w:p>
            <w:pPr>
              <w:spacing w:after="0"/>
              <w:rPr>
                <w:sz w:val="20"/>
                <w:szCs w:val="20"/>
                <w:color w:val="auto"/>
              </w:rPr>
            </w:pPr>
            <w:r>
              <w:rPr>
                <w:rFonts w:ascii="Arial" w:cs="Arial" w:eastAsia="Arial" w:hAnsi="Arial"/>
                <w:sz w:val="17"/>
                <w:szCs w:val="17"/>
                <w:color w:val="auto"/>
              </w:rPr>
              <w:t>and contained in Exhibit 101)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212529"/>
        </w:rPr>
        <w:t>—————</w:t>
      </w:r>
    </w:p>
    <w:p>
      <w:pPr>
        <w:spacing w:after="0" w:line="22"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212529"/>
        </w:rPr>
        <w:t>*</w:t>
      </w:r>
      <w:r>
        <w:rPr>
          <w:sz w:val="20"/>
          <w:szCs w:val="20"/>
          <w:color w:val="auto"/>
        </w:rPr>
        <w:tab/>
      </w:r>
      <w:r>
        <w:rPr>
          <w:rFonts w:ascii="Arial" w:cs="Arial" w:eastAsia="Arial" w:hAnsi="Arial"/>
          <w:sz w:val="15"/>
          <w:szCs w:val="15"/>
          <w:color w:val="212529"/>
        </w:rPr>
        <w:t>Filed herewith.</w:t>
      </w:r>
    </w:p>
    <w:p>
      <w:pPr>
        <w:spacing w:after="0" w:line="11"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color w:val="212529"/>
        </w:rPr>
        <w:t>+</w:t>
      </w:r>
      <w:r>
        <w:rPr>
          <w:sz w:val="20"/>
          <w:szCs w:val="20"/>
          <w:color w:val="auto"/>
        </w:rPr>
        <w:tab/>
      </w:r>
      <w:r>
        <w:rPr>
          <w:rFonts w:ascii="Arial" w:cs="Arial" w:eastAsia="Arial" w:hAnsi="Arial"/>
          <w:sz w:val="15"/>
          <w:szCs w:val="15"/>
          <w:color w:val="212529"/>
        </w:rPr>
        <w:t>Indicates management contract or compensatory plan.</w:t>
      </w:r>
    </w:p>
    <w:p>
      <w:pPr>
        <w:spacing w:after="0" w:line="11" w:lineRule="exact"/>
        <w:rPr>
          <w:sz w:val="20"/>
          <w:szCs w:val="20"/>
          <w:color w:val="auto"/>
        </w:rPr>
      </w:pPr>
    </w:p>
    <w:p>
      <w:pPr>
        <w:ind w:left="620" w:right="120" w:hanging="617"/>
        <w:spacing w:after="0" w:line="253" w:lineRule="auto"/>
        <w:tabs>
          <w:tab w:leader="none" w:pos="254" w:val="left"/>
        </w:tabs>
        <w:numPr>
          <w:ilvl w:val="0"/>
          <w:numId w:val="43"/>
        </w:numPr>
        <w:rPr>
          <w:rFonts w:ascii="Arial" w:cs="Arial" w:eastAsia="Arial" w:hAnsi="Arial"/>
          <w:sz w:val="17"/>
          <w:szCs w:val="17"/>
          <w:color w:val="212529"/>
        </w:rPr>
      </w:pPr>
      <w:r>
        <w:rPr>
          <w:rFonts w:ascii="Arial" w:cs="Arial" w:eastAsia="Arial" w:hAnsi="Arial"/>
          <w:sz w:val="17"/>
          <w:szCs w:val="17"/>
          <w:color w:val="auto"/>
        </w:rPr>
        <w:t>Portions of this exhibit (indicated by asterisk) have been excluded because such information is both (i) not material and (ii) would be competitively harmful if publicly disclosed.</w:t>
      </w:r>
    </w:p>
    <w:p>
      <w:pPr>
        <w:ind w:left="620" w:right="200" w:hanging="617"/>
        <w:spacing w:after="0" w:line="257" w:lineRule="auto"/>
        <w:tabs>
          <w:tab w:leader="none" w:pos="25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6" w:name="page137"/>
    <w:bookmarkEnd w:id="136"/>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SIGNATURES</w:t>
      </w:r>
    </w:p>
    <w:p>
      <w:pPr>
        <w:spacing w:after="0" w:line="256"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020" w:type="dxa"/>
            <w:vAlign w:val="bottom"/>
          </w:tcPr>
          <w:p>
            <w:pPr>
              <w:spacing w:after="0"/>
              <w:rPr>
                <w:sz w:val="19"/>
                <w:szCs w:val="19"/>
                <w:color w:val="auto"/>
              </w:rPr>
            </w:pPr>
          </w:p>
        </w:tc>
        <w:tc>
          <w:tcPr>
            <w:tcW w:w="9040" w:type="dxa"/>
            <w:vAlign w:val="bottom"/>
            <w:gridSpan w:val="2"/>
          </w:tcPr>
          <w:p>
            <w:pPr>
              <w:ind w:left="560"/>
              <w:spacing w:after="0"/>
              <w:rPr>
                <w:sz w:val="20"/>
                <w:szCs w:val="20"/>
                <w:color w:val="auto"/>
              </w:rPr>
            </w:pPr>
            <w:r>
              <w:rPr>
                <w:rFonts w:ascii="Arial" w:cs="Arial" w:eastAsia="Arial" w:hAnsi="Arial"/>
                <w:sz w:val="17"/>
                <w:szCs w:val="17"/>
                <w:b w:val="1"/>
                <w:bCs w:val="1"/>
                <w:color w:val="auto"/>
              </w:rPr>
              <w:t>Upstart Holdings, Inc.</w:t>
            </w:r>
          </w:p>
        </w:tc>
      </w:tr>
      <w:tr>
        <w:trPr>
          <w:trHeight w:val="219"/>
        </w:trPr>
        <w:tc>
          <w:tcPr>
            <w:tcW w:w="2020" w:type="dxa"/>
            <w:vAlign w:val="bottom"/>
          </w:tcPr>
          <w:p>
            <w:pPr>
              <w:spacing w:after="0"/>
              <w:rPr>
                <w:sz w:val="19"/>
                <w:szCs w:val="19"/>
                <w:color w:val="auto"/>
              </w:rPr>
            </w:pPr>
          </w:p>
        </w:tc>
        <w:tc>
          <w:tcPr>
            <w:tcW w:w="9040" w:type="dxa"/>
            <w:vAlign w:val="bottom"/>
            <w:gridSpan w:val="2"/>
          </w:tcPr>
          <w:p>
            <w:pPr>
              <w:ind w:left="560"/>
              <w:spacing w:after="0"/>
              <w:rPr>
                <w:sz w:val="20"/>
                <w:szCs w:val="20"/>
                <w:color w:val="auto"/>
              </w:rPr>
            </w:pPr>
            <w:r>
              <w:rPr>
                <w:rFonts w:ascii="Arial" w:cs="Arial" w:eastAsia="Arial" w:hAnsi="Arial"/>
                <w:sz w:val="17"/>
                <w:szCs w:val="17"/>
                <w:color w:val="auto"/>
              </w:rPr>
              <w:t>(Registrant)</w:t>
            </w:r>
          </w:p>
        </w:tc>
      </w:tr>
      <w:tr>
        <w:trPr>
          <w:trHeight w:val="233"/>
        </w:trPr>
        <w:tc>
          <w:tcPr>
            <w:tcW w:w="2020" w:type="dxa"/>
            <w:vAlign w:val="bottom"/>
          </w:tcPr>
          <w:p>
            <w:pPr>
              <w:spacing w:after="0"/>
              <w:rPr>
                <w:sz w:val="20"/>
                <w:szCs w:val="20"/>
                <w:color w:val="auto"/>
              </w:rPr>
            </w:pPr>
            <w:r>
              <w:rPr>
                <w:rFonts w:ascii="Arial" w:cs="Arial" w:eastAsia="Arial" w:hAnsi="Arial"/>
                <w:sz w:val="17"/>
                <w:szCs w:val="17"/>
                <w:color w:val="auto"/>
              </w:rPr>
              <w:t>Date: August 8, 2023</w:t>
            </w:r>
          </w:p>
        </w:tc>
        <w:tc>
          <w:tcPr>
            <w:tcW w:w="1060" w:type="dxa"/>
            <w:vAlign w:val="bottom"/>
          </w:tcPr>
          <w:p>
            <w:pPr>
              <w:ind w:left="560"/>
              <w:spacing w:after="0"/>
              <w:rPr>
                <w:sz w:val="20"/>
                <w:szCs w:val="20"/>
                <w:color w:val="auto"/>
              </w:rPr>
            </w:pPr>
            <w:r>
              <w:rPr>
                <w:rFonts w:ascii="Arial" w:cs="Arial" w:eastAsia="Arial" w:hAnsi="Arial"/>
                <w:sz w:val="17"/>
                <w:szCs w:val="17"/>
                <w:color w:val="auto"/>
              </w:rPr>
              <w:t>By:</w:t>
            </w:r>
          </w:p>
        </w:tc>
        <w:tc>
          <w:tcPr>
            <w:tcW w:w="7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Dave Girouard</w:t>
            </w:r>
          </w:p>
        </w:tc>
      </w:tr>
      <w:tr>
        <w:trPr>
          <w:trHeight w:val="211"/>
        </w:trPr>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7"/>
                <w:szCs w:val="17"/>
                <w:color w:val="auto"/>
              </w:rPr>
              <w:t>Dave Girouard</w:t>
            </w:r>
          </w:p>
        </w:tc>
      </w:tr>
      <w:tr>
        <w:trPr>
          <w:trHeight w:val="219"/>
        </w:trPr>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7"/>
                <w:szCs w:val="17"/>
                <w:color w:val="auto"/>
              </w:rPr>
              <w:t>Chief Executive Officer and Director</w:t>
            </w:r>
          </w:p>
        </w:tc>
      </w:tr>
      <w:tr>
        <w:trPr>
          <w:trHeight w:val="219"/>
        </w:trPr>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7"/>
                <w:szCs w:val="17"/>
                <w:i w:val="1"/>
                <w:iCs w:val="1"/>
                <w:color w:val="auto"/>
              </w:rPr>
              <w:t>(Principal Executive Officer)</w:t>
            </w:r>
          </w:p>
        </w:tc>
      </w:tr>
      <w:tr>
        <w:trPr>
          <w:trHeight w:val="478"/>
        </w:trPr>
        <w:tc>
          <w:tcPr>
            <w:tcW w:w="2020" w:type="dxa"/>
            <w:vAlign w:val="bottom"/>
          </w:tcPr>
          <w:p>
            <w:pPr>
              <w:spacing w:after="0"/>
              <w:rPr>
                <w:sz w:val="20"/>
                <w:szCs w:val="20"/>
                <w:color w:val="auto"/>
              </w:rPr>
            </w:pPr>
            <w:r>
              <w:rPr>
                <w:rFonts w:ascii="Arial" w:cs="Arial" w:eastAsia="Arial" w:hAnsi="Arial"/>
                <w:sz w:val="17"/>
                <w:szCs w:val="17"/>
                <w:color w:val="auto"/>
              </w:rPr>
              <w:t>Date: August 8, 2023</w:t>
            </w:r>
          </w:p>
        </w:tc>
        <w:tc>
          <w:tcPr>
            <w:tcW w:w="1060" w:type="dxa"/>
            <w:vAlign w:val="bottom"/>
          </w:tcPr>
          <w:p>
            <w:pPr>
              <w:ind w:left="560"/>
              <w:spacing w:after="0"/>
              <w:rPr>
                <w:sz w:val="20"/>
                <w:szCs w:val="20"/>
                <w:color w:val="auto"/>
              </w:rPr>
            </w:pPr>
            <w:r>
              <w:rPr>
                <w:rFonts w:ascii="Arial" w:cs="Arial" w:eastAsia="Arial" w:hAnsi="Arial"/>
                <w:sz w:val="17"/>
                <w:szCs w:val="17"/>
                <w:color w:val="auto"/>
              </w:rPr>
              <w:t>By:</w:t>
            </w:r>
          </w:p>
        </w:tc>
        <w:tc>
          <w:tcPr>
            <w:tcW w:w="7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Sanjay Datta</w:t>
            </w:r>
          </w:p>
        </w:tc>
      </w:tr>
      <w:tr>
        <w:trPr>
          <w:trHeight w:val="211"/>
        </w:trPr>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7"/>
                <w:szCs w:val="17"/>
                <w:color w:val="auto"/>
              </w:rPr>
              <w:t>Sanjay Datta</w:t>
            </w:r>
          </w:p>
        </w:tc>
      </w:tr>
      <w:tr>
        <w:trPr>
          <w:trHeight w:val="219"/>
        </w:trPr>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9"/>
        </w:trPr>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240"/>
          </w:cols>
          <w:pgMar w:left="320" w:top="144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Dave Girouard, certify that:</w:t>
      </w:r>
    </w:p>
    <w:p>
      <w:pPr>
        <w:spacing w:after="0" w:line="217" w:lineRule="exact"/>
        <w:rPr>
          <w:sz w:val="20"/>
          <w:szCs w:val="20"/>
          <w:color w:val="auto"/>
        </w:rPr>
      </w:pPr>
    </w:p>
    <w:p>
      <w:pPr>
        <w:ind w:left="180" w:hanging="177"/>
        <w:spacing w:after="0"/>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Upstart Holdings, Inc.;</w:t>
      </w:r>
    </w:p>
    <w:p>
      <w:pPr>
        <w:spacing w:after="0" w:line="217" w:lineRule="exact"/>
        <w:rPr>
          <w:rFonts w:ascii="Arial" w:cs="Arial" w:eastAsia="Arial" w:hAnsi="Arial"/>
          <w:sz w:val="17"/>
          <w:szCs w:val="17"/>
          <w:color w:val="auto"/>
        </w:rPr>
      </w:pPr>
    </w:p>
    <w:p>
      <w:pPr>
        <w:ind w:right="300" w:firstLine="3"/>
        <w:spacing w:after="0" w:line="312" w:lineRule="auto"/>
        <w:tabs>
          <w:tab w:leader="none" w:pos="1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00" w:firstLine="3"/>
        <w:spacing w:after="0" w:line="279" w:lineRule="auto"/>
        <w:tabs>
          <w:tab w:leader="none" w:pos="172"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100" w:firstLine="3"/>
        <w:spacing w:after="0" w:line="279" w:lineRule="auto"/>
        <w:tabs>
          <w:tab w:leader="none" w:pos="16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4" w:lineRule="exact"/>
        <w:rPr>
          <w:sz w:val="20"/>
          <w:szCs w:val="20"/>
          <w:color w:val="auto"/>
        </w:rPr>
      </w:pPr>
    </w:p>
    <w:p>
      <w:pPr>
        <w:ind w:right="200" w:firstLine="3"/>
        <w:spacing w:after="0" w:line="266" w:lineRule="auto"/>
        <w:tabs>
          <w:tab w:leader="none" w:pos="234"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firstLine="3"/>
        <w:spacing w:after="0" w:line="266" w:lineRule="auto"/>
        <w:tabs>
          <w:tab w:leader="none" w:pos="2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80" w:firstLine="3"/>
        <w:spacing w:after="0" w:line="279" w:lineRule="auto"/>
        <w:tabs>
          <w:tab w:leader="none" w:pos="234"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right="20" w:firstLine="3"/>
        <w:spacing w:after="0" w:line="266" w:lineRule="auto"/>
        <w:tabs>
          <w:tab w:leader="none" w:pos="2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right="20" w:firstLine="3"/>
        <w:spacing w:after="0" w:line="279" w:lineRule="auto"/>
        <w:tabs>
          <w:tab w:leader="none" w:pos="16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right="560" w:firstLine="3"/>
        <w:spacing w:after="0" w:line="279" w:lineRule="auto"/>
        <w:tabs>
          <w:tab w:leader="none" w:pos="2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140" w:firstLine="3"/>
        <w:spacing w:after="0" w:line="279" w:lineRule="auto"/>
        <w:tabs>
          <w:tab w:leader="none" w:pos="234"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2023</w:t>
      </w:r>
    </w:p>
    <w:p>
      <w:pPr>
        <w:sectPr>
          <w:pgSz w:w="11900" w:h="16838" w:orient="portrait"/>
          <w:cols w:equalWidth="0" w:num="1">
            <w:col w:w="11240"/>
          </w:cols>
          <w:pgMar w:left="320" w:top="1049"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UPSTART HOLDINGS, INC.</w:t>
      </w:r>
    </w:p>
    <w:p>
      <w:pPr>
        <w:spacing w:after="0" w:line="35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38100</wp:posOffset>
            </wp:positionV>
            <wp:extent cx="24314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ectPr>
          <w:pgSz w:w="11900" w:h="16838" w:orient="portrait"/>
          <w:cols w:equalWidth="0" w:num="1">
            <w:col w:w="9939"/>
          </w:cols>
          <w:pgMar w:left="520" w:top="1120" w:right="1440"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Dave Girouard</w:t>
      </w:r>
    </w:p>
    <w:p>
      <w:pPr>
        <w:spacing w:after="0" w:line="105" w:lineRule="exact"/>
        <w:rPr>
          <w:sz w:val="20"/>
          <w:szCs w:val="20"/>
          <w:color w:val="auto"/>
        </w:rPr>
      </w:pPr>
    </w:p>
    <w:p>
      <w:pPr>
        <w:sectPr>
          <w:pgSz w:w="11900" w:h="16838" w:orient="portrait"/>
          <w:cols w:equalWidth="0" w:num="2">
            <w:col w:w="460" w:space="300"/>
            <w:col w:w="9179"/>
          </w:cols>
          <w:pgMar w:left="520" w:top="112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2">
            <w:col w:w="360" w:space="400"/>
            <w:col w:w="9179"/>
          </w:cols>
          <w:pgMar w:left="520" w:top="1120" w:right="1440"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Sanjay Datta, certify that:</w:t>
      </w:r>
    </w:p>
    <w:p>
      <w:pPr>
        <w:spacing w:after="0" w:line="217" w:lineRule="exact"/>
        <w:rPr>
          <w:sz w:val="20"/>
          <w:szCs w:val="20"/>
          <w:color w:val="auto"/>
        </w:rPr>
      </w:pPr>
    </w:p>
    <w:p>
      <w:pPr>
        <w:ind w:left="180" w:hanging="177"/>
        <w:spacing w:after="0"/>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Upstart Holdings, Inc.;</w:t>
      </w:r>
    </w:p>
    <w:p>
      <w:pPr>
        <w:spacing w:after="0" w:line="217" w:lineRule="exact"/>
        <w:rPr>
          <w:rFonts w:ascii="Arial" w:cs="Arial" w:eastAsia="Arial" w:hAnsi="Arial"/>
          <w:sz w:val="17"/>
          <w:szCs w:val="17"/>
          <w:color w:val="auto"/>
        </w:rPr>
      </w:pPr>
    </w:p>
    <w:p>
      <w:pPr>
        <w:ind w:right="300" w:firstLine="3"/>
        <w:spacing w:after="0" w:line="312" w:lineRule="auto"/>
        <w:tabs>
          <w:tab w:leader="none" w:pos="17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00" w:firstLine="3"/>
        <w:spacing w:after="0" w:line="279" w:lineRule="auto"/>
        <w:tabs>
          <w:tab w:leader="none" w:pos="172"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100" w:firstLine="3"/>
        <w:spacing w:after="0" w:line="279" w:lineRule="auto"/>
        <w:tabs>
          <w:tab w:leader="none" w:pos="16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4" w:lineRule="exact"/>
        <w:rPr>
          <w:sz w:val="20"/>
          <w:szCs w:val="20"/>
          <w:color w:val="auto"/>
        </w:rPr>
      </w:pPr>
    </w:p>
    <w:p>
      <w:pPr>
        <w:ind w:right="200" w:firstLine="3"/>
        <w:spacing w:after="0" w:line="266" w:lineRule="auto"/>
        <w:tabs>
          <w:tab w:leader="none" w:pos="234"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firstLine="3"/>
        <w:spacing w:after="0" w:line="266" w:lineRule="auto"/>
        <w:tabs>
          <w:tab w:leader="none" w:pos="2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80" w:firstLine="3"/>
        <w:spacing w:after="0" w:line="279" w:lineRule="auto"/>
        <w:tabs>
          <w:tab w:leader="none" w:pos="234" w:val="left"/>
        </w:tabs>
        <w:numPr>
          <w:ilvl w:val="0"/>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right="20" w:firstLine="3"/>
        <w:spacing w:after="0" w:line="266" w:lineRule="auto"/>
        <w:tabs>
          <w:tab w:leader="none" w:pos="2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right="20" w:firstLine="3"/>
        <w:spacing w:after="0" w:line="279" w:lineRule="auto"/>
        <w:tabs>
          <w:tab w:leader="none" w:pos="16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right="560" w:firstLine="3"/>
        <w:spacing w:after="0" w:line="279" w:lineRule="auto"/>
        <w:tabs>
          <w:tab w:leader="none" w:pos="2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140" w:firstLine="3"/>
        <w:spacing w:after="0" w:line="279" w:lineRule="auto"/>
        <w:tabs>
          <w:tab w:leader="none" w:pos="23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2023</w:t>
      </w:r>
    </w:p>
    <w:p>
      <w:pPr>
        <w:sectPr>
          <w:pgSz w:w="11900" w:h="16838" w:orient="portrait"/>
          <w:cols w:equalWidth="0" w:num="1">
            <w:col w:w="11240"/>
          </w:cols>
          <w:pgMar w:left="320" w:top="1049"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t>UPSTART HOLDINGS, INC.</w:t>
      </w:r>
    </w:p>
    <w:p>
      <w:pPr>
        <w:spacing w:after="0" w:line="35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31115</wp:posOffset>
            </wp:positionV>
            <wp:extent cx="2431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ectPr>
          <w:pgSz w:w="11900" w:h="16838" w:orient="portrait"/>
          <w:cols w:equalWidth="0" w:num="1">
            <w:col w:w="9939"/>
          </w:cols>
          <w:pgMar w:left="520" w:top="1120" w:right="1440"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Sanjay Datta</w:t>
      </w:r>
    </w:p>
    <w:p>
      <w:pPr>
        <w:spacing w:after="0" w:line="116" w:lineRule="exact"/>
        <w:rPr>
          <w:sz w:val="20"/>
          <w:szCs w:val="20"/>
          <w:color w:val="auto"/>
        </w:rPr>
      </w:pPr>
    </w:p>
    <w:p>
      <w:pPr>
        <w:sectPr>
          <w:pgSz w:w="11900" w:h="16838" w:orient="portrait"/>
          <w:cols w:equalWidth="0" w:num="2">
            <w:col w:w="460" w:space="300"/>
            <w:col w:w="9179"/>
          </w:cols>
          <w:pgMar w:left="520" w:top="112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2">
            <w:col w:w="360" w:space="400"/>
            <w:col w:w="9179"/>
          </w:cols>
          <w:pgMar w:left="520" w:top="1120" w:right="1440"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9"/>
          <w:szCs w:val="19"/>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 Dave Girouard, certify, pursuant to 18 U.S.C. Section 1350, as adopted pursuant to Section 906 of the Sarbanes-Oxley Act of 2002, that the Quarterly Report on Form 10-Q of Upstart Holdings, Inc. for the quarter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460" w:type="dxa"/>
            <w:vAlign w:val="bottom"/>
          </w:tcPr>
          <w:p>
            <w:pPr>
              <w:ind w:left="20"/>
              <w:spacing w:after="0"/>
              <w:rPr>
                <w:sz w:val="20"/>
                <w:szCs w:val="20"/>
                <w:color w:val="auto"/>
              </w:rPr>
            </w:pPr>
            <w:r>
              <w:rPr>
                <w:rFonts w:ascii="Arial" w:cs="Arial" w:eastAsia="Arial" w:hAnsi="Arial"/>
                <w:sz w:val="19"/>
                <w:szCs w:val="19"/>
                <w:color w:val="auto"/>
              </w:rPr>
              <w:t>Date: August 8, 2023</w:t>
            </w:r>
          </w:p>
        </w:tc>
        <w:tc>
          <w:tcPr>
            <w:tcW w:w="9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9"/>
                <w:szCs w:val="19"/>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/s/ Dave Girouard</w:t>
            </w:r>
          </w:p>
        </w:tc>
      </w:tr>
      <w:tr>
        <w:trPr>
          <w:trHeight w:val="255"/>
        </w:trPr>
        <w:tc>
          <w:tcPr>
            <w:tcW w:w="5460" w:type="dxa"/>
            <w:vAlign w:val="bottom"/>
            <w:shd w:val="clear" w:color="auto" w:fill="FEFEFE"/>
          </w:tcPr>
          <w:p>
            <w:pPr>
              <w:spacing w:after="0"/>
              <w:rPr>
                <w:sz w:val="22"/>
                <w:szCs w:val="22"/>
                <w:color w:val="auto"/>
              </w:rPr>
            </w:pPr>
          </w:p>
        </w:tc>
        <w:tc>
          <w:tcPr>
            <w:tcW w:w="900" w:type="dxa"/>
            <w:vAlign w:val="bottom"/>
            <w:tcBorders>
              <w:top w:val="single" w:sz="8" w:color="FEFEFE"/>
            </w:tcBorders>
            <w:shd w:val="clear" w:color="auto" w:fill="FEFEFE"/>
          </w:tcPr>
          <w:p>
            <w:pPr>
              <w:ind w:left="40"/>
              <w:spacing w:after="0"/>
              <w:rPr>
                <w:sz w:val="20"/>
                <w:szCs w:val="20"/>
                <w:color w:val="auto"/>
              </w:rPr>
            </w:pPr>
            <w:r>
              <w:rPr>
                <w:rFonts w:ascii="Arial" w:cs="Arial" w:eastAsia="Arial" w:hAnsi="Arial"/>
                <w:sz w:val="19"/>
                <w:szCs w:val="19"/>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19"/>
                <w:szCs w:val="19"/>
                <w:color w:val="auto"/>
              </w:rPr>
              <w:t>Dave Girouard</w:t>
            </w:r>
          </w:p>
        </w:tc>
      </w:tr>
      <w:tr>
        <w:trPr>
          <w:trHeight w:val="309"/>
        </w:trPr>
        <w:tc>
          <w:tcPr>
            <w:tcW w:w="5460" w:type="dxa"/>
            <w:vAlign w:val="bottom"/>
            <w:shd w:val="clear" w:color="auto" w:fill="FEFEFE"/>
          </w:tcPr>
          <w:p>
            <w:pPr>
              <w:spacing w:after="0"/>
              <w:rPr>
                <w:sz w:val="24"/>
                <w:szCs w:val="24"/>
                <w:color w:val="auto"/>
              </w:rPr>
            </w:pPr>
          </w:p>
        </w:tc>
        <w:tc>
          <w:tcPr>
            <w:tcW w:w="900" w:type="dxa"/>
            <w:vAlign w:val="bottom"/>
            <w:shd w:val="clear" w:color="auto" w:fill="FEFEFE"/>
          </w:tcPr>
          <w:p>
            <w:pPr>
              <w:ind w:left="40"/>
              <w:spacing w:after="0"/>
              <w:rPr>
                <w:sz w:val="20"/>
                <w:szCs w:val="20"/>
                <w:color w:val="auto"/>
              </w:rPr>
            </w:pPr>
            <w:r>
              <w:rPr>
                <w:rFonts w:ascii="Arial" w:cs="Arial" w:eastAsia="Arial" w:hAnsi="Arial"/>
                <w:sz w:val="19"/>
                <w:szCs w:val="19"/>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 and President</w:t>
            </w:r>
          </w:p>
        </w:tc>
      </w:tr>
      <w:tr>
        <w:trPr>
          <w:trHeight w:val="284"/>
        </w:trPr>
        <w:tc>
          <w:tcPr>
            <w:tcW w:w="5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66"/>
        </w:trPr>
        <w:tc>
          <w:tcPr>
            <w:tcW w:w="546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000" w:type="dxa"/>
            <w:vAlign w:val="bottom"/>
            <w:shd w:val="clear" w:color="auto" w:fill="FEFEFE"/>
          </w:tcPr>
          <w:p>
            <w:pPr>
              <w:spacing w:after="0"/>
              <w:rPr>
                <w:sz w:val="23"/>
                <w:szCs w:val="23"/>
                <w:color w:val="auto"/>
              </w:rPr>
            </w:pPr>
          </w:p>
        </w:tc>
      </w:tr>
    </w:tbl>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 Sanjay Datta, certify, pursuant to 18 U.S.C. Section 1350, as adopted pursuant to Section 906 of the Sarbanes-Oxley Act of 2002, that the Quarterly Report on Form 10-Q of Upstart Holdings, Inc. for the quarter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460" w:type="dxa"/>
            <w:vAlign w:val="bottom"/>
          </w:tcPr>
          <w:p>
            <w:pPr>
              <w:ind w:left="20"/>
              <w:spacing w:after="0"/>
              <w:rPr>
                <w:sz w:val="20"/>
                <w:szCs w:val="20"/>
                <w:color w:val="auto"/>
              </w:rPr>
            </w:pPr>
            <w:r>
              <w:rPr>
                <w:rFonts w:ascii="Arial" w:cs="Arial" w:eastAsia="Arial" w:hAnsi="Arial"/>
                <w:sz w:val="19"/>
                <w:szCs w:val="19"/>
                <w:color w:val="auto"/>
              </w:rPr>
              <w:t>Date: August 8, 2023</w:t>
            </w:r>
          </w:p>
        </w:tc>
        <w:tc>
          <w:tcPr>
            <w:tcW w:w="8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9"/>
                <w:szCs w:val="19"/>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/s/ Sanjay Datta</w:t>
            </w:r>
          </w:p>
        </w:tc>
      </w:tr>
      <w:tr>
        <w:trPr>
          <w:trHeight w:val="255"/>
        </w:trPr>
        <w:tc>
          <w:tcPr>
            <w:tcW w:w="5460" w:type="dxa"/>
            <w:vAlign w:val="bottom"/>
            <w:shd w:val="clear" w:color="auto" w:fill="FEFEFE"/>
          </w:tcPr>
          <w:p>
            <w:pPr>
              <w:spacing w:after="0"/>
              <w:rPr>
                <w:sz w:val="22"/>
                <w:szCs w:val="22"/>
                <w:color w:val="auto"/>
              </w:rPr>
            </w:pPr>
          </w:p>
        </w:tc>
        <w:tc>
          <w:tcPr>
            <w:tcW w:w="880" w:type="dxa"/>
            <w:vAlign w:val="bottom"/>
            <w:tcBorders>
              <w:top w:val="single" w:sz="8" w:color="FEFEFE"/>
            </w:tcBorders>
            <w:shd w:val="clear" w:color="auto" w:fill="FEFEFE"/>
          </w:tcPr>
          <w:p>
            <w:pPr>
              <w:ind w:left="40"/>
              <w:spacing w:after="0"/>
              <w:rPr>
                <w:sz w:val="20"/>
                <w:szCs w:val="20"/>
                <w:color w:val="auto"/>
              </w:rPr>
            </w:pPr>
            <w:r>
              <w:rPr>
                <w:rFonts w:ascii="Arial" w:cs="Arial" w:eastAsia="Arial" w:hAnsi="Arial"/>
                <w:sz w:val="19"/>
                <w:szCs w:val="19"/>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19"/>
                <w:szCs w:val="19"/>
                <w:color w:val="auto"/>
              </w:rPr>
              <w:t>Sanjay Datta</w:t>
            </w:r>
          </w:p>
        </w:tc>
      </w:tr>
      <w:tr>
        <w:trPr>
          <w:trHeight w:val="309"/>
        </w:trPr>
        <w:tc>
          <w:tcPr>
            <w:tcW w:w="5460" w:type="dxa"/>
            <w:vAlign w:val="bottom"/>
            <w:shd w:val="clear" w:color="auto" w:fill="FEFEFE"/>
          </w:tcPr>
          <w:p>
            <w:pPr>
              <w:spacing w:after="0"/>
              <w:rPr>
                <w:sz w:val="24"/>
                <w:szCs w:val="24"/>
                <w:color w:val="auto"/>
              </w:rPr>
            </w:pPr>
          </w:p>
        </w:tc>
        <w:tc>
          <w:tcPr>
            <w:tcW w:w="880" w:type="dxa"/>
            <w:vAlign w:val="bottom"/>
            <w:shd w:val="clear" w:color="auto" w:fill="FEFEFE"/>
          </w:tcPr>
          <w:p>
            <w:pPr>
              <w:ind w:left="40"/>
              <w:spacing w:after="0"/>
              <w:rPr>
                <w:sz w:val="20"/>
                <w:szCs w:val="20"/>
                <w:color w:val="auto"/>
              </w:rPr>
            </w:pPr>
            <w:r>
              <w:rPr>
                <w:rFonts w:ascii="Arial" w:cs="Arial" w:eastAsia="Arial" w:hAnsi="Arial"/>
                <w:sz w:val="19"/>
                <w:szCs w:val="19"/>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97"/>
        </w:trPr>
        <w:tc>
          <w:tcPr>
            <w:tcW w:w="546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Financial Officer)</w:t>
            </w:r>
          </w:p>
        </w:tc>
      </w:tr>
      <w:tr>
        <w:trPr>
          <w:trHeight w:val="47"/>
        </w:trPr>
        <w:tc>
          <w:tcPr>
            <w:tcW w:w="5460" w:type="dxa"/>
            <w:vAlign w:val="bottom"/>
            <w:shd w:val="clear" w:color="auto" w:fill="FEFEFE"/>
          </w:tcPr>
          <w:p>
            <w:pPr>
              <w:spacing w:after="0"/>
              <w:rPr>
                <w:sz w:val="4"/>
                <w:szCs w:val="4"/>
                <w:color w:val="auto"/>
              </w:rPr>
            </w:pPr>
          </w:p>
        </w:tc>
        <w:tc>
          <w:tcPr>
            <w:tcW w:w="88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3"/>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3"/>
    </w:lvl>
  </w:abstractNum>
  <w:abstractNum w:abstractNumId="14">
    <w:nsid w:val="3006C83E"/>
    <w:multiLevelType w:val="hybridMultilevel"/>
    <w:lvl w:ilvl="0">
      <w:lvlJc w:val="left"/>
      <w:lvlText w:val="%1."/>
      <w:numFmt w:val="decimal"/>
      <w:start w:val="14"/>
    </w:lvl>
  </w:abstractNum>
  <w:abstractNum w:abstractNumId="15">
    <w:nsid w:val="614FD4A1"/>
    <w:multiLevelType w:val="hybridMultilevel"/>
    <w:lvl w:ilvl="0">
      <w:lvlJc w:val="left"/>
      <w:lvlText w:val="%1."/>
      <w:numFmt w:val="decimal"/>
      <w:start w:val="16"/>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5"/>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5"/>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2023-08-09T05:35:05Z</dcterms:created>
  <dcterms:modified xsi:type="dcterms:W3CDTF">2023-08-09T05:35:05Z</dcterms:modified>
</cp:coreProperties>
</file>