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41"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6"/>
          <w:szCs w:val="16"/>
          <w:color w:val="auto"/>
        </w:rPr>
        <w:t>(Mark One)</w:t>
      </w:r>
    </w:p>
    <w:p>
      <w:pPr>
        <w:spacing w:after="0" w:line="154" w:lineRule="exact"/>
        <w:rPr>
          <w:sz w:val="24"/>
          <w:szCs w:val="24"/>
          <w:color w:val="auto"/>
        </w:rPr>
      </w:pPr>
    </w:p>
    <w:p>
      <w:pPr>
        <w:ind w:left="3960" w:right="2040" w:hanging="3399"/>
        <w:spacing w:after="0" w:line="215" w:lineRule="auto"/>
        <w:tabs>
          <w:tab w:leader="none" w:pos="1381" w:val="left"/>
        </w:tabs>
        <w:numPr>
          <w:ilvl w:val="0"/>
          <w:numId w:val="1"/>
        </w:numPr>
        <w:rPr>
          <w:rFonts w:ascii="MS PGothic" w:cs="MS PGothic" w:eastAsia="MS PGothic" w:hAnsi="MS PGothic"/>
          <w:sz w:val="29"/>
          <w:szCs w:val="29"/>
          <w:color w:val="auto"/>
        </w:rPr>
      </w:pPr>
      <w:r>
        <w:rPr>
          <w:rFonts w:ascii="Times New Roman" w:cs="Times New Roman" w:eastAsia="Times New Roman" w:hAnsi="Times New Roman"/>
          <w:sz w:val="16"/>
          <w:szCs w:val="16"/>
          <w:color w:val="auto"/>
        </w:rPr>
        <w:t>QUARTERLY REPORT PURSUANT TO SECTION 13 OR 15(d) OF THE SECURITIES EXCHANGE ACT OF 1934 For the quarterly period ended September 30, 2026</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74" w:lineRule="exact"/>
        <w:rPr>
          <w:sz w:val="24"/>
          <w:szCs w:val="24"/>
          <w:color w:val="auto"/>
        </w:rPr>
      </w:pPr>
    </w:p>
    <w:p>
      <w:pPr>
        <w:ind w:left="1380" w:hanging="819"/>
        <w:spacing w:after="0"/>
        <w:tabs>
          <w:tab w:leader="none" w:pos="1380" w:val="left"/>
        </w:tabs>
        <w:numPr>
          <w:ilvl w:val="0"/>
          <w:numId w:val="2"/>
        </w:numPr>
        <w:rPr>
          <w:rFonts w:ascii="MS PGothic" w:cs="MS PGothic" w:eastAsia="MS PGothic" w:hAnsi="MS PGothic"/>
          <w:sz w:val="29"/>
          <w:szCs w:val="29"/>
          <w:color w:val="auto"/>
        </w:rPr>
      </w:pPr>
      <w:r>
        <w:rPr>
          <w:rFonts w:ascii="Times New Roman" w:cs="Times New Roman" w:eastAsia="Times New Roman" w:hAnsi="Times New Roman"/>
          <w:sz w:val="16"/>
          <w:szCs w:val="16"/>
          <w:color w:val="auto"/>
        </w:rPr>
        <w:t>TRANSITION REPORT PURSUANT TO SECTION 13 OR 15(d) OF THE SECURITIES EXCHANGE ACT OF 1934</w:t>
      </w:r>
    </w:p>
    <w:p>
      <w:pPr>
        <w:spacing w:after="0" w:line="70" w:lineRule="exact"/>
        <w:rPr>
          <w:rFonts w:ascii="MS PGothic" w:cs="MS PGothic" w:eastAsia="MS PGothic" w:hAnsi="MS PGothic"/>
          <w:sz w:val="29"/>
          <w:szCs w:val="29"/>
          <w:color w:val="auto"/>
        </w:rPr>
      </w:pPr>
    </w:p>
    <w:p>
      <w:pPr>
        <w:ind w:left="3800"/>
        <w:spacing w:after="0"/>
        <w:rPr>
          <w:rFonts w:ascii="MS PGothic" w:cs="MS PGothic" w:eastAsia="MS PGothic" w:hAnsi="MS PGothic"/>
          <w:sz w:val="29"/>
          <w:szCs w:val="29"/>
          <w:color w:val="auto"/>
        </w:rPr>
      </w:pPr>
      <w:r>
        <w:rPr>
          <w:rFonts w:ascii="Times New Roman" w:cs="Times New Roman" w:eastAsia="Times New Roman" w:hAnsi="Times New Roman"/>
          <w:sz w:val="16"/>
          <w:szCs w:val="16"/>
          <w:b w:val="1"/>
          <w:bCs w:val="1"/>
          <w:color w:val="auto"/>
        </w:rPr>
        <w:t>For the transition period from</w:t>
      </w:r>
      <w:r>
        <w:rPr>
          <w:rFonts w:ascii="Times New Roman" w:cs="Times New Roman" w:eastAsia="Times New Roman" w:hAnsi="Times New Roman"/>
          <w:sz w:val="16"/>
          <w:szCs w:val="16"/>
          <w:b w:val="1"/>
          <w:bCs w:val="1"/>
          <w:u w:val="single" w:color="auto"/>
          <w:color w:val="auto"/>
        </w:rPr>
        <w:t>_________</w:t>
      </w:r>
      <w:r>
        <w:rPr>
          <w:rFonts w:ascii="Times New Roman" w:cs="Times New Roman" w:eastAsia="Times New Roman" w:hAnsi="Times New Roman"/>
          <w:sz w:val="16"/>
          <w:szCs w:val="16"/>
          <w:b w:val="1"/>
          <w:bCs w:val="1"/>
          <w:color w:val="auto"/>
        </w:rPr>
        <w:t xml:space="preserve">to </w:t>
      </w:r>
      <w:r>
        <w:rPr>
          <w:rFonts w:ascii="Times New Roman" w:cs="Times New Roman" w:eastAsia="Times New Roman" w:hAnsi="Times New Roman"/>
          <w:sz w:val="16"/>
          <w:szCs w:val="16"/>
          <w:b w:val="1"/>
          <w:bCs w:val="1"/>
          <w:u w:val="single" w:color="auto"/>
          <w:color w:val="auto"/>
        </w:rPr>
        <w:t>________</w:t>
      </w:r>
    </w:p>
    <w:p>
      <w:pPr>
        <w:spacing w:after="0" w:line="46" w:lineRule="exact"/>
        <w:rPr>
          <w:rFonts w:ascii="MS PGothic" w:cs="MS PGothic" w:eastAsia="MS PGothic" w:hAnsi="MS PGothic"/>
          <w:sz w:val="29"/>
          <w:szCs w:val="29"/>
          <w:color w:val="auto"/>
        </w:rPr>
      </w:pPr>
    </w:p>
    <w:p>
      <w:pPr>
        <w:ind w:left="4340"/>
        <w:spacing w:after="0"/>
        <w:rPr>
          <w:rFonts w:ascii="MS PGothic" w:cs="MS PGothic" w:eastAsia="MS PGothic" w:hAnsi="MS PGothic"/>
          <w:sz w:val="29"/>
          <w:szCs w:val="29"/>
          <w:color w:val="auto"/>
        </w:rPr>
      </w:pPr>
      <w:r>
        <w:rPr>
          <w:rFonts w:ascii="Times New Roman" w:cs="Times New Roman" w:eastAsia="Times New Roman" w:hAnsi="Times New Roman"/>
          <w:sz w:val="16"/>
          <w:szCs w:val="16"/>
          <w:b w:val="1"/>
          <w:bCs w:val="1"/>
          <w:color w:val="auto"/>
        </w:rPr>
        <w:t>Commission File Number: 001-39797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116205</wp:posOffset>
            </wp:positionV>
            <wp:extent cx="180022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22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Upstart Holdings, Inc.</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249" w:lineRule="exact"/>
        <w:rPr>
          <w:sz w:val="24"/>
          <w:szCs w:val="24"/>
          <w:color w:val="auto"/>
        </w:rPr>
      </w:pPr>
    </w:p>
    <w:tbl>
      <w:tblPr>
        <w:tblLayout w:type="fixed"/>
        <w:tblInd w:w="2000" w:type="dxa"/>
        <w:tblCellMar>
          <w:top w:w="0" w:type="dxa"/>
          <w:left w:w="0" w:type="dxa"/>
          <w:bottom w:w="0" w:type="dxa"/>
          <w:right w:w="0" w:type="dxa"/>
        </w:tblCellMar>
      </w:tblPr>
      <w:tr>
        <w:trPr>
          <w:trHeight w:val="184"/>
        </w:trPr>
        <w:tc>
          <w:tcPr>
            <w:tcW w:w="4020" w:type="dxa"/>
            <w:vAlign w:val="bottom"/>
          </w:tcPr>
          <w:p>
            <w:pPr>
              <w:jc w:val="center"/>
              <w:ind w:right="197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center"/>
              <w:ind w:left="1999"/>
              <w:spacing w:after="0"/>
              <w:rPr>
                <w:sz w:val="20"/>
                <w:szCs w:val="20"/>
                <w:color w:val="auto"/>
              </w:rPr>
            </w:pPr>
            <w:r>
              <w:rPr>
                <w:rFonts w:ascii="Times New Roman" w:cs="Times New Roman" w:eastAsia="Times New Roman" w:hAnsi="Times New Roman"/>
                <w:sz w:val="16"/>
                <w:szCs w:val="16"/>
                <w:b w:val="1"/>
                <w:bCs w:val="1"/>
                <w:color w:val="auto"/>
              </w:rPr>
              <w:t>46-4332431</w:t>
            </w:r>
          </w:p>
        </w:tc>
      </w:tr>
      <w:tr>
        <w:trPr>
          <w:trHeight w:val="162"/>
        </w:trPr>
        <w:tc>
          <w:tcPr>
            <w:tcW w:w="4020" w:type="dxa"/>
            <w:vAlign w:val="bottom"/>
          </w:tcPr>
          <w:p>
            <w:pPr>
              <w:jc w:val="center"/>
              <w:ind w:right="1979"/>
              <w:spacing w:after="0" w:line="162"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3260" w:type="dxa"/>
            <w:vAlign w:val="bottom"/>
          </w:tcPr>
          <w:p>
            <w:pPr>
              <w:jc w:val="center"/>
              <w:ind w:left="1979"/>
              <w:spacing w:after="0" w:line="162"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020" w:type="dxa"/>
            <w:vAlign w:val="bottom"/>
          </w:tcPr>
          <w:p>
            <w:pPr>
              <w:jc w:val="center"/>
              <w:ind w:right="197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260" w:type="dxa"/>
            <w:vAlign w:val="bottom"/>
          </w:tcPr>
          <w:p>
            <w:pPr>
              <w:jc w:val="center"/>
              <w:ind w:left="1979"/>
              <w:spacing w:after="0"/>
              <w:rPr>
                <w:sz w:val="20"/>
                <w:szCs w:val="20"/>
                <w:color w:val="auto"/>
              </w:rPr>
            </w:pPr>
            <w:r>
              <w:rPr>
                <w:rFonts w:ascii="Times New Roman" w:cs="Times New Roman" w:eastAsia="Times New Roman" w:hAnsi="Times New Roman"/>
                <w:sz w:val="16"/>
                <w:szCs w:val="16"/>
                <w:color w:val="auto"/>
              </w:rPr>
              <w:t>Identification No.)</w:t>
            </w:r>
          </w:p>
        </w:tc>
      </w:tr>
    </w:tbl>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Upstart Holdings,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220 Park Road, Suite 500</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Burlingame, CA 94010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(833) 212-2461</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1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40" w:lineRule="exact"/>
        <w:rPr>
          <w:sz w:val="24"/>
          <w:szCs w:val="24"/>
          <w:color w:val="auto"/>
        </w:rPr>
      </w:pPr>
    </w:p>
    <w:tbl>
      <w:tblPr>
        <w:tblLayout w:type="fixed"/>
        <w:tblInd w:w="146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238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color w:val="auto"/>
              </w:rPr>
              <w:t>Title of each class:</w:t>
            </w:r>
          </w:p>
        </w:tc>
        <w:tc>
          <w:tcPr>
            <w:tcW w:w="262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color w:val="auto"/>
              </w:rPr>
              <w:t>Trading Symbol</w:t>
            </w: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7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r>
      <w:tr>
        <w:trPr>
          <w:trHeight w:val="213"/>
        </w:trPr>
        <w:tc>
          <w:tcPr>
            <w:tcW w:w="312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580" w:type="dxa"/>
            <w:vAlign w:val="bottom"/>
          </w:tcPr>
          <w:p>
            <w:pPr>
              <w:spacing w:after="0"/>
              <w:rPr>
                <w:sz w:val="18"/>
                <w:szCs w:val="18"/>
                <w:color w:val="auto"/>
              </w:rPr>
            </w:pPr>
          </w:p>
        </w:tc>
        <w:tc>
          <w:tcPr>
            <w:tcW w:w="204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color w:val="auto"/>
              </w:rPr>
              <w:t>UPST</w:t>
            </w: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203" w:lineRule="exact"/>
        <w:rPr>
          <w:sz w:val="24"/>
          <w:szCs w:val="24"/>
          <w:color w:val="auto"/>
        </w:rPr>
      </w:pPr>
    </w:p>
    <w:p>
      <w:pPr>
        <w:ind w:right="2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8" w:lineRule="exact"/>
        <w:rPr>
          <w:sz w:val="24"/>
          <w:szCs w:val="24"/>
          <w:color w:val="auto"/>
        </w:rPr>
      </w:pPr>
    </w:p>
    <w:p>
      <w:pPr>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03"/>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80"/>
              <w:spacing w:after="0"/>
              <w:rPr>
                <w:sz w:val="20"/>
                <w:szCs w:val="20"/>
                <w:color w:val="auto"/>
              </w:rPr>
            </w:pPr>
            <w:r>
              <w:rPr>
                <w:rFonts w:ascii="Times New Roman" w:cs="Times New Roman" w:eastAsia="Times New Roman" w:hAnsi="Times New Roman"/>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8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5060" w:type="dxa"/>
            <w:vAlign w:val="bottom"/>
          </w:tcPr>
          <w:p>
            <w:pPr>
              <w:ind w:left="2980"/>
              <w:spacing w:after="0"/>
              <w:rPr>
                <w:sz w:val="20"/>
                <w:szCs w:val="20"/>
                <w:color w:val="auto"/>
              </w:rPr>
            </w:pPr>
            <w:r>
              <w:rPr>
                <w:rFonts w:ascii="Times New Roman" w:cs="Times New Roman" w:eastAsia="Times New Roman" w:hAnsi="Times New Roman"/>
                <w:sz w:val="14"/>
                <w:szCs w:val="14"/>
                <w:color w:val="auto"/>
              </w:rPr>
              <w:t>Emerging growth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73" w:lineRule="exact"/>
        <w:rPr>
          <w:sz w:val="20"/>
          <w:szCs w:val="20"/>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0"/>
          <w:szCs w:val="20"/>
          <w:color w:val="auto"/>
        </w:rPr>
      </w:pPr>
    </w:p>
    <w:p>
      <w:pPr>
        <w:ind w:right="3900"/>
        <w:spacing w:after="0" w:line="25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October 27, 2026 there were 98,908,658 shares of the registrant’s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2" w:name="page3"/>
    <w:bookmarkEnd w:id="2"/>
    <w:p>
      <w:pPr>
        <w:jc w:val="center"/>
        <w:ind w:left="108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63" w:lineRule="exact"/>
        <w:rPr>
          <w:sz w:val="20"/>
          <w:szCs w:val="20"/>
          <w:color w:val="auto"/>
        </w:rPr>
      </w:pPr>
    </w:p>
    <w:p>
      <w:pPr>
        <w:jc w:val="center"/>
        <w:ind w:left="108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63" w:lineRule="exact"/>
        <w:rPr>
          <w:sz w:val="20"/>
          <w:szCs w:val="20"/>
          <w:color w:val="auto"/>
        </w:rPr>
      </w:pPr>
    </w:p>
    <w:p>
      <w:pPr>
        <w:jc w:val="center"/>
        <w:ind w:left="108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Glossary of Terms and Acronyms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Special Note Regarding Forward-Looking Statements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PART I. FINANCIAL INFORMATION</w:t>
      </w:r>
    </w:p>
    <w:p>
      <w:pPr>
        <w:spacing w:after="0" w:line="31" w:lineRule="exact"/>
        <w:rPr>
          <w:sz w:val="20"/>
          <w:szCs w:val="20"/>
          <w:color w:val="auto"/>
        </w:rPr>
      </w:pPr>
    </w:p>
    <w:p>
      <w:pPr>
        <w:ind w:left="340"/>
        <w:spacing w:after="0"/>
        <w:tabs>
          <w:tab w:leader="none" w:pos="164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8"/>
          <w:szCs w:val="18"/>
          <w:u w:val="single" w:color="auto"/>
          <w:color w:val="0000FF"/>
        </w:rPr>
        <w:t>Financial Statements</w:t>
      </w:r>
    </w:p>
    <w:p>
      <w:pPr>
        <w:spacing w:after="0" w:line="2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u w:val="single" w:color="auto"/>
          <w:color w:val="0000FF"/>
        </w:rPr>
        <w:t>Condensed Consolidated Balance Sheets</w:t>
      </w:r>
    </w:p>
    <w:p>
      <w:pPr>
        <w:spacing w:after="0" w:line="23" w:lineRule="exact"/>
        <w:rPr>
          <w:sz w:val="20"/>
          <w:szCs w:val="20"/>
          <w:color w:val="auto"/>
        </w:rPr>
      </w:pPr>
    </w:p>
    <w:p>
      <w:pPr>
        <w:ind w:left="1660" w:right="2740"/>
        <w:spacing w:after="0" w:line="266"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Operations and Comprehensive Income Condensed Consolidated Statements of Stockholders’ Equity Condensed Consolidated Statements of Cash Flows</w:t>
      </w:r>
    </w:p>
    <w:p>
      <w:pPr>
        <w:ind w:left="1660"/>
        <w:spacing w:after="0"/>
        <w:rPr>
          <w:sz w:val="20"/>
          <w:szCs w:val="20"/>
          <w:color w:val="auto"/>
        </w:rPr>
      </w:pPr>
      <w:r>
        <w:rPr>
          <w:rFonts w:ascii="Times New Roman" w:cs="Times New Roman" w:eastAsia="Times New Roman" w:hAnsi="Times New Roman"/>
          <w:sz w:val="18"/>
          <w:szCs w:val="18"/>
          <w:u w:val="single" w:color="auto"/>
          <w:color w:val="0000FF"/>
        </w:rPr>
        <w:t>Notes to the Condensed Consolidated Financial Statements</w:t>
      </w:r>
    </w:p>
    <w:p>
      <w:pPr>
        <w:spacing w:after="0" w:line="3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u w:val="single" w:color="auto"/>
          <w:color w:val="0000FF"/>
        </w:rPr>
        <w:t>Note 1. Description of Business and Significant Accounting Policies</w:t>
      </w:r>
    </w:p>
    <w:p>
      <w:pPr>
        <w:spacing w:after="0" w:line="15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u w:val="single" w:color="auto"/>
          <w:color w:val="0000FF"/>
        </w:rPr>
        <w:t>Note 2. Revenue</w:t>
      </w:r>
    </w:p>
    <w:p>
      <w:pPr>
        <w:spacing w:after="0" w:line="15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u w:val="single" w:color="auto"/>
          <w:color w:val="0000FF"/>
        </w:rPr>
        <w:t>Note 3. Variable Interest Entities</w:t>
      </w:r>
    </w:p>
    <w:p>
      <w:pPr>
        <w:spacing w:after="0" w:line="15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u w:val="single" w:color="auto"/>
          <w:color w:val="0000FF"/>
        </w:rPr>
        <w:t>Note 4. Beneficial Interests</w:t>
      </w:r>
    </w:p>
    <w:p>
      <w:pPr>
        <w:spacing w:after="0" w:line="15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u w:val="single" w:color="auto"/>
          <w:color w:val="0000FF"/>
        </w:rPr>
        <w:t>Note 5. Fair Value Measurement</w:t>
      </w:r>
    </w:p>
    <w:p>
      <w:pPr>
        <w:spacing w:after="0" w:line="15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u w:val="single" w:color="auto"/>
          <w:color w:val="0000FF"/>
        </w:rPr>
        <w:t>Note 6. Goodwill and Intangible Assets</w:t>
      </w:r>
    </w:p>
    <w:p>
      <w:pPr>
        <w:spacing w:after="0" w:line="15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u w:val="single" w:color="auto"/>
          <w:color w:val="0000FF"/>
        </w:rPr>
        <w:t>Note 7. Balance Sheet Components</w:t>
      </w:r>
    </w:p>
    <w:p>
      <w:pPr>
        <w:spacing w:after="0" w:line="15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u w:val="single" w:color="auto"/>
          <w:color w:val="0000FF"/>
        </w:rPr>
        <w:t>Note 8. Borrowings</w:t>
      </w:r>
    </w:p>
    <w:p>
      <w:pPr>
        <w:spacing w:after="0" w:line="15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u w:val="single" w:color="auto"/>
          <w:color w:val="0000FF"/>
        </w:rPr>
        <w:t>Note 9. Stockholders' Equity</w:t>
      </w:r>
    </w:p>
    <w:p>
      <w:pPr>
        <w:spacing w:after="0" w:line="15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u w:val="single" w:color="auto"/>
          <w:color w:val="0000FF"/>
        </w:rPr>
        <w:t>Note 10. Leases</w:t>
      </w:r>
    </w:p>
    <w:p>
      <w:pPr>
        <w:spacing w:after="0" w:line="15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u w:val="single" w:color="auto"/>
          <w:color w:val="0000FF"/>
        </w:rPr>
        <w:t>Note 11. Commitments and Contingencies</w:t>
      </w:r>
    </w:p>
    <w:p>
      <w:pPr>
        <w:spacing w:after="0" w:line="15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u w:val="single" w:color="auto"/>
          <w:color w:val="0000FF"/>
        </w:rPr>
        <w:t>Note 12. Income Taxes</w:t>
      </w:r>
    </w:p>
    <w:p>
      <w:pPr>
        <w:spacing w:after="0" w:line="15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u w:val="single" w:color="auto"/>
          <w:color w:val="0000FF"/>
        </w:rPr>
        <w:t>Note 13. Net Income Per Share</w:t>
      </w:r>
    </w:p>
    <w:p>
      <w:pPr>
        <w:spacing w:after="0" w:line="15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u w:val="single" w:color="auto"/>
          <w:color w:val="0000FF"/>
        </w:rPr>
        <w:t>Note 14. Segment Information</w:t>
      </w:r>
    </w:p>
    <w:p>
      <w:pPr>
        <w:spacing w:after="0" w:line="15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u w:val="single" w:color="auto"/>
          <w:color w:val="0000FF"/>
        </w:rPr>
        <w:t>Note 15. Subsequent Events</w:t>
      </w:r>
    </w:p>
    <w:p>
      <w:pPr>
        <w:spacing w:after="0" w:line="144" w:lineRule="exact"/>
        <w:rPr>
          <w:sz w:val="20"/>
          <w:szCs w:val="20"/>
          <w:color w:val="auto"/>
        </w:rPr>
      </w:pPr>
    </w:p>
    <w:p>
      <w:pPr>
        <w:ind w:left="340"/>
        <w:spacing w:after="0"/>
        <w:tabs>
          <w:tab w:leader="none" w:pos="164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u w:val="single" w:color="auto"/>
          <w:color w:val="0000FF"/>
        </w:rPr>
        <w:t>Management’s Discussion and Analysis of Financial Condition and Results of Operations</w:t>
      </w:r>
    </w:p>
    <w:p>
      <w:pPr>
        <w:spacing w:after="0" w:line="27" w:lineRule="exact"/>
        <w:rPr>
          <w:sz w:val="20"/>
          <w:szCs w:val="20"/>
          <w:color w:val="auto"/>
        </w:rPr>
      </w:pPr>
    </w:p>
    <w:p>
      <w:pPr>
        <w:ind w:left="340"/>
        <w:spacing w:after="0"/>
        <w:tabs>
          <w:tab w:leader="none" w:pos="164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u w:val="single" w:color="auto"/>
          <w:color w:val="0000FF"/>
        </w:rPr>
        <w:t>Quantitative and Qualitative Disclosures About Market Risk</w:t>
      </w:r>
    </w:p>
    <w:p>
      <w:pPr>
        <w:spacing w:after="0" w:line="23" w:lineRule="exact"/>
        <w:rPr>
          <w:sz w:val="20"/>
          <w:szCs w:val="20"/>
          <w:color w:val="auto"/>
        </w:rPr>
      </w:pPr>
    </w:p>
    <w:p>
      <w:pPr>
        <w:ind w:left="340"/>
        <w:spacing w:after="0"/>
        <w:tabs>
          <w:tab w:leader="none" w:pos="164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u w:val="single" w:color="auto"/>
          <w:color w:val="0000FF"/>
        </w:rPr>
        <w:t>Controls and Procedures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PART II. OTHER INFORMATION</w:t>
      </w:r>
    </w:p>
    <w:p>
      <w:pPr>
        <w:spacing w:after="0" w:line="13"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r>
      <w:tr>
        <w:trPr>
          <w:trHeight w:val="21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FF"/>
            </w:tcBorders>
            <w:gridSpan w:val="2"/>
          </w:tcPr>
          <w:p>
            <w:pPr>
              <w:spacing w:after="0"/>
              <w:rPr>
                <w:sz w:val="18"/>
                <w:szCs w:val="18"/>
                <w:color w:val="auto"/>
              </w:rPr>
            </w:pPr>
          </w:p>
        </w:tc>
        <w:tc>
          <w:tcPr>
            <w:tcW w:w="3020" w:type="dxa"/>
            <w:vAlign w:val="bottom"/>
            <w:gridSpan w:val="3"/>
          </w:tcPr>
          <w:p>
            <w:pPr>
              <w:spacing w:after="0"/>
              <w:rPr>
                <w:sz w:val="18"/>
                <w:szCs w:val="18"/>
                <w:color w:val="auto"/>
              </w:rPr>
            </w:pPr>
          </w:p>
        </w:tc>
      </w:tr>
      <w:tr>
        <w:trPr>
          <w:trHeight w:val="21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r>
      <w:tr>
        <w:trPr>
          <w:trHeight w:val="209"/>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r>
      <w:tr>
        <w:trPr>
          <w:trHeight w:val="209"/>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tcPr>
          <w:p>
            <w:pPr>
              <w:spacing w:after="0"/>
              <w:rPr>
                <w:sz w:val="18"/>
                <w:szCs w:val="18"/>
                <w:color w:val="auto"/>
              </w:rPr>
            </w:pPr>
          </w:p>
        </w:tc>
        <w:tc>
          <w:tcPr>
            <w:tcW w:w="2040" w:type="dxa"/>
            <w:vAlign w:val="bottom"/>
          </w:tcPr>
          <w:p>
            <w:pPr>
              <w:spacing w:after="0"/>
              <w:rPr>
                <w:sz w:val="18"/>
                <w:szCs w:val="18"/>
                <w:color w:val="auto"/>
              </w:rPr>
            </w:pPr>
          </w:p>
        </w:tc>
      </w:tr>
      <w:tr>
        <w:trPr>
          <w:trHeight w:val="21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r>
      <w:tr>
        <w:trPr>
          <w:trHeight w:val="209"/>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3040" w:type="dxa"/>
            <w:vAlign w:val="bottom"/>
            <w:gridSpan w:val="4"/>
          </w:tcPr>
          <w:p>
            <w:pPr>
              <w:spacing w:after="0"/>
              <w:rPr>
                <w:sz w:val="18"/>
                <w:szCs w:val="18"/>
                <w:color w:val="auto"/>
              </w:rPr>
            </w:pPr>
          </w:p>
        </w:tc>
      </w:tr>
      <w:tr>
        <w:trPr>
          <w:trHeight w:val="21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w:t>
      </w:r>
    </w:p>
    <w:p>
      <w:pPr>
        <w:spacing w:after="0" w:line="1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1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15</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17</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22</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25</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27</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42</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43</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44</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50</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54</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55</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59</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60</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61</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63</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64</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83</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86</w:t>
      </w: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87</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88</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119</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119</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119</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120</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121</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122</w:t>
      </w:r>
    </w:p>
    <w:p>
      <w:pPr>
        <w:spacing w:after="0" w:line="200" w:lineRule="exact"/>
        <w:rPr>
          <w:sz w:val="20"/>
          <w:szCs w:val="20"/>
          <w:color w:val="auto"/>
        </w:rPr>
      </w:pPr>
    </w:p>
    <w:p>
      <w:pPr>
        <w:sectPr>
          <w:pgSz w:w="11900" w:h="16838" w:orient="portrait"/>
          <w:cols w:equalWidth="0" w:num="2">
            <w:col w:w="10120" w:space="720"/>
            <w:col w:w="360"/>
          </w:cols>
          <w:pgMar w:left="340" w:top="36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0" w:right="359" w:bottom="1440" w:gutter="0" w:footer="0" w:header="0"/>
          <w:type w:val="continuous"/>
        </w:sectPr>
      </w:pPr>
    </w:p>
    <w:bookmarkStart w:id="3" w:name="page4"/>
    <w:bookmarkEnd w:id="3"/>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63"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63"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Glossary of Terms and Acronyms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387350</wp:posOffset>
            </wp:positionV>
            <wp:extent cx="7140575" cy="74320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0575" cy="7432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2026 Notes: </w:t>
      </w:r>
      <w:r>
        <w:rPr>
          <w:rFonts w:ascii="Times New Roman" w:cs="Times New Roman" w:eastAsia="Times New Roman" w:hAnsi="Times New Roman"/>
          <w:sz w:val="13"/>
          <w:szCs w:val="13"/>
          <w:color w:val="auto"/>
        </w:rPr>
        <w:t>0.25% convertible senior notes due 2026</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2029 Notes: </w:t>
      </w:r>
      <w:r>
        <w:rPr>
          <w:rFonts w:ascii="Times New Roman" w:cs="Times New Roman" w:eastAsia="Times New Roman" w:hAnsi="Times New Roman"/>
          <w:sz w:val="13"/>
          <w:szCs w:val="13"/>
          <w:color w:val="auto"/>
        </w:rPr>
        <w:t>2.00% convertible senior notes due 2029</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2030 Notes: </w:t>
      </w:r>
      <w:r>
        <w:rPr>
          <w:rFonts w:ascii="Times New Roman" w:cs="Times New Roman" w:eastAsia="Times New Roman" w:hAnsi="Times New Roman"/>
          <w:sz w:val="13"/>
          <w:szCs w:val="13"/>
          <w:color w:val="auto"/>
        </w:rPr>
        <w:t>1.00% convertible senior notes due 2030</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2032 Notes: </w:t>
      </w:r>
      <w:r>
        <w:rPr>
          <w:rFonts w:ascii="Times New Roman" w:cs="Times New Roman" w:eastAsia="Times New Roman" w:hAnsi="Times New Roman"/>
          <w:sz w:val="13"/>
          <w:szCs w:val="13"/>
          <w:color w:val="auto"/>
        </w:rPr>
        <w:t>0% convertible senior notes due 2032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2026 Capped Calls: </w:t>
      </w:r>
      <w:r>
        <w:rPr>
          <w:rFonts w:ascii="Times New Roman" w:cs="Times New Roman" w:eastAsia="Times New Roman" w:hAnsi="Times New Roman"/>
          <w:sz w:val="13"/>
          <w:szCs w:val="13"/>
          <w:color w:val="auto"/>
        </w:rPr>
        <w:t>Capped call transactions entered into in connection with the 2026 Notes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2029 Capped Calls: </w:t>
      </w:r>
      <w:r>
        <w:rPr>
          <w:rFonts w:ascii="Times New Roman" w:cs="Times New Roman" w:eastAsia="Times New Roman" w:hAnsi="Times New Roman"/>
          <w:sz w:val="13"/>
          <w:szCs w:val="13"/>
          <w:color w:val="auto"/>
        </w:rPr>
        <w:t>Capped call transactions entered into in connection with the 2029 Notes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2032 Capped Calls: </w:t>
      </w:r>
      <w:r>
        <w:rPr>
          <w:rFonts w:ascii="Times New Roman" w:cs="Times New Roman" w:eastAsia="Times New Roman" w:hAnsi="Times New Roman"/>
          <w:sz w:val="13"/>
          <w:szCs w:val="13"/>
          <w:color w:val="auto"/>
        </w:rPr>
        <w:t>Capped call transactions entered into in connection with the 2032 Notes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ACH: </w:t>
      </w:r>
      <w:r>
        <w:rPr>
          <w:rFonts w:ascii="Times New Roman" w:cs="Times New Roman" w:eastAsia="Times New Roman" w:hAnsi="Times New Roman"/>
          <w:sz w:val="13"/>
          <w:szCs w:val="13"/>
          <w:color w:val="auto"/>
        </w:rPr>
        <w:t>Automated Clearing House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AI: </w:t>
      </w:r>
      <w:r>
        <w:rPr>
          <w:rFonts w:ascii="Times New Roman" w:cs="Times New Roman" w:eastAsia="Times New Roman" w:hAnsi="Times New Roman"/>
          <w:sz w:val="13"/>
          <w:szCs w:val="13"/>
          <w:color w:val="auto"/>
        </w:rPr>
        <w:t>Artificial Intelligence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ASC: </w:t>
      </w:r>
      <w:r>
        <w:rPr>
          <w:rFonts w:ascii="Times New Roman" w:cs="Times New Roman" w:eastAsia="Times New Roman" w:hAnsi="Times New Roman"/>
          <w:sz w:val="13"/>
          <w:szCs w:val="13"/>
          <w:color w:val="auto"/>
        </w:rPr>
        <w:t>Accounting Standards Codification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ASU: </w:t>
      </w:r>
      <w:r>
        <w:rPr>
          <w:rFonts w:ascii="Times New Roman" w:cs="Times New Roman" w:eastAsia="Times New Roman" w:hAnsi="Times New Roman"/>
          <w:sz w:val="13"/>
          <w:szCs w:val="13"/>
          <w:color w:val="auto"/>
        </w:rPr>
        <w:t>Accounting Standards Update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ATM Program: </w:t>
      </w:r>
      <w:r>
        <w:rPr>
          <w:rFonts w:ascii="Times New Roman" w:cs="Times New Roman" w:eastAsia="Times New Roman" w:hAnsi="Times New Roman"/>
          <w:sz w:val="13"/>
          <w:szCs w:val="13"/>
          <w:color w:val="auto"/>
        </w:rPr>
        <w:t>At-the-Market offering program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AWS: </w:t>
      </w:r>
      <w:r>
        <w:rPr>
          <w:rFonts w:ascii="Times New Roman" w:cs="Times New Roman" w:eastAsia="Times New Roman" w:hAnsi="Times New Roman"/>
          <w:sz w:val="13"/>
          <w:szCs w:val="13"/>
          <w:color w:val="auto"/>
        </w:rPr>
        <w:t>Amazon Web Services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CFPB: </w:t>
      </w:r>
      <w:r>
        <w:rPr>
          <w:rFonts w:ascii="Times New Roman" w:cs="Times New Roman" w:eastAsia="Times New Roman" w:hAnsi="Times New Roman"/>
          <w:sz w:val="13"/>
          <w:szCs w:val="13"/>
          <w:color w:val="auto"/>
        </w:rPr>
        <w:t>Consumer Financial Protection Bureau</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CODM: </w:t>
      </w:r>
      <w:r>
        <w:rPr>
          <w:rFonts w:ascii="Times New Roman" w:cs="Times New Roman" w:eastAsia="Times New Roman" w:hAnsi="Times New Roman"/>
          <w:sz w:val="13"/>
          <w:szCs w:val="13"/>
          <w:color w:val="auto"/>
        </w:rPr>
        <w:t>Chief Operating Decision Maker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DCF: </w:t>
      </w:r>
      <w:r>
        <w:rPr>
          <w:rFonts w:ascii="Times New Roman" w:cs="Times New Roman" w:eastAsia="Times New Roman" w:hAnsi="Times New Roman"/>
          <w:sz w:val="13"/>
          <w:szCs w:val="13"/>
          <w:color w:val="auto"/>
        </w:rPr>
        <w:t>Discounted Cash Flow</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ESPP: </w:t>
      </w:r>
      <w:r>
        <w:rPr>
          <w:rFonts w:ascii="Times New Roman" w:cs="Times New Roman" w:eastAsia="Times New Roman" w:hAnsi="Times New Roman"/>
          <w:sz w:val="13"/>
          <w:szCs w:val="13"/>
          <w:color w:val="auto"/>
        </w:rPr>
        <w:t>Employee Stock Purchase Plan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Exchange Act: </w:t>
      </w:r>
      <w:r>
        <w:rPr>
          <w:rFonts w:ascii="Times New Roman" w:cs="Times New Roman" w:eastAsia="Times New Roman" w:hAnsi="Times New Roman"/>
          <w:sz w:val="13"/>
          <w:szCs w:val="13"/>
          <w:color w:val="auto"/>
        </w:rPr>
        <w:t>Securities Exchange Act of 1934, as amended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FASB: </w:t>
      </w:r>
      <w:r>
        <w:rPr>
          <w:rFonts w:ascii="Times New Roman" w:cs="Times New Roman" w:eastAsia="Times New Roman" w:hAnsi="Times New Roman"/>
          <w:sz w:val="13"/>
          <w:szCs w:val="13"/>
          <w:color w:val="auto"/>
        </w:rPr>
        <w:t>Financial Accounting Standards Board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FDIC: </w:t>
      </w:r>
      <w:r>
        <w:rPr>
          <w:rFonts w:ascii="Times New Roman" w:cs="Times New Roman" w:eastAsia="Times New Roman" w:hAnsi="Times New Roman"/>
          <w:sz w:val="13"/>
          <w:szCs w:val="13"/>
          <w:color w:val="auto"/>
        </w:rPr>
        <w:t>Federal Deposit Insurance Corporation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FTC: </w:t>
      </w:r>
      <w:r>
        <w:rPr>
          <w:rFonts w:ascii="Times New Roman" w:cs="Times New Roman" w:eastAsia="Times New Roman" w:hAnsi="Times New Roman"/>
          <w:sz w:val="13"/>
          <w:szCs w:val="13"/>
          <w:color w:val="auto"/>
        </w:rPr>
        <w:t>Federal Trade Commission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GAAP: </w:t>
      </w:r>
      <w:r>
        <w:rPr>
          <w:rFonts w:ascii="Times New Roman" w:cs="Times New Roman" w:eastAsia="Times New Roman" w:hAnsi="Times New Roman"/>
          <w:sz w:val="13"/>
          <w:szCs w:val="13"/>
          <w:color w:val="auto"/>
        </w:rPr>
        <w:t>Generally Accepted Accounting Principles in the United States of America</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HELOC: </w:t>
      </w:r>
      <w:r>
        <w:rPr>
          <w:rFonts w:ascii="Times New Roman" w:cs="Times New Roman" w:eastAsia="Times New Roman" w:hAnsi="Times New Roman"/>
          <w:sz w:val="13"/>
          <w:szCs w:val="13"/>
          <w:color w:val="auto"/>
        </w:rPr>
        <w:t>Home Equity Line of Credit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ISO: </w:t>
      </w:r>
      <w:r>
        <w:rPr>
          <w:rFonts w:ascii="Times New Roman" w:cs="Times New Roman" w:eastAsia="Times New Roman" w:hAnsi="Times New Roman"/>
          <w:sz w:val="13"/>
          <w:szCs w:val="13"/>
          <w:color w:val="auto"/>
        </w:rPr>
        <w:t>Incentive Stock Option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NOL: </w:t>
      </w:r>
      <w:r>
        <w:rPr>
          <w:rFonts w:ascii="Times New Roman" w:cs="Times New Roman" w:eastAsia="Times New Roman" w:hAnsi="Times New Roman"/>
          <w:sz w:val="13"/>
          <w:szCs w:val="13"/>
          <w:color w:val="auto"/>
        </w:rPr>
        <w:t>Net Operating Loss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NSO: </w:t>
      </w:r>
      <w:r>
        <w:rPr>
          <w:rFonts w:ascii="Times New Roman" w:cs="Times New Roman" w:eastAsia="Times New Roman" w:hAnsi="Times New Roman"/>
          <w:sz w:val="13"/>
          <w:szCs w:val="13"/>
          <w:color w:val="auto"/>
        </w:rPr>
        <w:t>Non-statutory Stock Option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OCC: </w:t>
      </w:r>
      <w:r>
        <w:rPr>
          <w:rFonts w:ascii="Times New Roman" w:cs="Times New Roman" w:eastAsia="Times New Roman" w:hAnsi="Times New Roman"/>
          <w:sz w:val="13"/>
          <w:szCs w:val="13"/>
          <w:color w:val="auto"/>
        </w:rPr>
        <w:t>Office of the Comptroller of the Currency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PRSU: </w:t>
      </w:r>
      <w:r>
        <w:rPr>
          <w:rFonts w:ascii="Times New Roman" w:cs="Times New Roman" w:eastAsia="Times New Roman" w:hAnsi="Times New Roman"/>
          <w:sz w:val="13"/>
          <w:szCs w:val="13"/>
          <w:color w:val="auto"/>
        </w:rPr>
        <w:t>Performance-based Restricted Stock Unit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R&amp;D: </w:t>
      </w:r>
      <w:r>
        <w:rPr>
          <w:rFonts w:ascii="Times New Roman" w:cs="Times New Roman" w:eastAsia="Times New Roman" w:hAnsi="Times New Roman"/>
          <w:sz w:val="13"/>
          <w:szCs w:val="13"/>
          <w:color w:val="auto"/>
        </w:rPr>
        <w:t>Research and Development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R&amp;D Loans: </w:t>
      </w:r>
      <w:r>
        <w:rPr>
          <w:rFonts w:ascii="Times New Roman" w:cs="Times New Roman" w:eastAsia="Times New Roman" w:hAnsi="Times New Roman"/>
          <w:sz w:val="13"/>
          <w:szCs w:val="13"/>
          <w:color w:val="auto"/>
        </w:rPr>
        <w:t>Loans held for research and development purposes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RSU: </w:t>
      </w:r>
      <w:r>
        <w:rPr>
          <w:rFonts w:ascii="Times New Roman" w:cs="Times New Roman" w:eastAsia="Times New Roman" w:hAnsi="Times New Roman"/>
          <w:sz w:val="13"/>
          <w:szCs w:val="13"/>
          <w:color w:val="auto"/>
        </w:rPr>
        <w:t>Restricted Stock Unit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SEC: </w:t>
      </w:r>
      <w:r>
        <w:rPr>
          <w:rFonts w:ascii="Times New Roman" w:cs="Times New Roman" w:eastAsia="Times New Roman" w:hAnsi="Times New Roman"/>
          <w:sz w:val="13"/>
          <w:szCs w:val="13"/>
          <w:color w:val="auto"/>
        </w:rPr>
        <w:t>United States Securities and Exchange Commission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Securities Act: </w:t>
      </w:r>
      <w:r>
        <w:rPr>
          <w:rFonts w:ascii="Times New Roman" w:cs="Times New Roman" w:eastAsia="Times New Roman" w:hAnsi="Times New Roman"/>
          <w:sz w:val="13"/>
          <w:szCs w:val="13"/>
          <w:color w:val="auto"/>
        </w:rPr>
        <w:t>Securities Act of 1933, as amended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SOFR: </w:t>
      </w:r>
      <w:r>
        <w:rPr>
          <w:rFonts w:ascii="Times New Roman" w:cs="Times New Roman" w:eastAsia="Times New Roman" w:hAnsi="Times New Roman"/>
          <w:sz w:val="13"/>
          <w:szCs w:val="13"/>
          <w:color w:val="auto"/>
        </w:rPr>
        <w:t>Secured Overnight Financing Rate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SPE: </w:t>
      </w:r>
      <w:r>
        <w:rPr>
          <w:rFonts w:ascii="Times New Roman" w:cs="Times New Roman" w:eastAsia="Times New Roman" w:hAnsi="Times New Roman"/>
          <w:sz w:val="13"/>
          <w:szCs w:val="13"/>
          <w:color w:val="auto"/>
        </w:rPr>
        <w:t>Special Purpose Entity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UDAAP: </w:t>
      </w:r>
      <w:r>
        <w:rPr>
          <w:rFonts w:ascii="Times New Roman" w:cs="Times New Roman" w:eastAsia="Times New Roman" w:hAnsi="Times New Roman"/>
          <w:sz w:val="13"/>
          <w:szCs w:val="13"/>
          <w:color w:val="auto"/>
        </w:rPr>
        <w:t>Unfair, Deceptive, or Abusive Acts or Practices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UMI: </w:t>
      </w:r>
      <w:r>
        <w:rPr>
          <w:rFonts w:ascii="Times New Roman" w:cs="Times New Roman" w:eastAsia="Times New Roman" w:hAnsi="Times New Roman"/>
          <w:sz w:val="13"/>
          <w:szCs w:val="13"/>
          <w:color w:val="auto"/>
        </w:rPr>
        <w:t>Upstart Macro Index</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VIE: </w:t>
      </w:r>
      <w:r>
        <w:rPr>
          <w:rFonts w:ascii="Times New Roman" w:cs="Times New Roman" w:eastAsia="Times New Roman" w:hAnsi="Times New Roman"/>
          <w:sz w:val="13"/>
          <w:szCs w:val="13"/>
          <w:color w:val="auto"/>
        </w:rPr>
        <w:t>Variable Interest Entity</w:t>
      </w:r>
    </w:p>
    <w:p>
      <w:pPr>
        <w:sectPr>
          <w:pgSz w:w="11900" w:h="16838" w:orient="portrait"/>
          <w:cols w:equalWidth="0" w:num="1">
            <w:col w:w="10099"/>
          </w:cols>
          <w:pgMar w:left="36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17" w:right="1440" w:bottom="1440" w:gutter="0" w:footer="0" w:header="0"/>
          <w:type w:val="continuous"/>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and Section 21E of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“seek,” “could,” “would,” “intend,” “target,” “aim,” “project,” “contemplate,” “believe,” “estimate,” “predict,”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20" w:lineRule="exact"/>
        <w:rPr>
          <w:sz w:val="20"/>
          <w:szCs w:val="20"/>
          <w:color w:val="auto"/>
        </w:rPr>
      </w:pPr>
    </w:p>
    <w:p>
      <w:pPr>
        <w:ind w:left="660" w:right="4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 operating expenses, and our ability to determine reserves and achieve and sustain profitability;</w:t>
      </w:r>
    </w:p>
    <w:p>
      <w:pPr>
        <w:spacing w:after="0" w:line="94"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the effectiveness and predictiveness of our AI models and our expectations that improvements in our AI models can lead to higher approval rates and lower interest rates;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the volume of loans facilitated through our AI lending marketplace;</w:t>
      </w:r>
    </w:p>
    <w:p>
      <w:pPr>
        <w:spacing w:after="0" w:line="157" w:lineRule="exact"/>
        <w:rPr>
          <w:rFonts w:ascii="Times New Roman" w:cs="Times New Roman" w:eastAsia="Times New Roman" w:hAnsi="Times New Roman"/>
          <w:sz w:val="18"/>
          <w:szCs w:val="18"/>
          <w:color w:val="auto"/>
        </w:rPr>
      </w:pPr>
    </w:p>
    <w:p>
      <w:pPr>
        <w:jc w:val="both"/>
        <w:ind w:left="660" w:right="4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maintain a diversified and resilient loan funding strategy, including lending partnerships, whole loan sales, committed capital and other co-investment arrangements, warehouse credit and risk retention financing facilities, and securitization transactions;</w:t>
      </w:r>
    </w:p>
    <w:p>
      <w:pPr>
        <w:spacing w:after="0" w:line="108" w:lineRule="exact"/>
        <w:rPr>
          <w:rFonts w:ascii="Times New Roman" w:cs="Times New Roman" w:eastAsia="Times New Roman" w:hAnsi="Times New Roman"/>
          <w:sz w:val="18"/>
          <w:szCs w:val="18"/>
          <w:color w:val="auto"/>
        </w:rPr>
      </w:pPr>
    </w:p>
    <w:p>
      <w:pPr>
        <w:ind w:left="660" w:right="8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accuracy of, reliability of, and our accessibility to, loan applicant and borrower data and other third-party data;</w:t>
      </w:r>
    </w:p>
    <w:p>
      <w:pPr>
        <w:spacing w:after="0" w:line="80"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allocation plans, including expectations regarding funding loans through our balance sheet and allocations of cash and timing for any share repurchases and other investments;</w:t>
      </w:r>
    </w:p>
    <w:p>
      <w:pPr>
        <w:spacing w:after="0" w:line="9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competitive interest rates offered to borrowers on our platform, while enabling our lending partners and institutional investors to achieve an adequate return over their cost of funding;</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maintain, protect, and promote our brand and protect our reputation from negative publicity;</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the effectiveness of our marketing strategies, including our direct consumer marketing initiatives;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macroeconomic events, including inflation and related changes in interest rates and monetary policy;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credit performance of Upstart-powered loans;</w:t>
      </w:r>
    </w:p>
    <w:p>
      <w:pPr>
        <w:spacing w:after="0" w:line="14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application for a national bank charter, including its outcome, potential benefits, and potential delays or conditions;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disruption in the banking industry, and any associated effects on our business and industry;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management of future growth, including expanding the number of potential borrowers;</w:t>
      </w:r>
    </w:p>
    <w:p>
      <w:pPr>
        <w:spacing w:after="0" w:line="14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adjust our proprietary AI models, products, and services, and provide up-to-date information to our lending partners, in a timely manner in response to changing macroeconomic conditions and fluctuations in the credit market;</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applicable local, state, and federal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spacing w:after="0" w:line="126" w:lineRule="exact"/>
        <w:rPr>
          <w:sz w:val="20"/>
          <w:szCs w:val="20"/>
          <w:color w:val="auto"/>
        </w:rPr>
      </w:pPr>
    </w:p>
    <w:p>
      <w:pPr>
        <w:ind w:left="660" w:right="4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successfully adapt to complex and evolving regulatory environments, including regulation of AI and machine learning technology;</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regulatory support of our approach to AI-based lending;</w:t>
      </w:r>
    </w:p>
    <w:p>
      <w:pPr>
        <w:spacing w:after="0" w:line="15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success of our strategic investments and acquisitions, including the integration of acquired operations, products, technology, internal controls, and personnel;</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new and evolving markets and our ability to enter into new markets and introduce new products and services;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relationships with third parties;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against increasingly sophisticated fraudulent borrowing and online theft;</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loans and pursue collection of delinquent and defaulted loans;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compete with companies that are currently in, or may in the future enter, the markets in which we operate;</w:t>
      </w:r>
    </w:p>
    <w:p>
      <w:pPr>
        <w:spacing w:after="0" w:line="15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secure and maintain the confidentiality of the information received, accessed, stored, provided, and used across our systems;</w:t>
      </w:r>
    </w:p>
    <w:p>
      <w:pPr>
        <w:spacing w:after="0" w:line="9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obtain and maintain corporate funding and liquidity to support continued growth and for general corporate purposes, which includes our ability to manage existing and future indebtedness;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integrate, and retain qualified employees;</w:t>
      </w:r>
    </w:p>
    <w:p>
      <w:pPr>
        <w:spacing w:after="0" w:line="15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judgments, and expectations regarding key operating metrics, disclosure controls, and internal control over financial reporting and operations;</w:t>
      </w:r>
    </w:p>
    <w:p>
      <w:pPr>
        <w:spacing w:after="0" w:line="9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and expand the capabilities of our operations teams, outsourcing relationships, and other business operations;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security incidents and maintain our technology systems;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outstanding litigation and regulatory investigations.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report.</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Forward-looking statements should not be relied upon as predictions of future events. We have based the forward-looking statements contained in this report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report. Readers are urged to carefully review and consider the various disclosures made in this report and in other documents we file from time to time with the SEC that disclose risks and uncertainties that may affect our business.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Neither we nor any other person assumes responsibility for the accuracy and completeness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 Undue reliance should not be placed on our forward-looking statements as we may not actually achieve the plans, intentions, or expectations disclosed in our forward-looking statements. Our forward-looking statements do not reflect the potential impact of any future acquisitions, mergers, dispositions, joint ventures, or investments we may make.</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of the terms the “Company,” “we,” “our,” “us,” and similar terms used herein refer collectively to Upstart Holdings, Inc., a Delaware corporation, and its consolidated subsidiaries, unless otherwise stated.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website is located at www.upstart.com and our investor relations website at ir.upstart.com. Copies of our Annual Reports on Form 10-K, Quarterly Reports on Form 10-Q, Current Reports on Form 8-K and amendments to these reports filed or furnished pursuant to Section 13(a) or 15(d) of the Exchange Act, are available free of charge on our investor relations website as soon as reasonably practicable after they are electronically filed with, or furnished to, the SEC. The SEC also maintains a website that contains our SEC filings at www.sec.gov. The content of our websites and information that can be accessed through our websites is not incorporated by reference into this Quarterly Report on Form 10-Q or in any other report or document we file with the SEC, and any references to our websites are intended to be inactive textual references only.</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announce material information to the public about us, our products and services and other matters through a variety of means, including SEC filings, press releases, public conference calls, webcasts, the investor relations (ir.upstart.com) and newsroom (upstart.com/news) sections of our website, our X (formerly known as Twitter) account @Upstart, and Paul Gu’s X account @paulxgu, in order to achieve broad, non-exclusionary distribution of information to the public and for complying with our disclosure obligations under Regulation FD.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280" w:type="dxa"/>
            <w:vAlign w:val="bottom"/>
          </w:tcPr>
          <w:p>
            <w:pPr>
              <w:spacing w:after="0"/>
              <w:rPr>
                <w:sz w:val="24"/>
                <w:szCs w:val="24"/>
                <w:color w:val="auto"/>
              </w:rPr>
            </w:pPr>
          </w:p>
        </w:tc>
        <w:tc>
          <w:tcPr>
            <w:tcW w:w="658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rPr>
              <w:t>Upstart Holdings, Inc.</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6580" w:type="dxa"/>
            <w:vAlign w:val="bottom"/>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658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99"/>
              </w:rPr>
              <w:t>(In thousands, except share and per share data)</w:t>
            </w: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658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1280" w:type="dxa"/>
            <w:vAlign w:val="bottom"/>
          </w:tcPr>
          <w:p>
            <w:pPr>
              <w:spacing w:after="0"/>
              <w:rPr>
                <w:sz w:val="21"/>
                <w:szCs w:val="21"/>
                <w:color w:val="auto"/>
              </w:rPr>
            </w:pPr>
          </w:p>
        </w:tc>
        <w:tc>
          <w:tcPr>
            <w:tcW w:w="6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1"/>
                <w:szCs w:val="21"/>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1280" w:type="dxa"/>
            <w:vAlign w:val="bottom"/>
            <w:tcBorders>
              <w:bottom w:val="single" w:sz="8" w:color="CCEEFF"/>
            </w:tcBorders>
          </w:tcPr>
          <w:p>
            <w:pPr>
              <w:spacing w:after="0"/>
              <w:rPr>
                <w:sz w:val="20"/>
                <w:szCs w:val="20"/>
                <w:color w:val="auto"/>
              </w:rPr>
            </w:pPr>
          </w:p>
        </w:tc>
        <w:tc>
          <w:tcPr>
            <w:tcW w:w="65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209"/>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461,484</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666,984</w:t>
            </w:r>
          </w:p>
        </w:tc>
        <w:tc>
          <w:tcPr>
            <w:tcW w:w="0" w:type="dxa"/>
            <w:vAlign w:val="bottom"/>
          </w:tcPr>
          <w:p>
            <w:pPr>
              <w:spacing w:after="0"/>
              <w:rPr>
                <w:sz w:val="1"/>
                <w:szCs w:val="1"/>
                <w:color w:val="auto"/>
              </w:rPr>
            </w:pPr>
          </w:p>
        </w:tc>
      </w:tr>
      <w:tr>
        <w:trPr>
          <w:trHeight w:val="229"/>
        </w:trPr>
        <w:tc>
          <w:tcPr>
            <w:tcW w:w="7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Loans (at fair value)</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984,552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940,747</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51,127</w:t>
            </w:r>
          </w:p>
        </w:tc>
        <w:tc>
          <w:tcPr>
            <w:tcW w:w="0" w:type="dxa"/>
            <w:vAlign w:val="bottom"/>
          </w:tcPr>
          <w:p>
            <w:pPr>
              <w:spacing w:after="0"/>
              <w:rPr>
                <w:sz w:val="1"/>
                <w:szCs w:val="1"/>
                <w:color w:val="auto"/>
              </w:rPr>
            </w:pPr>
          </w:p>
        </w:tc>
      </w:tr>
      <w:tr>
        <w:trPr>
          <w:trHeight w:val="22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56,921</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assets (at fair value)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613,652</w:t>
            </w:r>
          </w:p>
        </w:tc>
        <w:tc>
          <w:tcPr>
            <w:tcW w:w="0" w:type="dxa"/>
            <w:vAlign w:val="bottom"/>
          </w:tcPr>
          <w:p>
            <w:pPr>
              <w:spacing w:after="0"/>
              <w:rPr>
                <w:sz w:val="1"/>
                <w:szCs w:val="1"/>
                <w:color w:val="auto"/>
              </w:rPr>
            </w:pPr>
          </w:p>
        </w:tc>
      </w:tr>
      <w:tr>
        <w:trPr>
          <w:trHeight w:val="23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Line of credit receivable (at fair value)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110,110</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and residual certificates (at fair value)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144,613</w:t>
            </w:r>
          </w:p>
        </w:tc>
        <w:tc>
          <w:tcPr>
            <w:tcW w:w="0" w:type="dxa"/>
            <w:vAlign w:val="bottom"/>
          </w:tcPr>
          <w:p>
            <w:pPr>
              <w:spacing w:after="0"/>
              <w:rPr>
                <w:sz w:val="1"/>
                <w:szCs w:val="1"/>
                <w:color w:val="auto"/>
              </w:rPr>
            </w:pPr>
          </w:p>
        </w:tc>
      </w:tr>
      <w:tr>
        <w:trPr>
          <w:trHeight w:val="22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Non-marketable equity securities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41,000</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67,062</w:t>
            </w:r>
          </w:p>
        </w:tc>
        <w:tc>
          <w:tcPr>
            <w:tcW w:w="0" w:type="dxa"/>
            <w:vAlign w:val="bottom"/>
          </w:tcPr>
          <w:p>
            <w:pPr>
              <w:spacing w:after="0"/>
              <w:rPr>
                <w:sz w:val="1"/>
                <w:szCs w:val="1"/>
                <w:color w:val="auto"/>
              </w:rPr>
            </w:pPr>
          </w:p>
        </w:tc>
      </w:tr>
      <w:tr>
        <w:trPr>
          <w:trHeight w:val="175"/>
        </w:trPr>
        <w:tc>
          <w:tcPr>
            <w:tcW w:w="7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assets (includes $41,166 and $68,051 at fair value as of December 31, 2025 and September 30,</w:t>
            </w: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2026, respectively)</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157,971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185,342</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gridSpan w:val="2"/>
            <w:shd w:val="clear" w:color="auto" w:fill="CCEEFF"/>
          </w:tcPr>
          <w:p>
            <w:pPr>
              <w:ind w:left="460"/>
              <w:spacing w:after="0" w:line="223" w:lineRule="exact"/>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2,974,805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3,339,042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Payable to investors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107,659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166,729</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Borrowings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1,829,145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2,027,322</w:t>
            </w:r>
          </w:p>
        </w:tc>
        <w:tc>
          <w:tcPr>
            <w:tcW w:w="0" w:type="dxa"/>
            <w:vAlign w:val="bottom"/>
          </w:tcPr>
          <w:p>
            <w:pPr>
              <w:spacing w:after="0"/>
              <w:rPr>
                <w:sz w:val="1"/>
                <w:szCs w:val="1"/>
                <w:color w:val="auto"/>
              </w:rPr>
            </w:pPr>
          </w:p>
        </w:tc>
      </w:tr>
      <w:tr>
        <w:trPr>
          <w:trHeight w:val="230"/>
        </w:trPr>
        <w:tc>
          <w:tcPr>
            <w:tcW w:w="7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Payable to securitization note holders (at fair value)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25,505</w:t>
            </w:r>
          </w:p>
        </w:tc>
        <w:tc>
          <w:tcPr>
            <w:tcW w:w="0" w:type="dxa"/>
            <w:vAlign w:val="bottom"/>
          </w:tcPr>
          <w:p>
            <w:pPr>
              <w:spacing w:after="0"/>
              <w:rPr>
                <w:sz w:val="1"/>
                <w:szCs w:val="1"/>
                <w:color w:val="auto"/>
              </w:rPr>
            </w:pPr>
          </w:p>
        </w:tc>
      </w:tr>
      <w:tr>
        <w:trPr>
          <w:trHeight w:val="175"/>
        </w:trPr>
        <w:tc>
          <w:tcPr>
            <w:tcW w:w="7860" w:type="dxa"/>
            <w:vAlign w:val="bottom"/>
            <w:gridSpan w:val="2"/>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Accrued expenses and other liabilities (includes $15,219 and $34,506 at fair value as of December 31,</w:t>
            </w: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2025 and September 30, 2026, respectively)</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171,495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171,075</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60,991</w:t>
            </w: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ind w:left="460"/>
              <w:spacing w:after="0" w:line="223" w:lineRule="exact"/>
              <w:rPr>
                <w:sz w:val="20"/>
                <w:szCs w:val="20"/>
                <w:color w:val="auto"/>
              </w:rPr>
            </w:pPr>
            <w:r>
              <w:rPr>
                <w:rFonts w:ascii="Times New Roman" w:cs="Times New Roman" w:eastAsia="Times New Roman" w:hAnsi="Times New Roman"/>
                <w:sz w:val="18"/>
                <w:szCs w:val="18"/>
                <w:color w:val="auto"/>
              </w:rPr>
              <w:t>Total liabilities</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2,175,990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2,451,622</w:t>
            </w:r>
          </w:p>
        </w:tc>
        <w:tc>
          <w:tcPr>
            <w:tcW w:w="0" w:type="dxa"/>
            <w:vAlign w:val="bottom"/>
          </w:tcPr>
          <w:p>
            <w:pPr>
              <w:spacing w:after="0"/>
              <w:rPr>
                <w:sz w:val="1"/>
                <w:szCs w:val="1"/>
                <w:color w:val="auto"/>
              </w:rPr>
            </w:pPr>
          </w:p>
        </w:tc>
      </w:tr>
      <w:tr>
        <w:trPr>
          <w:trHeight w:val="21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$0.0001 par value; 700,000,000 shares authorized; 98,033,361 and 98,906,930 shares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issued and outstanding as of December 31, 2025 and September 30, 2026, respectively</w:t>
            </w:r>
          </w:p>
        </w:tc>
        <w:tc>
          <w:tcPr>
            <w:tcW w:w="2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1,156,361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1,198,495</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(357,556)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(311,085)</w:t>
            </w: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798,815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887,420</w:t>
            </w:r>
          </w:p>
        </w:tc>
        <w:tc>
          <w:tcPr>
            <w:tcW w:w="0" w:type="dxa"/>
            <w:vAlign w:val="bottom"/>
          </w:tcPr>
          <w:p>
            <w:pPr>
              <w:spacing w:after="0"/>
              <w:rPr>
                <w:sz w:val="1"/>
                <w:szCs w:val="1"/>
                <w:color w:val="auto"/>
              </w:rPr>
            </w:pPr>
          </w:p>
        </w:tc>
      </w:tr>
      <w:tr>
        <w:trPr>
          <w:trHeight w:val="223"/>
        </w:trPr>
        <w:tc>
          <w:tcPr>
            <w:tcW w:w="78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2,974,805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3,339,042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1" w:lineRule="exact"/>
        <w:rPr>
          <w:sz w:val="20"/>
          <w:szCs w:val="20"/>
          <w:color w:val="auto"/>
        </w:rPr>
      </w:pPr>
    </w:p>
    <w:p>
      <w:pPr>
        <w:ind w:left="500" w:right="20" w:hanging="492"/>
        <w:spacing w:after="0" w:line="249" w:lineRule="auto"/>
        <w:tabs>
          <w:tab w:leader="none" w:pos="49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Includes $53.8 million and $28.9 million of loans, at fair value, contributed as collateral for the consolidated securitization as of December 31, 2025 and September 30, 2026, respectively. Refer to </w:t>
      </w:r>
      <w:r>
        <w:rPr>
          <w:rFonts w:ascii="Times New Roman" w:cs="Times New Roman" w:eastAsia="Times New Roman" w:hAnsi="Times New Roman"/>
          <w:sz w:val="14"/>
          <w:szCs w:val="14"/>
          <w:i w:val="1"/>
          <w:iCs w:val="1"/>
          <w:color w:val="auto"/>
        </w:rPr>
        <w:t>“Note 5. Fair Value Measurement”</w:t>
      </w:r>
      <w:r>
        <w:rPr>
          <w:rFonts w:ascii="Times New Roman" w:cs="Times New Roman" w:eastAsia="Times New Roman" w:hAnsi="Times New Roman"/>
          <w:sz w:val="14"/>
          <w:szCs w:val="14"/>
          <w:color w:val="auto"/>
        </w:rPr>
        <w:t xml:space="preserve"> for details.</w:t>
      </w:r>
    </w:p>
    <w:p>
      <w:pPr>
        <w:jc w:val="both"/>
        <w:ind w:left="500" w:hanging="492"/>
        <w:spacing w:after="0" w:line="272" w:lineRule="auto"/>
        <w:tabs>
          <w:tab w:leader="none" w:pos="49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presents information on assets and liabilities related to VIEs that are consolidated by Upstart Holdings, Inc. at December 31, 2025 and September 30, 2026, respectively. The liabilities of each VIE can only be settled using the assets of the corresponding VIE and creditors of these entities do not have recourse to the general credit of Upstart Holdings, Inc. The assets and liabilities in the table below exclude intercompany balances that eliminate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(Continued)</w:t>
      </w:r>
    </w:p>
    <w:p>
      <w:pPr>
        <w:spacing w:after="0" w:line="6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9"/>
                <w:szCs w:val="19"/>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0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76,878</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(at fair value)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819,344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760,061</w:t>
            </w:r>
          </w:p>
        </w:tc>
      </w:tr>
      <w:tr>
        <w:trPr>
          <w:trHeight w:val="176"/>
        </w:trPr>
        <w:tc>
          <w:tcPr>
            <w:tcW w:w="7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assets (includes $225 and $78 at fair value as of December 31, 2025 and September 30, 2026,</w:t>
            </w: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6,622</w:t>
            </w:r>
          </w:p>
        </w:tc>
      </w:tr>
      <w:tr>
        <w:trPr>
          <w:trHeight w:val="223"/>
        </w:trPr>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915,955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845,660</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3"/>
        </w:trPr>
        <w:tc>
          <w:tcPr>
            <w:tcW w:w="7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investors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327,604</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securitization note holders (at fair value)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25,505</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8,609</w:t>
            </w:r>
          </w:p>
        </w:tc>
      </w:tr>
      <w:tr>
        <w:trPr>
          <w:trHeight w:val="223"/>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361,718</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748,511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483,942</w:t>
            </w:r>
          </w:p>
        </w:tc>
      </w:tr>
      <w:tr>
        <w:trPr>
          <w:trHeight w:val="21"/>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4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17"/>
                <w:szCs w:val="17"/>
                <w:color w:val="auto"/>
              </w:rPr>
            </w:pPr>
          </w:p>
        </w:tc>
        <w:tc>
          <w:tcPr>
            <w:tcW w:w="306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4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Borders>
              <w:bottom w:val="single" w:sz="8" w:color="auto"/>
            </w:tcBorders>
          </w:tcPr>
          <w:p>
            <w:pPr>
              <w:spacing w:after="0"/>
              <w:rPr>
                <w:sz w:val="20"/>
                <w:szCs w:val="20"/>
                <w:color w:val="auto"/>
              </w:rPr>
            </w:pPr>
          </w:p>
        </w:tc>
      </w:tr>
      <w:tr>
        <w:trPr>
          <w:trHeight w:val="225"/>
        </w:trPr>
        <w:tc>
          <w:tcPr>
            <w:tcW w:w="42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1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fees, net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258,539</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364,030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684,791</w:t>
            </w:r>
          </w:p>
        </w:tc>
        <w:tc>
          <w:tcPr>
            <w:tcW w:w="8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989,112</w:t>
            </w:r>
          </w:p>
        </w:tc>
      </w:tr>
      <w:tr>
        <w:trPr>
          <w:trHeight w:val="176"/>
        </w:trPr>
        <w:tc>
          <w:tcPr>
            <w:tcW w:w="42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Interest income, interest expense, and fair value</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net:</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9"/>
        </w:trPr>
        <w:tc>
          <w:tcPr>
            <w:tcW w:w="4280" w:type="dxa"/>
            <w:vAlign w:val="bottom"/>
          </w:tcPr>
          <w:p>
            <w:pPr>
              <w:ind w:left="560"/>
              <w:spacing w:after="0" w:line="230" w:lineRule="exact"/>
              <w:rPr>
                <w:sz w:val="20"/>
                <w:szCs w:val="20"/>
                <w:color w:val="auto"/>
              </w:rPr>
            </w:pPr>
            <w:r>
              <w:rPr>
                <w:rFonts w:ascii="Times New Roman" w:cs="Times New Roman" w:eastAsia="Times New Roman" w:hAnsi="Times New Roman"/>
                <w:sz w:val="18"/>
                <w:szCs w:val="18"/>
                <w:color w:val="auto"/>
              </w:rPr>
              <w:t>Interest income</w:t>
            </w:r>
            <w:r>
              <w:rPr>
                <w:rFonts w:ascii="Times New Roman" w:cs="Times New Roman" w:eastAsia="Times New Roman" w:hAnsi="Times New Roman"/>
                <w:sz w:val="23"/>
                <w:szCs w:val="23"/>
                <w:color w:val="auto"/>
                <w:vertAlign w:val="superscript"/>
              </w:rPr>
              <w:t>(1)(2)</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143,394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169,673</w:t>
            </w:r>
          </w:p>
        </w:tc>
      </w:tr>
      <w:tr>
        <w:trPr>
          <w:trHeight w:val="230"/>
        </w:trPr>
        <w:tc>
          <w:tcPr>
            <w:tcW w:w="4280" w:type="dxa"/>
            <w:vAlign w:val="bottom"/>
            <w:shd w:val="clear" w:color="auto" w:fill="CCEEFF"/>
          </w:tcPr>
          <w:p>
            <w:pPr>
              <w:ind w:left="560"/>
              <w:spacing w:after="0" w:line="230"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(1)(2)</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(35,780)</w:t>
            </w:r>
          </w:p>
        </w:tc>
      </w:tr>
      <w:tr>
        <w:trPr>
          <w:trHeight w:val="229"/>
        </w:trPr>
        <w:tc>
          <w:tcPr>
            <w:tcW w:w="4280" w:type="dxa"/>
            <w:vAlign w:val="bottom"/>
            <w:tcBorders>
              <w:bottom w:val="single" w:sz="8" w:color="CCEEFF"/>
            </w:tcBorders>
          </w:tcPr>
          <w:p>
            <w:pPr>
              <w:ind w:left="560"/>
              <w:spacing w:after="0" w:line="230" w:lineRule="exact"/>
              <w:rPr>
                <w:sz w:val="20"/>
                <w:szCs w:val="20"/>
                <w:color w:val="auto"/>
              </w:rPr>
            </w:pPr>
            <w:r>
              <w:rPr>
                <w:rFonts w:ascii="Times New Roman" w:cs="Times New Roman" w:eastAsia="Times New Roman" w:hAnsi="Times New Roman"/>
                <w:sz w:val="18"/>
                <w:szCs w:val="18"/>
                <w:color w:val="auto"/>
              </w:rPr>
              <w:t>Fair value and other adjustments, net</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(56,832)</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(79,561)</w:t>
            </w:r>
          </w:p>
        </w:tc>
      </w:tr>
      <w:tr>
        <w:trPr>
          <w:trHeight w:val="156"/>
        </w:trPr>
        <w:tc>
          <w:tcPr>
            <w:tcW w:w="4280" w:type="dxa"/>
            <w:vAlign w:val="bottom"/>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Total interest income, interest expense, and fair</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243"/>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value adjustments, net</w:t>
            </w: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18,566</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6,492</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62,976</w:t>
            </w:r>
          </w:p>
        </w:tc>
        <w:tc>
          <w:tcPr>
            <w:tcW w:w="8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54,332</w:t>
            </w:r>
          </w:p>
        </w:tc>
      </w:tr>
      <w:tr>
        <w:trPr>
          <w:trHeight w:val="22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277,105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747,767</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1,043,444</w:t>
            </w:r>
          </w:p>
        </w:tc>
      </w:tr>
      <w:tr>
        <w:trPr>
          <w:trHeight w:val="20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78,844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210,919</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321,047</w:t>
            </w:r>
          </w:p>
        </w:tc>
      </w:tr>
      <w:tr>
        <w:trPr>
          <w:trHeight w:val="229"/>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operations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136,537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179,753</w:t>
            </w:r>
          </w:p>
        </w:tc>
      </w:tr>
      <w:tr>
        <w:trPr>
          <w:trHeight w:val="229"/>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190,689</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266,624</w:t>
            </w:r>
          </w:p>
        </w:tc>
      </w:tr>
      <w:tr>
        <w:trPr>
          <w:trHeight w:val="230"/>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185,910</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232,900</w:t>
            </w:r>
          </w:p>
        </w:tc>
      </w:tr>
      <w:tr>
        <w:trPr>
          <w:trHeight w:val="22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253,439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724,055</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1,000,324</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43,120</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3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31,929</w:t>
            </w: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37,243</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35,167</w:t>
            </w:r>
          </w:p>
        </w:tc>
        <w:tc>
          <w:tcPr>
            <w:tcW w:w="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47,834</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r>
      <w:tr>
        <w:trPr>
          <w:trHeight w:val="196"/>
        </w:trPr>
        <w:tc>
          <w:tcPr>
            <w:tcW w:w="4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31,805</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3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36,578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34,965</w:t>
            </w:r>
          </w:p>
        </w:tc>
        <w:tc>
          <w:tcPr>
            <w:tcW w:w="80" w:type="dxa"/>
            <w:vAlign w:val="bottom"/>
          </w:tcPr>
          <w:p>
            <w:pPr>
              <w:spacing w:after="0"/>
              <w:rPr>
                <w:sz w:val="17"/>
                <w:szCs w:val="17"/>
                <w:color w:val="auto"/>
              </w:rPr>
            </w:pPr>
          </w:p>
        </w:tc>
        <w:tc>
          <w:tcPr>
            <w:tcW w:w="580" w:type="dxa"/>
            <w:vAlign w:val="bottom"/>
            <w:tcBorders>
              <w:bottom w:val="single" w:sz="8" w:color="auto"/>
            </w:tcBorders>
          </w:tcPr>
          <w:p>
            <w:pPr>
              <w:jc w:val="right"/>
              <w:ind w:right="3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46,471</w:t>
            </w: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4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basic</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8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diluted</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r>
      <w:tr>
        <w:trPr>
          <w:trHeight w:val="175"/>
        </w:trPr>
        <w:tc>
          <w:tcPr>
            <w:tcW w:w="4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number of shares outstanding used in</w:t>
            </w: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computing net income per share, basic</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96,682,774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97,998,632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95,503,380</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97,162,308</w:t>
            </w:r>
          </w:p>
        </w:tc>
      </w:tr>
      <w:tr>
        <w:trPr>
          <w:trHeight w:val="175"/>
        </w:trPr>
        <w:tc>
          <w:tcPr>
            <w:tcW w:w="4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number of shares outstanding used in</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computing net income per share, diluted</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109,724,669</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125,411,247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105,921,585</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109,828,530</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1" w:lineRule="exact"/>
        <w:rPr>
          <w:sz w:val="20"/>
          <w:szCs w:val="20"/>
          <w:color w:val="auto"/>
        </w:rPr>
      </w:pPr>
    </w:p>
    <w:p>
      <w:pPr>
        <w:ind w:left="480" w:hanging="472"/>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Balances for the three and nine months ended September 30, 2025 and 2026 include amounts related to the consolidated securitization. Refer to </w:t>
      </w:r>
      <w:r>
        <w:rPr>
          <w:rFonts w:ascii="Times New Roman" w:cs="Times New Roman" w:eastAsia="Times New Roman" w:hAnsi="Times New Roman"/>
          <w:sz w:val="14"/>
          <w:szCs w:val="14"/>
          <w:i w:val="1"/>
          <w:iCs w:val="1"/>
          <w:color w:val="auto"/>
        </w:rPr>
        <w:t>“Note 2. Revenue”</w:t>
      </w:r>
      <w:r>
        <w:rPr>
          <w:rFonts w:ascii="Times New Roman" w:cs="Times New Roman" w:eastAsia="Times New Roman" w:hAnsi="Times New Roman"/>
          <w:sz w:val="14"/>
          <w:szCs w:val="14"/>
          <w:color w:val="auto"/>
        </w:rPr>
        <w:t xml:space="preserve"> for details.</w:t>
      </w:r>
    </w:p>
    <w:p>
      <w:pPr>
        <w:spacing w:after="0" w:line="1" w:lineRule="exact"/>
        <w:rPr>
          <w:rFonts w:ascii="Times New Roman" w:cs="Times New Roman" w:eastAsia="Times New Roman" w:hAnsi="Times New Roman"/>
          <w:sz w:val="14"/>
          <w:szCs w:val="14"/>
          <w:color w:val="auto"/>
        </w:rPr>
      </w:pPr>
    </w:p>
    <w:p>
      <w:pPr>
        <w:ind w:left="500" w:hanging="492"/>
        <w:spacing w:after="0" w:line="278" w:lineRule="auto"/>
        <w:tabs>
          <w:tab w:leader="none" w:pos="49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the three and nine months ended September 30, 2026, interest income and interest expense include dividend income earned on certain cash accounts and expense on convertible senior notes, respectively, which were previously included in other income, net. Refer to </w:t>
      </w:r>
      <w:r>
        <w:rPr>
          <w:rFonts w:ascii="Times New Roman" w:cs="Times New Roman" w:eastAsia="Times New Roman" w:hAnsi="Times New Roman"/>
          <w:sz w:val="14"/>
          <w:szCs w:val="14"/>
          <w:i w:val="1"/>
          <w:iCs w:val="1"/>
          <w:color w:val="auto"/>
        </w:rPr>
        <w:t>“Note 1. Description of Business and Significant Accounting Policies”</w:t>
      </w:r>
      <w:r>
        <w:rPr>
          <w:rFonts w:ascii="Times New Roman" w:cs="Times New Roman" w:eastAsia="Times New Roman" w:hAnsi="Times New Roman"/>
          <w:sz w:val="14"/>
          <w:szCs w:val="14"/>
          <w:color w:val="auto"/>
        </w:rPr>
        <w:t xml:space="preserve"> for details.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0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gridSpan w:val="7"/>
          </w:tcPr>
          <w:p>
            <w:pPr>
              <w:jc w:val="center"/>
              <w:ind w:left="719"/>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3400" w:type="dxa"/>
            <w:vAlign w:val="bottom"/>
          </w:tcPr>
          <w:p>
            <w:pPr>
              <w:spacing w:after="0"/>
              <w:rPr>
                <w:sz w:val="24"/>
                <w:szCs w:val="24"/>
                <w:color w:val="auto"/>
              </w:rPr>
            </w:pPr>
          </w:p>
        </w:tc>
        <w:tc>
          <w:tcPr>
            <w:tcW w:w="2740" w:type="dxa"/>
            <w:vAlign w:val="bottom"/>
            <w:tcBorders>
              <w:bottom w:val="single" w:sz="8" w:color="auto"/>
            </w:tcBorders>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Additional Paid-in</w:t>
            </w: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Stockholders’</w:t>
            </w:r>
          </w:p>
        </w:tc>
        <w:tc>
          <w:tcPr>
            <w:tcW w:w="0" w:type="dxa"/>
            <w:vAlign w:val="bottom"/>
          </w:tcPr>
          <w:p>
            <w:pPr>
              <w:spacing w:after="0"/>
              <w:rPr>
                <w:sz w:val="1"/>
                <w:szCs w:val="1"/>
                <w:color w:val="auto"/>
              </w:rPr>
            </w:pPr>
          </w:p>
        </w:tc>
      </w:tr>
      <w:tr>
        <w:trPr>
          <w:trHeight w:val="208"/>
        </w:trPr>
        <w:tc>
          <w:tcPr>
            <w:tcW w:w="3400" w:type="dxa"/>
            <w:vAlign w:val="bottom"/>
          </w:tcPr>
          <w:p>
            <w:pPr>
              <w:spacing w:after="0"/>
              <w:rPr>
                <w:sz w:val="18"/>
                <w:szCs w:val="18"/>
                <w:color w:val="auto"/>
              </w:rPr>
            </w:pPr>
          </w:p>
        </w:tc>
        <w:tc>
          <w:tcPr>
            <w:tcW w:w="158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Deficit</w:t>
            </w:r>
          </w:p>
        </w:tc>
        <w:tc>
          <w:tcPr>
            <w:tcW w:w="300" w:type="dxa"/>
            <w:vAlign w:val="bottom"/>
          </w:tcPr>
          <w:p>
            <w:pPr>
              <w:spacing w:after="0"/>
              <w:rPr>
                <w:sz w:val="18"/>
                <w:szCs w:val="18"/>
                <w:color w:val="auto"/>
              </w:rPr>
            </w:pPr>
          </w:p>
        </w:tc>
        <w:tc>
          <w:tcPr>
            <w:tcW w:w="120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2025</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96,091,343</w:t>
            </w: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1,129,997</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(407,997)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722,010</w:t>
            </w:r>
          </w:p>
        </w:tc>
        <w:tc>
          <w:tcPr>
            <w:tcW w:w="0" w:type="dxa"/>
            <w:vAlign w:val="bottom"/>
          </w:tcPr>
          <w:p>
            <w:pPr>
              <w:spacing w:after="0"/>
              <w:rPr>
                <w:sz w:val="1"/>
                <w:szCs w:val="1"/>
                <w:color w:val="auto"/>
              </w:rPr>
            </w:pPr>
          </w:p>
        </w:tc>
      </w:tr>
      <w:tr>
        <w:trPr>
          <w:trHeight w:val="142"/>
        </w:trPr>
        <w:tc>
          <w:tcPr>
            <w:tcW w:w="34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461,859</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4,628</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4,628</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w:t>
            </w:r>
          </w:p>
        </w:tc>
        <w:tc>
          <w:tcPr>
            <w:tcW w:w="1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upon settlement of</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653,395</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w:t>
            </w:r>
          </w:p>
        </w:tc>
        <w:tc>
          <w:tcPr>
            <w:tcW w:w="1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withheld related to net share settlement of</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RSUs</w:t>
            </w:r>
          </w:p>
        </w:tc>
        <w:tc>
          <w:tcPr>
            <w:tcW w:w="1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36,156</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36,156</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ESPP</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68,965</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3,757</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3,757</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capped calls</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(55,200)</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(55,200)</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 of capped calls</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31,805</w:t>
            </w:r>
          </w:p>
        </w:tc>
        <w:tc>
          <w:tcPr>
            <w:tcW w:w="0" w:type="dxa"/>
            <w:vAlign w:val="bottom"/>
          </w:tcPr>
          <w:p>
            <w:pPr>
              <w:spacing w:after="0"/>
              <w:rPr>
                <w:sz w:val="1"/>
                <w:szCs w:val="1"/>
                <w:color w:val="auto"/>
              </w:rPr>
            </w:pPr>
          </w:p>
        </w:tc>
      </w:tr>
      <w:tr>
        <w:trPr>
          <w:trHeight w:val="212"/>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2025</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97,275,544</w:t>
            </w:r>
          </w:p>
        </w:tc>
        <w:tc>
          <w:tcPr>
            <w:tcW w:w="8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1,119,900</w:t>
            </w:r>
          </w:p>
        </w:tc>
        <w:tc>
          <w:tcPr>
            <w:tcW w:w="80" w:type="dxa"/>
            <w:vAlign w:val="bottom"/>
          </w:tcPr>
          <w:p>
            <w:pPr>
              <w:spacing w:after="0"/>
              <w:rPr>
                <w:sz w:val="18"/>
                <w:szCs w:val="18"/>
                <w:color w:val="auto"/>
              </w:rPr>
            </w:pPr>
          </w:p>
        </w:tc>
        <w:tc>
          <w:tcPr>
            <w:tcW w:w="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(376,192)</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743,718</w:t>
            </w: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4"/>
        </w:trPr>
        <w:tc>
          <w:tcPr>
            <w:tcW w:w="340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7"/>
          </w:tcPr>
          <w:p>
            <w:pPr>
              <w:jc w:val="center"/>
              <w:ind w:left="719"/>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400" w:type="dxa"/>
            <w:vAlign w:val="bottom"/>
          </w:tcPr>
          <w:p>
            <w:pPr>
              <w:spacing w:after="0"/>
              <w:rPr>
                <w:sz w:val="24"/>
                <w:szCs w:val="24"/>
                <w:color w:val="auto"/>
              </w:rPr>
            </w:pPr>
          </w:p>
        </w:tc>
        <w:tc>
          <w:tcPr>
            <w:tcW w:w="2740" w:type="dxa"/>
            <w:vAlign w:val="bottom"/>
            <w:tcBorders>
              <w:bottom w:val="single" w:sz="8" w:color="auto"/>
            </w:tcBorders>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Additional Paid-in</w:t>
            </w: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Stockholders’</w:t>
            </w:r>
          </w:p>
        </w:tc>
        <w:tc>
          <w:tcPr>
            <w:tcW w:w="0" w:type="dxa"/>
            <w:vAlign w:val="bottom"/>
          </w:tcPr>
          <w:p>
            <w:pPr>
              <w:spacing w:after="0"/>
              <w:rPr>
                <w:sz w:val="1"/>
                <w:szCs w:val="1"/>
                <w:color w:val="auto"/>
              </w:rPr>
            </w:pPr>
          </w:p>
        </w:tc>
      </w:tr>
      <w:tr>
        <w:trPr>
          <w:trHeight w:val="208"/>
        </w:trPr>
        <w:tc>
          <w:tcPr>
            <w:tcW w:w="3400" w:type="dxa"/>
            <w:vAlign w:val="bottom"/>
          </w:tcPr>
          <w:p>
            <w:pPr>
              <w:spacing w:after="0"/>
              <w:rPr>
                <w:sz w:val="18"/>
                <w:szCs w:val="18"/>
                <w:color w:val="auto"/>
              </w:rPr>
            </w:pPr>
          </w:p>
        </w:tc>
        <w:tc>
          <w:tcPr>
            <w:tcW w:w="158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Deficit</w:t>
            </w:r>
          </w:p>
        </w:tc>
        <w:tc>
          <w:tcPr>
            <w:tcW w:w="300" w:type="dxa"/>
            <w:vAlign w:val="bottom"/>
          </w:tcPr>
          <w:p>
            <w:pPr>
              <w:spacing w:after="0"/>
              <w:rPr>
                <w:sz w:val="18"/>
                <w:szCs w:val="18"/>
                <w:color w:val="auto"/>
              </w:rPr>
            </w:pPr>
          </w:p>
        </w:tc>
        <w:tc>
          <w:tcPr>
            <w:tcW w:w="120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93,469,721</w:t>
            </w: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1,044,366</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(411,157)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633,218</w:t>
            </w:r>
          </w:p>
        </w:tc>
        <w:tc>
          <w:tcPr>
            <w:tcW w:w="0" w:type="dxa"/>
            <w:vAlign w:val="bottom"/>
          </w:tcPr>
          <w:p>
            <w:pPr>
              <w:spacing w:after="0"/>
              <w:rPr>
                <w:sz w:val="1"/>
                <w:szCs w:val="1"/>
                <w:color w:val="auto"/>
              </w:rPr>
            </w:pPr>
          </w:p>
        </w:tc>
      </w:tr>
      <w:tr>
        <w:trPr>
          <w:trHeight w:val="142"/>
        </w:trPr>
        <w:tc>
          <w:tcPr>
            <w:tcW w:w="34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1,406,301</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14,493</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14,494</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w:t>
            </w:r>
          </w:p>
        </w:tc>
        <w:tc>
          <w:tcPr>
            <w:tcW w:w="1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upon settlement of</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2,179,822</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w:t>
            </w:r>
          </w:p>
        </w:tc>
        <w:tc>
          <w:tcPr>
            <w:tcW w:w="1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withheld related to net share settlement of</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RSUs</w:t>
            </w:r>
          </w:p>
        </w:tc>
        <w:tc>
          <w:tcPr>
            <w:tcW w:w="1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107,237</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107,237</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ESPP</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219,818</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8,449</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8,449</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capped calls</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(55,200)</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(55,200)</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 of capped calls</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34,965</w:t>
            </w:r>
          </w:p>
        </w:tc>
        <w:tc>
          <w:tcPr>
            <w:tcW w:w="0" w:type="dxa"/>
            <w:vAlign w:val="bottom"/>
          </w:tcPr>
          <w:p>
            <w:pPr>
              <w:spacing w:after="0"/>
              <w:rPr>
                <w:sz w:val="1"/>
                <w:szCs w:val="1"/>
                <w:color w:val="auto"/>
              </w:rPr>
            </w:pPr>
          </w:p>
        </w:tc>
      </w:tr>
      <w:tr>
        <w:trPr>
          <w:trHeight w:val="212"/>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2025</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97,275,544</w:t>
            </w:r>
          </w:p>
        </w:tc>
        <w:tc>
          <w:tcPr>
            <w:tcW w:w="8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1,119,900</w:t>
            </w:r>
          </w:p>
        </w:tc>
        <w:tc>
          <w:tcPr>
            <w:tcW w:w="80" w:type="dxa"/>
            <w:vAlign w:val="bottom"/>
          </w:tcPr>
          <w:p>
            <w:pPr>
              <w:spacing w:after="0"/>
              <w:rPr>
                <w:sz w:val="18"/>
                <w:szCs w:val="18"/>
                <w:color w:val="auto"/>
              </w:rPr>
            </w:pPr>
          </w:p>
        </w:tc>
        <w:tc>
          <w:tcPr>
            <w:tcW w:w="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(376,192)</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743,718</w:t>
            </w: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0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gridSpan w:val="7"/>
          </w:tcPr>
          <w:p>
            <w:pPr>
              <w:jc w:val="center"/>
              <w:ind w:left="719"/>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3400" w:type="dxa"/>
            <w:vAlign w:val="bottom"/>
          </w:tcPr>
          <w:p>
            <w:pPr>
              <w:spacing w:after="0"/>
              <w:rPr>
                <w:sz w:val="24"/>
                <w:szCs w:val="24"/>
                <w:color w:val="auto"/>
              </w:rPr>
            </w:pPr>
          </w:p>
        </w:tc>
        <w:tc>
          <w:tcPr>
            <w:tcW w:w="2740" w:type="dxa"/>
            <w:vAlign w:val="bottom"/>
            <w:tcBorders>
              <w:bottom w:val="single" w:sz="8" w:color="auto"/>
            </w:tcBorders>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Additional Paid-in</w:t>
            </w: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Stockholders’</w:t>
            </w:r>
          </w:p>
        </w:tc>
        <w:tc>
          <w:tcPr>
            <w:tcW w:w="0" w:type="dxa"/>
            <w:vAlign w:val="bottom"/>
          </w:tcPr>
          <w:p>
            <w:pPr>
              <w:spacing w:after="0"/>
              <w:rPr>
                <w:sz w:val="1"/>
                <w:szCs w:val="1"/>
                <w:color w:val="auto"/>
              </w:rPr>
            </w:pPr>
          </w:p>
        </w:tc>
      </w:tr>
      <w:tr>
        <w:trPr>
          <w:trHeight w:val="208"/>
        </w:trPr>
        <w:tc>
          <w:tcPr>
            <w:tcW w:w="3400" w:type="dxa"/>
            <w:vAlign w:val="bottom"/>
          </w:tcPr>
          <w:p>
            <w:pPr>
              <w:spacing w:after="0"/>
              <w:rPr>
                <w:sz w:val="18"/>
                <w:szCs w:val="18"/>
                <w:color w:val="auto"/>
              </w:rPr>
            </w:pPr>
          </w:p>
        </w:tc>
        <w:tc>
          <w:tcPr>
            <w:tcW w:w="158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Deficit</w:t>
            </w:r>
          </w:p>
        </w:tc>
        <w:tc>
          <w:tcPr>
            <w:tcW w:w="300" w:type="dxa"/>
            <w:vAlign w:val="bottom"/>
          </w:tcPr>
          <w:p>
            <w:pPr>
              <w:spacing w:after="0"/>
              <w:rPr>
                <w:sz w:val="18"/>
                <w:szCs w:val="18"/>
                <w:color w:val="auto"/>
              </w:rPr>
            </w:pPr>
          </w:p>
        </w:tc>
        <w:tc>
          <w:tcPr>
            <w:tcW w:w="120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2026</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97,306,813</w:t>
            </w: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1,145,141</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(347,663)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797,488</w:t>
            </w:r>
          </w:p>
        </w:tc>
        <w:tc>
          <w:tcPr>
            <w:tcW w:w="0" w:type="dxa"/>
            <w:vAlign w:val="bottom"/>
          </w:tcPr>
          <w:p>
            <w:pPr>
              <w:spacing w:after="0"/>
              <w:rPr>
                <w:sz w:val="1"/>
                <w:szCs w:val="1"/>
                <w:color w:val="auto"/>
              </w:rPr>
            </w:pPr>
          </w:p>
        </w:tc>
      </w:tr>
      <w:tr>
        <w:trPr>
          <w:trHeight w:val="142"/>
        </w:trPr>
        <w:tc>
          <w:tcPr>
            <w:tcW w:w="34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687,451</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7,935</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7,935</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w:t>
            </w:r>
          </w:p>
        </w:tc>
        <w:tc>
          <w:tcPr>
            <w:tcW w:w="1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upon settlement of</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788,517</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4"/>
                <w:szCs w:val="14"/>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w:t>
            </w:r>
          </w:p>
        </w:tc>
        <w:tc>
          <w:tcPr>
            <w:tcW w:w="1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41,939</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41,939</w:t>
            </w:r>
          </w:p>
        </w:tc>
        <w:tc>
          <w:tcPr>
            <w:tcW w:w="0" w:type="dxa"/>
            <w:vAlign w:val="bottom"/>
          </w:tcPr>
          <w:p>
            <w:pPr>
              <w:spacing w:after="0"/>
              <w:rPr>
                <w:sz w:val="1"/>
                <w:szCs w:val="1"/>
                <w:color w:val="auto"/>
              </w:rPr>
            </w:pPr>
          </w:p>
        </w:tc>
      </w:tr>
      <w:tr>
        <w:trPr>
          <w:trHeight w:val="218"/>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ESPP</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124,149</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3,212</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3,212</w:t>
            </w:r>
          </w:p>
        </w:tc>
        <w:tc>
          <w:tcPr>
            <w:tcW w:w="0" w:type="dxa"/>
            <w:vAlign w:val="bottom"/>
          </w:tcPr>
          <w:p>
            <w:pPr>
              <w:spacing w:after="0"/>
              <w:rPr>
                <w:sz w:val="1"/>
                <w:szCs w:val="1"/>
                <w:color w:val="auto"/>
              </w:rPr>
            </w:pPr>
          </w:p>
        </w:tc>
      </w:tr>
      <w:tr>
        <w:trPr>
          <w:trHeight w:val="214"/>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stock</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36,578</w:t>
            </w:r>
          </w:p>
        </w:tc>
        <w:tc>
          <w:tcPr>
            <w:tcW w:w="0" w:type="dxa"/>
            <w:vAlign w:val="bottom"/>
          </w:tcPr>
          <w:p>
            <w:pPr>
              <w:spacing w:after="0"/>
              <w:rPr>
                <w:sz w:val="1"/>
                <w:szCs w:val="1"/>
                <w:color w:val="auto"/>
              </w:rPr>
            </w:pPr>
          </w:p>
        </w:tc>
      </w:tr>
      <w:tr>
        <w:trPr>
          <w:trHeight w:val="211"/>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2026</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98,906,930</w:t>
            </w:r>
          </w:p>
        </w:tc>
        <w:tc>
          <w:tcPr>
            <w:tcW w:w="8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1,198,495</w:t>
            </w:r>
          </w:p>
        </w:tc>
        <w:tc>
          <w:tcPr>
            <w:tcW w:w="80" w:type="dxa"/>
            <w:vAlign w:val="bottom"/>
          </w:tcPr>
          <w:p>
            <w:pPr>
              <w:spacing w:after="0"/>
              <w:rPr>
                <w:sz w:val="18"/>
                <w:szCs w:val="18"/>
                <w:color w:val="auto"/>
              </w:rPr>
            </w:pPr>
          </w:p>
        </w:tc>
        <w:tc>
          <w:tcPr>
            <w:tcW w:w="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(311,085)</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887,420</w:t>
            </w: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4"/>
        </w:trPr>
        <w:tc>
          <w:tcPr>
            <w:tcW w:w="340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7"/>
          </w:tcPr>
          <w:p>
            <w:pPr>
              <w:jc w:val="center"/>
              <w:ind w:left="719"/>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400" w:type="dxa"/>
            <w:vAlign w:val="bottom"/>
          </w:tcPr>
          <w:p>
            <w:pPr>
              <w:spacing w:after="0"/>
              <w:rPr>
                <w:sz w:val="24"/>
                <w:szCs w:val="24"/>
                <w:color w:val="auto"/>
              </w:rPr>
            </w:pPr>
          </w:p>
        </w:tc>
        <w:tc>
          <w:tcPr>
            <w:tcW w:w="2740" w:type="dxa"/>
            <w:vAlign w:val="bottom"/>
            <w:tcBorders>
              <w:bottom w:val="single" w:sz="8" w:color="auto"/>
            </w:tcBorders>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Additional Paid-in</w:t>
            </w: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Stockholders’</w:t>
            </w:r>
          </w:p>
        </w:tc>
        <w:tc>
          <w:tcPr>
            <w:tcW w:w="0" w:type="dxa"/>
            <w:vAlign w:val="bottom"/>
          </w:tcPr>
          <w:p>
            <w:pPr>
              <w:spacing w:after="0"/>
              <w:rPr>
                <w:sz w:val="1"/>
                <w:szCs w:val="1"/>
                <w:color w:val="auto"/>
              </w:rPr>
            </w:pPr>
          </w:p>
        </w:tc>
      </w:tr>
      <w:tr>
        <w:trPr>
          <w:trHeight w:val="208"/>
        </w:trPr>
        <w:tc>
          <w:tcPr>
            <w:tcW w:w="3400" w:type="dxa"/>
            <w:vAlign w:val="bottom"/>
          </w:tcPr>
          <w:p>
            <w:pPr>
              <w:spacing w:after="0"/>
              <w:rPr>
                <w:sz w:val="18"/>
                <w:szCs w:val="18"/>
                <w:color w:val="auto"/>
              </w:rPr>
            </w:pPr>
          </w:p>
        </w:tc>
        <w:tc>
          <w:tcPr>
            <w:tcW w:w="158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Deficit</w:t>
            </w:r>
          </w:p>
        </w:tc>
        <w:tc>
          <w:tcPr>
            <w:tcW w:w="300" w:type="dxa"/>
            <w:vAlign w:val="bottom"/>
          </w:tcPr>
          <w:p>
            <w:pPr>
              <w:spacing w:after="0"/>
              <w:rPr>
                <w:sz w:val="18"/>
                <w:szCs w:val="18"/>
                <w:color w:val="auto"/>
              </w:rPr>
            </w:pPr>
          </w:p>
        </w:tc>
        <w:tc>
          <w:tcPr>
            <w:tcW w:w="120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2025</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98,033,361</w:t>
            </w: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1,156,361</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(357,556)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798,815</w:t>
            </w:r>
          </w:p>
        </w:tc>
        <w:tc>
          <w:tcPr>
            <w:tcW w:w="0" w:type="dxa"/>
            <w:vAlign w:val="bottom"/>
          </w:tcPr>
          <w:p>
            <w:pPr>
              <w:spacing w:after="0"/>
              <w:rPr>
                <w:sz w:val="1"/>
                <w:szCs w:val="1"/>
                <w:color w:val="auto"/>
              </w:rPr>
            </w:pPr>
          </w:p>
        </w:tc>
      </w:tr>
      <w:tr>
        <w:trPr>
          <w:trHeight w:val="142"/>
        </w:trPr>
        <w:tc>
          <w:tcPr>
            <w:tcW w:w="34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1,630,302</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9,486</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9,486</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w:t>
            </w:r>
          </w:p>
        </w:tc>
        <w:tc>
          <w:tcPr>
            <w:tcW w:w="1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upon settlement of</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2,135,063</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w:t>
            </w:r>
          </w:p>
        </w:tc>
        <w:tc>
          <w:tcPr>
            <w:tcW w:w="1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withheld related to net share settlement of</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RSUs</w:t>
            </w:r>
          </w:p>
        </w:tc>
        <w:tc>
          <w:tcPr>
            <w:tcW w:w="1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124,868</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124,868</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ESPP</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301,527</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7,838</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7,838</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stock</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(3,193,294)</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(100,057)</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(100,057)</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46,471</w:t>
            </w:r>
          </w:p>
        </w:tc>
        <w:tc>
          <w:tcPr>
            <w:tcW w:w="0" w:type="dxa"/>
            <w:vAlign w:val="bottom"/>
          </w:tcPr>
          <w:p>
            <w:pPr>
              <w:spacing w:after="0"/>
              <w:rPr>
                <w:sz w:val="1"/>
                <w:szCs w:val="1"/>
                <w:color w:val="auto"/>
              </w:rPr>
            </w:pPr>
          </w:p>
        </w:tc>
      </w:tr>
      <w:tr>
        <w:trPr>
          <w:trHeight w:val="237"/>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2026</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98,906,930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1,198,495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(311,085)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887,420</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75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0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34,965</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46,471</w:t>
            </w:r>
          </w:p>
        </w:tc>
      </w:tr>
      <w:tr>
        <w:trPr>
          <w:trHeight w:val="250"/>
        </w:trPr>
        <w:tc>
          <w:tcPr>
            <w:tcW w:w="7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29"/>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loans</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110,989</w:t>
            </w:r>
          </w:p>
        </w:tc>
      </w:tr>
      <w:tr>
        <w:trPr>
          <w:trHeight w:val="229"/>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servicing assets</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17,753</w:t>
            </w:r>
          </w:p>
        </w:tc>
      </w:tr>
      <w:tr>
        <w:trPr>
          <w:trHeight w:val="230"/>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servicing liabilities</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w:t>
            </w:r>
          </w:p>
        </w:tc>
      </w:tr>
      <w:tr>
        <w:trPr>
          <w:trHeight w:val="229"/>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beneficial interest assets</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(15,386)</w:t>
            </w:r>
          </w:p>
        </w:tc>
      </w:tr>
      <w:tr>
        <w:trPr>
          <w:trHeight w:val="229"/>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beneficial interest liabilities</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17,726</w:t>
            </w:r>
          </w:p>
        </w:tc>
      </w:tr>
      <w:tr>
        <w:trPr>
          <w:trHeight w:val="230"/>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other financial instruments</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29"/>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119,232</w:t>
            </w:r>
          </w:p>
        </w:tc>
      </w:tr>
      <w:tr>
        <w:trPr>
          <w:trHeight w:val="230"/>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loan servicing rights, net</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(37,481)</w:t>
            </w:r>
          </w:p>
        </w:tc>
      </w:tr>
      <w:tr>
        <w:trPr>
          <w:trHeight w:val="229"/>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19,103</w:t>
            </w:r>
          </w:p>
        </w:tc>
      </w:tr>
      <w:tr>
        <w:trPr>
          <w:trHeight w:val="230"/>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Loan premium amortization</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(32,833)</w:t>
            </w:r>
          </w:p>
        </w:tc>
      </w:tr>
      <w:tr>
        <w:trPr>
          <w:trHeight w:val="229"/>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interest expense and other</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11,982</w:t>
            </w:r>
          </w:p>
        </w:tc>
      </w:tr>
      <w:tr>
        <w:trPr>
          <w:trHeight w:val="229"/>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and originations of loans held-for-sale</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(6,410,254)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(9,721,430)</w:t>
            </w: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loans held-for-sale</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5,994,691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9,038,098</w:t>
            </w: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Principal payments received for loans held-for-sale</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142,001</w:t>
            </w: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payments received for loans held by consolidated securitization</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21,540</w:t>
            </w: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Settlements of beneficial interest liabilities, net</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beneficial interest assets (derivatives)</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14,167</w:t>
            </w: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Settlements of beneficial interest assets (derivatives)</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w:t>
            </w: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(9,422)</w:t>
            </w: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 and right-of-use asset</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30"/>
        </w:trPr>
        <w:tc>
          <w:tcPr>
            <w:tcW w:w="7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(18,953)</w:t>
            </w:r>
          </w:p>
        </w:tc>
      </w:tr>
      <w:tr>
        <w:trPr>
          <w:trHeight w:val="223"/>
        </w:trPr>
        <w:tc>
          <w:tcPr>
            <w:tcW w:w="7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(256,277)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(289,681)</w:t>
            </w:r>
          </w:p>
        </w:tc>
      </w:tr>
      <w:tr>
        <w:trPr>
          <w:trHeight w:val="250"/>
        </w:trPr>
        <w:tc>
          <w:tcPr>
            <w:tcW w:w="7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and originations of loans held-for-investment</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(666,049)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(870,246)</w:t>
            </w:r>
          </w:p>
        </w:tc>
      </w:tr>
      <w:tr>
        <w:trPr>
          <w:trHeight w:val="230"/>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 of loans held-for-investment</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628,324</w:t>
            </w:r>
          </w:p>
        </w:tc>
      </w:tr>
      <w:tr>
        <w:trPr>
          <w:trHeight w:val="230"/>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payments received for loans held-for-investment</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244,315</w:t>
            </w:r>
          </w:p>
        </w:tc>
      </w:tr>
      <w:tr>
        <w:trPr>
          <w:trHeight w:val="229"/>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Principal payments received for notes receivable and repayments of residual certificates</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45,456</w:t>
            </w:r>
          </w:p>
        </w:tc>
      </w:tr>
      <w:tr>
        <w:trPr>
          <w:trHeight w:val="230"/>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and settlements of beneficial interest assets (hybrid instruments)</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(10,138)</w:t>
            </w:r>
          </w:p>
        </w:tc>
      </w:tr>
      <w:tr>
        <w:trPr>
          <w:trHeight w:val="230"/>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beneficial interest assets (hybrid instruments)</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191,038</w:t>
            </w:r>
          </w:p>
        </w:tc>
      </w:tr>
      <w:tr>
        <w:trPr>
          <w:trHeight w:val="230"/>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line of credit receivable</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29"/>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Repayments of line of credit receivable</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r>
      <w:tr>
        <w:trPr>
          <w:trHeight w:val="234"/>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75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23"/>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Capitalized software costs</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(13,003)</w:t>
            </w:r>
          </w:p>
        </w:tc>
      </w:tr>
      <w:tr>
        <w:trPr>
          <w:trHeight w:val="223"/>
        </w:trPr>
        <w:tc>
          <w:tcPr>
            <w:tcW w:w="75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(308,909)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212,144</w:t>
            </w:r>
          </w:p>
        </w:tc>
      </w:tr>
      <w:tr>
        <w:trPr>
          <w:trHeight w:val="250"/>
        </w:trPr>
        <w:tc>
          <w:tcPr>
            <w:tcW w:w="7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borrowings</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771,672</w:t>
            </w:r>
          </w:p>
        </w:tc>
      </w:tr>
      <w:tr>
        <w:trPr>
          <w:trHeight w:val="230"/>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convertible notes issuance, net of debt issuance costs paid to lender</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678,270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 of debt issuance costs to third parties</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Repayments of borrowings</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(511,831)</w:t>
            </w:r>
          </w:p>
        </w:tc>
      </w:tr>
      <w:tr>
        <w:trPr>
          <w:trHeight w:val="230"/>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Repurchases and repayments of convertible notes</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(66,544)</w:t>
            </w:r>
          </w:p>
        </w:tc>
      </w:tr>
      <w:tr>
        <w:trPr>
          <w:trHeight w:val="229"/>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of capped calls, net</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Principal payments made on securitization notes</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(20,640)</w:t>
            </w:r>
          </w:p>
        </w:tc>
      </w:tr>
      <w:tr>
        <w:trPr>
          <w:trHeight w:val="230"/>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Payable to investors</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59,070</w:t>
            </w:r>
          </w:p>
        </w:tc>
      </w:tr>
      <w:tr>
        <w:trPr>
          <w:trHeight w:val="257"/>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proceeds related to stock-based award activities</w:t>
            </w:r>
          </w:p>
        </w:tc>
        <w:tc>
          <w:tcPr>
            <w:tcW w:w="3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17,323</w:t>
            </w:r>
          </w:p>
        </w:tc>
      </w:tr>
      <w:tr>
        <w:trPr>
          <w:trHeight w:val="229"/>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Repurchases of stock</w:t>
            </w:r>
          </w:p>
        </w:tc>
        <w:tc>
          <w:tcPr>
            <w:tcW w:w="3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(100,057)</w:t>
            </w:r>
          </w:p>
        </w:tc>
      </w:tr>
      <w:tr>
        <w:trPr>
          <w:trHeight w:val="223"/>
        </w:trPr>
        <w:tc>
          <w:tcPr>
            <w:tcW w:w="752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425,828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148,993</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71,456</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976,263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1,057,012</w:t>
            </w: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836,905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1,128,468</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34,514</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20,285</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w:t>
            </w:r>
          </w:p>
        </w:tc>
      </w:tr>
      <w:tr>
        <w:trPr>
          <w:trHeight w:val="270"/>
        </w:trPr>
        <w:tc>
          <w:tcPr>
            <w:tcW w:w="7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 interests obtained in connection with loan sales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218,204</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391,786</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retained under unconsolidated securitization transactions</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91,755</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 expense</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line of credit receivable</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7,255</w:t>
            </w:r>
          </w:p>
        </w:tc>
      </w:tr>
    </w:tbl>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presents cash, cash equivalents and restricted cash by category within the unaudited condensed consolidated balance sheets:</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9"/>
                <w:szCs w:val="19"/>
                <w:color w:val="auto"/>
              </w:rPr>
            </w:pP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74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23"/>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461,484</w:t>
            </w:r>
          </w:p>
        </w:tc>
      </w:tr>
      <w:tr>
        <w:trPr>
          <w:trHeight w:val="230"/>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666,984</w:t>
            </w:r>
          </w:p>
        </w:tc>
      </w:tr>
      <w:tr>
        <w:trPr>
          <w:trHeight w:val="248"/>
        </w:trPr>
        <w:tc>
          <w:tcPr>
            <w:tcW w:w="7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1,057,012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1,128,468</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Description of Business and Significant Accounting Policies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Upstart Holdings, Inc. and its subsidiaries (together “Upstart,” the “Company,” “management,” “we,” or “our”) apply AI models and cloud applications to the process of underwriting consumer credit to more accurately quantify the true risk of a loan. The Company helps originate credit by providing lending partners and auto dealers with access to a proprietary, cloud-based, AI lending marketplace and connects consumers with diverse sources of capital. The Company currently operates in the United States and is headquartered in Burlingame, California. The Company’s fiscal year ends on December 31.</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on the same basis as the annual consolidated financial statements included in our Annual Report on Form 10-K. Certain prior period amounts have been reclassified where appropriate to conform to the current period presentation of such amounts. In the opinion of management, the accompanying condensed consolidated financial statements reflect all adjustments, which include only normal recurring adjustments, necessary to state fairly the Company’s financial position, results of operations, comprehensive income and cash flows for the periods presented, but are not necessarily indicative of the results of operations to be anticipated of any future annual or interim periods.</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information and disclosures normally included in the financial statements prepared in accordance with GAAP have been omitted pursuant to rules and regulations of the SEC. Accordingly, the information included in this Quarterly Report on Form 10-Q should be read in conjunction with the consolidated financial statements and accompanying notes included in our Annual Report on Form 10-K for the year ended December 31, 2025.</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first quarter of 2026, the Company elected to change its presentation of the notes receivable and residual certificates retained from unconsolidated securitization transactions. The notes receivable and residual certificates, previously presented within other assets, were reclassified to be separately presented on the condensed consolidated balance sheets. Comparative amounts have been reclassified to conform to the current period presentation.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first quarter of 2026, the Company revised its presentation of (i) interest expense and amortization of debt issuance costs related to its convertible senior notes and (ii) dividend income earned on certain cash accounts based on management’s updated assessment of the economics of capital deployed in support of the Company’s operations, including the related income and costs. In prior periods, these amounts were presented in other income, net.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of this change:</w:t>
      </w:r>
    </w:p>
    <w:p>
      <w:pPr>
        <w:spacing w:after="0" w:line="252" w:lineRule="exact"/>
        <w:rPr>
          <w:sz w:val="20"/>
          <w:szCs w:val="20"/>
          <w:color w:val="auto"/>
        </w:rPr>
      </w:pPr>
    </w:p>
    <w:p>
      <w:pPr>
        <w:ind w:left="660" w:right="2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on convertible notes previously included in other income, net are now presented within interest expense in total interest income, interest expense, and fair value adjustments, net in the condensed consolidated statements of operations and comprehensive income.</w:t>
      </w:r>
    </w:p>
    <w:p>
      <w:pPr>
        <w:ind w:left="660" w:hanging="328"/>
        <w:spacing w:after="0" w:line="26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income earned on certain cash accounts previously included in other income, net is now presented within interest income in total interest income, interest expense, and fair value adjustments, net in the condensed consolidated statements of operations and comprehensive income.</w:t>
      </w:r>
    </w:p>
    <w:p>
      <w:pPr>
        <w:spacing w:after="0" w:line="20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change did not impact the Company’s net income, comprehensive income, or cash flows for any period. Comparative amounts have not been reclassified to conform to the current-period presentation.</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GAAP requires that management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Significant estimates and assumptions made in the accompanying condensed consolidated financial statements, which management believes are critical in understanding and evaluating the Company’s reported financial results include: (i) fair value determinations; (ii) stock-based compensation; (iii) consolidation of VIEs; and (iv) the evaluation for impairment of goodwill. The Company bases its estimates on various factors it believes to be reasonable under the circumstances. Actual results could differ from those estimates and such differences could affect the results of operations reported in future periods.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On January 1, 2026, the Company adopted ASU 2024-04, </w:t>
      </w:r>
      <w:r>
        <w:rPr>
          <w:rFonts w:ascii="Times New Roman" w:cs="Times New Roman" w:eastAsia="Times New Roman" w:hAnsi="Times New Roman"/>
          <w:sz w:val="18"/>
          <w:szCs w:val="18"/>
          <w:i w:val="1"/>
          <w:iCs w:val="1"/>
          <w:color w:val="auto"/>
        </w:rPr>
        <w:t>Debt—Debt with Conversion and Other Options (Subtopic 470-20): Induced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Conversions of Convertible Debt Instruments. </w:t>
      </w:r>
      <w:r>
        <w:rPr>
          <w:rFonts w:ascii="Times New Roman" w:cs="Times New Roman" w:eastAsia="Times New Roman" w:hAnsi="Times New Roman"/>
          <w:sz w:val="18"/>
          <w:szCs w:val="18"/>
          <w:color w:val="auto"/>
        </w:rPr>
        <w:t>The new guidance clarifies the requirements for determining whether certain settlements of convertible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should be accounted for as an induced conversion. The new standard is applied prospectively to future settlements of convertible debt and did not have an impact on the Company’s condensed consolidated financial statements or related disclosures.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5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and subsequently ASU 2025-01, </w:t>
      </w:r>
      <w:r>
        <w:rPr>
          <w:rFonts w:ascii="Times New Roman" w:cs="Times New Roman" w:eastAsia="Times New Roman" w:hAnsi="Times New Roman"/>
          <w:sz w:val="18"/>
          <w:szCs w:val="18"/>
          <w:i w:val="1"/>
          <w:iCs w:val="1"/>
          <w:color w:val="auto"/>
        </w:rPr>
        <w:t>Income Statement—Reporting Comprehensive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 Disaggregation Disclosures (Subtopic 220-40): Disaggregation of Income Statement Expenses. </w:t>
      </w:r>
      <w:r>
        <w:rPr>
          <w:rFonts w:ascii="Times New Roman" w:cs="Times New Roman" w:eastAsia="Times New Roman" w:hAnsi="Times New Roman"/>
          <w:sz w:val="18"/>
          <w:szCs w:val="18"/>
          <w:color w:val="auto"/>
        </w:rPr>
        <w:t>The amendments in this update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disaggregated disclosures in the notes to the financial statements for certain expenses such as employee compensation, depreciation, and intangible asset amortization, which are commonly presented in aggregate. This ASU is effective for annual periods beginning after December 15, 2026 and interim periods beginning after December 15, 2027 with early adoption permitted. The Company is currently evaluating the impact of these amendments to its condensed consolidated financial statements and related disclosures.</w:t>
      </w:r>
    </w:p>
    <w:p>
      <w:pPr>
        <w:spacing w:after="0" w:line="20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The amendments in this update remove references to software development project stages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introduce a “probable-to-complete” threshold to determine when software development costs should be capitalized. This ASU is effective for annual reporting periods beginning after December 15, 2027 with early adoption permitted. The Company is currently evaluating the impact of these amendments to its condensed consolidated financial statements and related disclosures.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The amendments in this update clarify the existing interim requirements including introducing a disclosure principle that entities should disclose material events since the end of the last annual reporting period. The amendments do not expand or reduce the current interim disclosure requirements. This ASU is effective for interim periods within annual reporting periods beginning after December 15, 2027 with early adoption permitted. The Company is currently evaluating the impact of these amendments on its condensed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w:t>
        <w:tab/>
        <w:t>Revenue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from Fees,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disaggregates revenue from fees by type of service for the periods presented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7"/>
                <w:szCs w:val="17"/>
                <w:color w:val="auto"/>
              </w:rPr>
            </w:pPr>
          </w:p>
        </w:tc>
        <w:tc>
          <w:tcPr>
            <w:tcW w:w="3280" w:type="dxa"/>
            <w:vAlign w:val="bottom"/>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80" w:type="dxa"/>
            <w:vAlign w:val="bottom"/>
            <w:tcBorders>
              <w:bottom w:val="single" w:sz="8" w:color="auto"/>
            </w:tcBorders>
          </w:tcPr>
          <w:p>
            <w:pPr>
              <w:spacing w:after="0"/>
              <w:rPr>
                <w:sz w:val="20"/>
                <w:szCs w:val="20"/>
                <w:color w:val="auto"/>
              </w:rPr>
            </w:pPr>
          </w:p>
        </w:tc>
      </w:tr>
      <w:tr>
        <w:trPr>
          <w:trHeight w:val="223"/>
        </w:trPr>
        <w:tc>
          <w:tcPr>
            <w:tcW w:w="4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1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fees, net: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Platform and referral fees, net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216,882</w:t>
            </w:r>
          </w:p>
        </w:tc>
        <w:tc>
          <w:tcPr>
            <w:tcW w:w="8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283,139</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570,702</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791,823</w:t>
            </w:r>
          </w:p>
        </w:tc>
      </w:tr>
      <w:tr>
        <w:trPr>
          <w:trHeight w:val="229"/>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Servicing and other fees,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114,089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173,726</w:t>
            </w:r>
          </w:p>
        </w:tc>
      </w:tr>
      <w:tr>
        <w:trPr>
          <w:trHeight w:val="230"/>
        </w:trPr>
        <w:tc>
          <w:tcPr>
            <w:tcW w:w="426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Loan sales fees</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23,563</w:t>
            </w:r>
          </w:p>
        </w:tc>
      </w:tr>
      <w:tr>
        <w:trPr>
          <w:trHeight w:val="248"/>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from fees, net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989,112</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1" w:lineRule="exact"/>
        <w:rPr>
          <w:sz w:val="20"/>
          <w:szCs w:val="20"/>
          <w:color w:val="auto"/>
        </w:rPr>
      </w:pPr>
    </w:p>
    <w:p>
      <w:pPr>
        <w:ind w:left="500" w:right="20" w:hanging="492"/>
        <w:spacing w:after="0" w:line="278" w:lineRule="auto"/>
        <w:tabs>
          <w:tab w:leader="none" w:pos="49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in the second quarter of 2026, loan sales fees, which were previously included within servicing and other fees, net, are presented as a separate component of revenue from fees, net. Amounts for the three months ended March 31, 2026 have been reclassified to conform to the current-period presentation.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Platform and Referral Fees, Net</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Platform and referral fees, net consists of (i) platform and referral fees received from lending partners, (ii) subscription fees received from auto dealerships, and (iii) origination fees received from borrowers on HELOCs, as described below.</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Platform and referral fees. </w:t>
      </w:r>
      <w:r>
        <w:rPr>
          <w:rFonts w:ascii="Times New Roman" w:cs="Times New Roman" w:eastAsia="Times New Roman" w:hAnsi="Times New Roman"/>
          <w:sz w:val="18"/>
          <w:szCs w:val="18"/>
          <w:color w:val="auto"/>
        </w:rPr>
        <w:t>The Company enters into contracts with its lending partner customers, to provide access to a cloud-based AI lending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marketplace developed by the Company (the “Upstart platform”) to enable lending partners to originate unsecured personal and secured auto refinance loans. The Upstart platform includes a cloud-based application (through Upstart.com) for submitting loan applications, verifying information provided within submitted applications, risk underwriting (through a series of proprietary technology solutions), delivery of electronic loan offers, and if the offer is accepted by the borrower, electronic loan documentation signed by the borrower. Lending partners can specify certain parameters of loans they are willing to originate. Under these contracts, lending partners can choose to use Upstart’s referral services, which allow them to access new borrowers through Upstart’s marketing channels.</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After origination, Upstart-powered loans are either retained by lending partners, purchased by the Company for immediate resale to institutional investors under loan sale agreements, or purchased and held by the Company. For loans originated by certain lending partners, the Company pays the lending partners a one-time loan premium fee upon completion of the minimum contractual holding period. For loans not retained by these lending partners, the Company also pays a monthly loan trailing fee based on the amount and timing of principal and interest payments made by the borrowers of the underlying loans. Both the loan premium fees and loan trailing fees are consideration payable to customers, which are our lending partners, and are recorded as a reduction to platform and referral fees, net, which is part of revenue from fees, net, in the condensed consolidated statements of operations and comprehensive income. The Company recognized an immaterial amount and $12.9 million of loan premium fees and loan trailing fees as contra-revenue within platform and referral fees, net during the three and nine months ended September 30, 2025, respectively, and an immaterial amount and $17.4 million during the three and nine months ended September 30, 2026, respectively.</w:t>
      </w:r>
    </w:p>
    <w:p>
      <w:pPr>
        <w:spacing w:after="0" w:line="21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and September 30, 2026, the Company recognized $5.8 million and $6.8 million of loan trailing fee liability, respectively, which is recorded at fair value and included within accrued expenses and other liabilities on the Company’s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arrangements for platform and referral services typically consist of an obligation to provide one or both of these services to customers, on a when and if needed basis (a stand-ready obligation), and revenue is recognized as such services are performed. Additionally, the services have the same pattern and period of transfer, and when provided individually or together, are accounted for as a single combined performance obligation representing a series of distinct services.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Platform and referral services are typically provided under a fixed or variable price per unit based on a percentage of the value of loans originated each period with certain lending partners subject to minimum fees; however, pricing for these services may also be based on usage fees, calculated as a percentage of each loan originated. The nature of the Company’s promise is to stand-ready and provide continuous access to and process transactions through the platform. Platform and referral fees represent variable consideration as loan origination volume is not known at contract inception. These fees are determined each time a loan is originated. Fees for platform and referral services are generally billed and paid on a monthly basis, or settled on a daily basis. As such, the Company’s contracts with customers do not include a significant financing component.</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Subscription fees. </w:t>
      </w:r>
      <w:r>
        <w:rPr>
          <w:rFonts w:ascii="Times New Roman" w:cs="Times New Roman" w:eastAsia="Times New Roman" w:hAnsi="Times New Roman"/>
          <w:sz w:val="18"/>
          <w:szCs w:val="18"/>
          <w:color w:val="auto"/>
        </w:rPr>
        <w:t>The Company enters into subscription agreements with auto dealerships to access Upstart Auto Finance software, a cloud-based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 that facilitates dealership operations and enables them to provide consumers with access to Upstart-powered auto loans. Subscription agreements generally have a contractual term of one to six months with evergreen monthly renewals. The Company bills these customers on a monthly basis. Subscription fees are recognized over the contract term as the performance obligation is satisfied, and are included within platform and referral fees, net in the condensed consolidated statements of operations and comprehensive income. Subscription fees were immaterial for the three and nine months ended September 30, 2025 and 2026.</w:t>
      </w:r>
    </w:p>
    <w:p>
      <w:pPr>
        <w:spacing w:after="0" w:line="20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Origination fees. </w:t>
      </w:r>
      <w:r>
        <w:rPr>
          <w:rFonts w:ascii="Times New Roman" w:cs="Times New Roman" w:eastAsia="Times New Roman" w:hAnsi="Times New Roman"/>
          <w:sz w:val="18"/>
          <w:szCs w:val="18"/>
          <w:color w:val="auto"/>
        </w:rPr>
        <w:t>Origination fees are earned from borrowers on HELOCs originated by the Company. Origination fees were not material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and nine months ended September 30, 2025, and were immaterial and $14.5 million for the three and nine months ended September 30, 2026.</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had $25.8 million and $25.3 million of accounts receivable, excluding those that are settled on a daily basis, that are included in other assets on the condensed consolidated balance sheets related to contracts with customers as of December 31, 2025 and September 30, 2026, respectively. The standard payment terms on accounts receivable are 30 days. The Company’s allowance for bad debt and bad debt expense were immaterial for the periods presented.</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capitalizes incremental costs of obtaining a contract with a customer, which are certain sales commissions paid to employees in connection with the acquisition of lending partners. Capitalized costs are amortized over the expected period of benefit, which we have determined, based on an analysis, to be three years. The Company applies the practical expedient to expense costs to obtain contracts with customers if the amortization period is one year or less. As of both December 31, 2025 and September 30, 2026, the Company had an immaterial amount of contract costs capitalized within other assets on the condensed consolidated balance sheets. The Company amortized immaterial amounts of capitalized contracts costs to sales and marketing in the condensed consolidated statements of operations and comprehensive income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Customers accounting for 10% or more of total revenue were as follows:</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50"/>
        </w:trPr>
        <w:tc>
          <w:tcPr>
            <w:tcW w:w="4280" w:type="dxa"/>
            <w:vAlign w:val="bottom"/>
          </w:tcPr>
          <w:p>
            <w:pPr>
              <w:spacing w:after="0"/>
              <w:rPr>
                <w:sz w:val="24"/>
                <w:szCs w:val="24"/>
                <w:color w:val="auto"/>
              </w:rPr>
            </w:pPr>
          </w:p>
        </w:tc>
        <w:tc>
          <w:tcPr>
            <w:tcW w:w="4060" w:type="dxa"/>
            <w:vAlign w:val="bottom"/>
            <w:gridSpan w:val="7"/>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900" w:type="dxa"/>
            <w:vAlign w:val="bottom"/>
            <w:gridSpan w:val="5"/>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4280" w:type="dxa"/>
            <w:vAlign w:val="bottom"/>
          </w:tcPr>
          <w:p>
            <w:pPr>
              <w:spacing w:after="0"/>
              <w:rPr>
                <w:sz w:val="20"/>
                <w:szCs w:val="20"/>
                <w:color w:val="auto"/>
              </w:rPr>
            </w:pPr>
          </w:p>
        </w:tc>
        <w:tc>
          <w:tcPr>
            <w:tcW w:w="234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42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r>
      <w:tr>
        <w:trPr>
          <w:trHeight w:val="26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66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6"/>
              </w:rPr>
              <w:t>37%</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w:t>
            </w:r>
          </w:p>
        </w:tc>
      </w:tr>
      <w:tr>
        <w:trPr>
          <w:trHeight w:val="27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16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6"/>
              </w:rPr>
              <w:t>16%</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166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7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16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6"/>
              </w:rPr>
              <w:t>11%</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88"/>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 Less than 10%</w:t>
            </w: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712"/>
        </w:trPr>
        <w:tc>
          <w:tcPr>
            <w:tcW w:w="662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Customers accounting for 10% or more of accounts receivable were as follows:</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45"/>
        </w:trPr>
        <w:tc>
          <w:tcPr>
            <w:tcW w:w="4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0" w:type="dxa"/>
            <w:vAlign w:val="bottom"/>
            <w:gridSpan w:val="7"/>
          </w:tcPr>
          <w:p>
            <w:pPr>
              <w:ind w:left="5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1"/>
        </w:trPr>
        <w:tc>
          <w:tcPr>
            <w:tcW w:w="4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20" w:type="dxa"/>
            <w:vAlign w:val="bottom"/>
            <w:gridSpan w:val="4"/>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2026</w:t>
            </w:r>
          </w:p>
        </w:tc>
      </w:tr>
      <w:tr>
        <w:trPr>
          <w:trHeight w:val="225"/>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E</w:t>
            </w:r>
          </w:p>
        </w:tc>
        <w:tc>
          <w:tcPr>
            <w:tcW w:w="16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gridSpan w:val="3"/>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rPr>
              <w:t>16%</w:t>
            </w: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F</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20" w:type="dxa"/>
            <w:vAlign w:val="bottom"/>
            <w:gridSpan w:val="4"/>
          </w:tcPr>
          <w:p>
            <w:pPr>
              <w:jc w:val="center"/>
              <w:ind w:left="1010"/>
              <w:spacing w:after="0"/>
              <w:rPr>
                <w:sz w:val="20"/>
                <w:szCs w:val="20"/>
                <w:color w:val="auto"/>
              </w:rPr>
            </w:pPr>
            <w:r>
              <w:rPr>
                <w:rFonts w:ascii="Times New Roman" w:cs="Times New Roman" w:eastAsia="Times New Roman" w:hAnsi="Times New Roman"/>
                <w:sz w:val="18"/>
                <w:szCs w:val="18"/>
                <w:color w:val="auto"/>
              </w:rPr>
              <w:t>16%</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Less than 10%</w:t>
      </w: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Servicing and Other Fees, Net</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also enters into contracts with lending partners and institutional investors, including securitization trusts and pass-through entities to provide loan servicing for the life of Upstart-powered loans. These services commence upon origination of these loans by lending partners and include collection, processing and reconciliations of payments received, institutional investor reporting and borrower customer support as well as distribution of funds to the holders of the loans. The Company charges the loan holder a monthly servicing fee calculated based on a predetermined percentage of the outstanding principal balance. Servicing fees also include certain ancillary fees charged on a per transaction basis for processing late payments and payments declined due to insufficient funds. Servicing fees are recognized in the period the services are provided.</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charges lending partners and institutional investors for collection agency fees related to their outstanding loan portfolio. The Company either performs borrower collection activities in-house, or outsources to third-party collection agencies, including for loans that are charged off. The Company has discretion in hiring the collection agencies and determining the scope of their work. As the principal in the arrangement, the Company recognizes gross revenue from collection agency fees in the period that the services are provided. Upstart also receives certain ancillary borrower fees inclusive of late payment fees and ACH fail fees. The total fees charged by collection agencies are recognized in the period incurred and reported as part of customer operations expenses.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Servicing and other fees, net also includes gains and losses on assets and liabilities recognized under loan servicing arrangements for loans retained by lending partners or loans sold to institutional investors. Such gains or losses are recognized based on whether the benefits of servicing are expected to be more or less than adequate compensation for servicing obligations performed by the Company. Servicing fees also include changes in fair value of loan servicing assets and liabilities. Refer to “</w:t>
      </w:r>
      <w:r>
        <w:rPr>
          <w:rFonts w:ascii="Times New Roman" w:cs="Times New Roman" w:eastAsia="Times New Roman" w:hAnsi="Times New Roman"/>
          <w:sz w:val="18"/>
          <w:szCs w:val="18"/>
          <w:i w:val="1"/>
          <w:iCs w:val="1"/>
          <w:color w:val="auto"/>
        </w:rPr>
        <w:t>Note 5. Fair Value Measurement</w:t>
      </w:r>
      <w:r>
        <w:rPr>
          <w:rFonts w:ascii="Times New Roman" w:cs="Times New Roman" w:eastAsia="Times New Roman" w:hAnsi="Times New Roman"/>
          <w:sz w:val="18"/>
          <w:szCs w:val="18"/>
          <w:color w:val="auto"/>
        </w:rPr>
        <w:t>” for additional information on changes in fair value associated with servicing assets and liabilities.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servicing and other fees, net as part of revenue from fees, net in the Company’s condensed consolidated statements of operations and comprehensive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304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80" w:type="dxa"/>
            <w:vAlign w:val="bottom"/>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37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80" w:type="dxa"/>
            <w:vAlign w:val="bottom"/>
            <w:tcBorders>
              <w:bottom w:val="single" w:sz="8" w:color="auto"/>
            </w:tcBorders>
          </w:tcPr>
          <w:p>
            <w:pPr>
              <w:spacing w:after="0"/>
              <w:rPr>
                <w:sz w:val="20"/>
                <w:szCs w:val="20"/>
                <w:color w:val="auto"/>
              </w:rPr>
            </w:pPr>
          </w:p>
        </w:tc>
      </w:tr>
      <w:tr>
        <w:trPr>
          <w:trHeight w:val="223"/>
        </w:trPr>
        <w:tc>
          <w:tcPr>
            <w:tcW w:w="37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fees</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72,018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105,438</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Borrower fees</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7,601</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30,756</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 agency fees</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11,222</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fees</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r>
      <w:tr>
        <w:trPr>
          <w:trHeight w:val="184"/>
        </w:trPr>
        <w:tc>
          <w:tcPr>
            <w:tcW w:w="3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Net gain on servicing rights and fair value</w:t>
            </w:r>
          </w:p>
        </w:tc>
        <w:tc>
          <w:tcPr>
            <w:tcW w:w="1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34"/>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100" w:type="dxa"/>
            <w:vAlign w:val="bottom"/>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14,367</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100" w:type="dxa"/>
            <w:vAlign w:val="bottom"/>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24,242</w:t>
            </w: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servicing and other fees, net</w:t>
            </w:r>
          </w:p>
        </w:tc>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41,657</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69,807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114,089</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173,726</w:t>
            </w:r>
          </w:p>
        </w:tc>
      </w:tr>
      <w:tr>
        <w:trPr>
          <w:trHeight w:val="20"/>
        </w:trPr>
        <w:tc>
          <w:tcPr>
            <w:tcW w:w="37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Loan Sales Fees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charges its third-party loan purchasers fees for facilitating certain forward-flow loan sales. These fees are recognized as part of the sales proceeds received from the transferee under ASC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xml:space="preserve"> and represent the difference between the net assets received and the par value of the loans sold.</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Fair Value Adjustments, Net</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Interest income, interest expense, and fair value adjustments, net is comprised of interest income, interest expense and net changes in the fair value of financial instruments held in the Company’s normal course of business at fair value, including loans, derivatives, beneficial interests, notes receivable and residual certificates, trailing fee liabilities, payable to securitization note holders, and line of credit receivable. For the three and nine months ended September 30, 2026, interest income, interest expense, and fair value adjustments, net also includes coupon interest expense and amortization of debt issuance costs related to the Company’s convertible senior notes and dividend income earned on certain cash accounts, which were previously included in other income, net. Refer to </w:t>
      </w:r>
      <w:r>
        <w:rPr>
          <w:rFonts w:ascii="Times New Roman" w:cs="Times New Roman" w:eastAsia="Times New Roman" w:hAnsi="Times New Roman"/>
          <w:sz w:val="18"/>
          <w:szCs w:val="18"/>
          <w:i w:val="1"/>
          <w:iCs w:val="1"/>
          <w:color w:val="auto"/>
        </w:rPr>
        <w:t>“Note 1. Description of Business and Significant Accounting Policies”</w:t>
      </w:r>
      <w:r>
        <w:rPr>
          <w:rFonts w:ascii="Times New Roman" w:cs="Times New Roman" w:eastAsia="Times New Roman" w:hAnsi="Times New Roman"/>
          <w:sz w:val="18"/>
          <w:szCs w:val="18"/>
          <w:color w:val="auto"/>
        </w:rPr>
        <w:t xml:space="preserv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components of the interest income, interest expense, and fair value adjustments, net presented in the Company’s condensed consolidated statements of operations and comprehensive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7"/>
                <w:szCs w:val="17"/>
                <w:color w:val="auto"/>
              </w:rPr>
            </w:pPr>
          </w:p>
        </w:tc>
        <w:tc>
          <w:tcPr>
            <w:tcW w:w="288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7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Interest income</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143,394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169,673</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(35,780)</w:t>
            </w:r>
          </w:p>
        </w:tc>
        <w:tc>
          <w:tcPr>
            <w:tcW w:w="0" w:type="dxa"/>
            <w:vAlign w:val="bottom"/>
          </w:tcPr>
          <w:p>
            <w:pPr>
              <w:spacing w:after="0"/>
              <w:rPr>
                <w:sz w:val="1"/>
                <w:szCs w:val="1"/>
                <w:color w:val="auto"/>
              </w:rPr>
            </w:pPr>
          </w:p>
        </w:tc>
      </w:tr>
      <w:tr>
        <w:trPr>
          <w:trHeight w:val="25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and other adjustments, net:</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47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Unrealized loss on loans, loan charge-offs, and other fair</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720" w:type="dxa"/>
            <w:vAlign w:val="bottom"/>
          </w:tcPr>
          <w:p>
            <w:pPr>
              <w:ind w:left="140"/>
              <w:spacing w:after="0" w:line="237" w:lineRule="exact"/>
              <w:rPr>
                <w:sz w:val="20"/>
                <w:szCs w:val="20"/>
                <w:color w:val="auto"/>
              </w:rPr>
            </w:pPr>
            <w:r>
              <w:rPr>
                <w:rFonts w:ascii="Times New Roman" w:cs="Times New Roman" w:eastAsia="Times New Roman" w:hAnsi="Times New Roman"/>
                <w:sz w:val="18"/>
                <w:szCs w:val="18"/>
                <w:color w:val="auto"/>
              </w:rPr>
              <w:t>value adjustments, net</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(15,545)</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(60,637)</w:t>
            </w:r>
          </w:p>
        </w:tc>
        <w:tc>
          <w:tcPr>
            <w:tcW w:w="0" w:type="dxa"/>
            <w:vAlign w:val="bottom"/>
          </w:tcPr>
          <w:p>
            <w:pPr>
              <w:spacing w:after="0"/>
              <w:rPr>
                <w:sz w:val="1"/>
                <w:szCs w:val="1"/>
                <w:color w:val="auto"/>
              </w:rPr>
            </w:pPr>
          </w:p>
        </w:tc>
      </w:tr>
      <w:tr>
        <w:trPr>
          <w:trHeight w:val="184"/>
        </w:trPr>
        <w:tc>
          <w:tcPr>
            <w:tcW w:w="47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Fair value adjustments and realized losses on beneficial</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interests, net</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(13,985)</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Realized gain (loss) on sale of loans,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(16,584)</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 and other adjustments,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(29,843)</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(79,561)</w:t>
            </w:r>
          </w:p>
        </w:tc>
        <w:tc>
          <w:tcPr>
            <w:tcW w:w="0" w:type="dxa"/>
            <w:vAlign w:val="bottom"/>
          </w:tcPr>
          <w:p>
            <w:pPr>
              <w:spacing w:after="0"/>
              <w:rPr>
                <w:sz w:val="1"/>
                <w:szCs w:val="1"/>
                <w:color w:val="auto"/>
              </w:rPr>
            </w:pPr>
          </w:p>
        </w:tc>
      </w:tr>
      <w:tr>
        <w:trPr>
          <w:trHeight w:val="164"/>
        </w:trPr>
        <w:tc>
          <w:tcPr>
            <w:tcW w:w="472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Total interest income, interest expense, and fair value</w:t>
            </w: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18,566</w:t>
            </w:r>
          </w:p>
        </w:tc>
        <w:tc>
          <w:tcPr>
            <w:tcW w:w="80" w:type="dxa"/>
            <w:vAlign w:val="bottom"/>
          </w:tcPr>
          <w:p>
            <w:pPr>
              <w:spacing w:after="0"/>
              <w:rPr>
                <w:sz w:val="14"/>
                <w:szCs w:val="14"/>
                <w:color w:val="auto"/>
              </w:rPr>
            </w:pPr>
          </w:p>
        </w:tc>
        <w:tc>
          <w:tcPr>
            <w:tcW w:w="5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6,492</w:t>
            </w:r>
          </w:p>
        </w:tc>
        <w:tc>
          <w:tcPr>
            <w:tcW w:w="100" w:type="dxa"/>
            <w:vAlign w:val="bottom"/>
          </w:tcPr>
          <w:p>
            <w:pPr>
              <w:spacing w:after="0"/>
              <w:rPr>
                <w:sz w:val="14"/>
                <w:szCs w:val="14"/>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62,976</w:t>
            </w:r>
          </w:p>
        </w:tc>
        <w:tc>
          <w:tcPr>
            <w:tcW w:w="100" w:type="dxa"/>
            <w:vAlign w:val="bottom"/>
          </w:tcPr>
          <w:p>
            <w:pPr>
              <w:spacing w:after="0"/>
              <w:rPr>
                <w:sz w:val="14"/>
                <w:szCs w:val="14"/>
                <w:color w:val="auto"/>
              </w:rPr>
            </w:pPr>
          </w:p>
        </w:tc>
        <w:tc>
          <w:tcPr>
            <w:tcW w:w="5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54,332</w:t>
            </w:r>
          </w:p>
        </w:tc>
        <w:tc>
          <w:tcPr>
            <w:tcW w:w="0" w:type="dxa"/>
            <w:vAlign w:val="bottom"/>
          </w:tcPr>
          <w:p>
            <w:pPr>
              <w:spacing w:after="0"/>
              <w:rPr>
                <w:sz w:val="1"/>
                <w:szCs w:val="1"/>
                <w:color w:val="auto"/>
              </w:rPr>
            </w:pPr>
          </w:p>
        </w:tc>
      </w:tr>
      <w:tr>
        <w:trPr>
          <w:trHeight w:val="212"/>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net</w:t>
            </w:r>
          </w:p>
        </w:tc>
        <w:tc>
          <w:tcPr>
            <w:tcW w:w="3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1" w:lineRule="exact"/>
        <w:rPr>
          <w:sz w:val="20"/>
          <w:szCs w:val="20"/>
          <w:color w:val="auto"/>
        </w:rPr>
      </w:pPr>
    </w:p>
    <w:p>
      <w:pPr>
        <w:ind w:left="500" w:right="20" w:hanging="492"/>
        <w:spacing w:after="0" w:line="278" w:lineRule="auto"/>
        <w:tabs>
          <w:tab w:leader="none" w:pos="49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interest income, interest expense and unrealized loss on loans, loan charge-offs, and other fair value adjustments, net, respectively, related to the consolidated securitization as follows: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8"/>
                <w:szCs w:val="18"/>
                <w:color w:val="auto"/>
              </w:rPr>
            </w:pPr>
          </w:p>
        </w:tc>
        <w:tc>
          <w:tcPr>
            <w:tcW w:w="266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47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7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191"/>
        </w:trPr>
        <w:tc>
          <w:tcPr>
            <w:tcW w:w="472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Interest income, interest expense, and fair value adjustments,</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related to consolidated securitization:</w:t>
            </w: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80" w:type="dxa"/>
            <w:vAlign w:val="bottom"/>
          </w:tcPr>
          <w:p>
            <w:pPr>
              <w:spacing w:after="0"/>
              <w:rPr>
                <w:sz w:val="19"/>
                <w:szCs w:val="19"/>
                <w:color w:val="auto"/>
              </w:rPr>
            </w:pP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13,453</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(1,489)</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0" w:type="dxa"/>
            <w:vAlign w:val="bottom"/>
          </w:tcPr>
          <w:p>
            <w:pPr>
              <w:spacing w:after="0"/>
              <w:rPr>
                <w:sz w:val="1"/>
                <w:szCs w:val="1"/>
                <w:color w:val="auto"/>
              </w:rPr>
            </w:pPr>
          </w:p>
        </w:tc>
      </w:tr>
      <w:tr>
        <w:trPr>
          <w:trHeight w:val="211"/>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loss on loans, loan charge-offs, and other fair</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value adjustments, net</w:t>
            </w:r>
          </w:p>
        </w:tc>
        <w:tc>
          <w:tcPr>
            <w:tcW w:w="9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(1,970)</w:t>
            </w:r>
          </w:p>
        </w:tc>
        <w:tc>
          <w:tcPr>
            <w:tcW w:w="8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0" w:type="dxa"/>
            <w:vAlign w:val="bottom"/>
          </w:tcPr>
          <w:p>
            <w:pPr>
              <w:spacing w:after="0"/>
              <w:rPr>
                <w:sz w:val="1"/>
                <w:szCs w:val="1"/>
                <w:color w:val="auto"/>
              </w:rPr>
            </w:pPr>
          </w:p>
        </w:tc>
      </w:tr>
      <w:tr>
        <w:trPr>
          <w:trHeight w:val="155"/>
        </w:trPr>
        <w:tc>
          <w:tcPr>
            <w:tcW w:w="47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interest income, interest expense, and fair value</w:t>
            </w:r>
          </w:p>
        </w:tc>
        <w:tc>
          <w:tcPr>
            <w:tcW w:w="980" w:type="dxa"/>
            <w:vAlign w:val="bottom"/>
            <w:vMerge w:val="restart"/>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36"/>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net</w:t>
            </w: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income is recognized based on the terms of the underlying agreements with borrowers for loans and line of credit receivable held on the Company’s condensed consolidated balance sheets and is earned over the life of a loan or a line of credit receivable.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Interest income includes accrued interest earned on outstanding loans and line of credit receivable but not collected. Generally, HELOCs that have reached a delinquency over 180 days and all other loans and line of credit receivable that have reached a delinquency over 120 days are charged off and do not accrue interest. The Company does not record an allowance for credit losses on accrued interest receivable. As of December 31, 2025 and September 30, 2026, the Company has recorded $10.2 million and $10.7 million, respectively, of accrued interest income in loans on the condensed consolidated balance sheets. Accrued interest income on the line of credit receivable was immaterial as of both December 31, 2025 and September 30, 2026. For the three and nine months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ended September 30, 2026, interest income included an immaterial amount and $11.7 million of dividend income earned on certain cash accounts, respectively.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Interest expense is primarily related to interest recorded on the Company’s borrowings on warehouse credit facilities and interest expense related to the consolidated securitization. Interest expense includes accrued interest incurred but not paid. Interest expense also includes changes in fair value of the interest rate caps. Accrued interest expenses for the warehouses were immaterial as of both December 31, 2025 and September 30, 2026. For the three and nine months ended September 30, 2026, interest expense included an immaterial amount and $15.2 million of coupon interest expense and amortization of debt issuance costs related to the Company’s convertible senior notes.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Fair Value and Other Adjustments, Net</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Fair value and other adjustments, net include changes in fair value of financial instruments, other than loan servicing assets and liabilities and interest rate caps. These adjustments are recorded in the Company’s condensed consolidated statements of operations and comprehensive income and include both realized and unrealized changes to the value of related assets and liabilities. Refer to “</w:t>
      </w:r>
      <w:r>
        <w:rPr>
          <w:rFonts w:ascii="Times New Roman" w:cs="Times New Roman" w:eastAsia="Times New Roman" w:hAnsi="Times New Roman"/>
          <w:sz w:val="18"/>
          <w:szCs w:val="18"/>
          <w:i w:val="1"/>
          <w:iCs w:val="1"/>
          <w:color w:val="auto"/>
        </w:rPr>
        <w:t>Note 5. Fair Value Measurement</w:t>
      </w:r>
      <w:r>
        <w:rPr>
          <w:rFonts w:ascii="Times New Roman" w:cs="Times New Roman" w:eastAsia="Times New Roman" w:hAnsi="Times New Roman"/>
          <w:sz w:val="18"/>
          <w:szCs w:val="18"/>
          <w:color w:val="auto"/>
        </w:rPr>
        <w:t>” for additional information.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Fair value and other adjustments, net also includes amounts received from borrowers for previously charged-off loans held on the Company’s condensed consolidated balance sheets. These amounts are recognized in the period when amounts are received. Amounts received from borrowers for previously charged-off loans were immaterial for both the three months ended September 30, 2025 and 2026 and $13.0 million and $25.1 million for the nine months ended September 30, 2025 and 2026, respectively.</w:t>
      </w:r>
    </w:p>
    <w:p>
      <w:pPr>
        <w:spacing w:after="0" w:line="200" w:lineRule="exact"/>
        <w:rPr>
          <w:sz w:val="20"/>
          <w:szCs w:val="20"/>
          <w:color w:val="auto"/>
        </w:rPr>
      </w:pPr>
    </w:p>
    <w:p>
      <w:pPr>
        <w:spacing w:after="0" w:line="246"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Variable Interest Entities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Consolidated VIEs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consolidates VIEs in which the Company has a variable interest and is determined to be the primary beneficiary. This determination is based on whether the Company has a variable interest (or combination of variable interests) that provides the Company with both (a) the power to direct the activities that most significantly impact the VIE’s economic performance and (b) the obligation to absorb losses or right to receive benefits that could be potentially significant to the VIE. The Company continually reassesses whether it is the primary beneficiary of a VIE throughout the entire period the Company is involved with the VIE.</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also determines whether decision-maker or service-provider fees are variable interests. Decision-maker or service-provider fees are not considered variable interests when the arrangement does not expose the Company to risks of loss that a potential VIE was designed to pass on to its variable interest holders, the fees are commensurate, the arrangement is at market, and the Company does not have any other interests (including direct interests and certain indirect interests held through related parties) that absorb more than an insignificant amount of a VIE’s potential variability. This determination can have a significant impact on the Company’s consolidation analysis, as it could affect whether a legal entity is a VIE and whether the Company is the primary beneficiary of a VIE. When the Company’s decision-maker or service-provider fee is not a variable interest, the Company is viewed as acting as a fiduciary for the potential VIE.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a summary of financial assets and liabilities from the Company’s involvement with consolidated VIEs: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6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9"/>
                <w:szCs w:val="19"/>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260" w:type="dxa"/>
            <w:vAlign w:val="bottom"/>
          </w:tcPr>
          <w:p>
            <w:pPr>
              <w:spacing w:after="0"/>
              <w:rPr>
                <w:sz w:val="19"/>
                <w:szCs w:val="19"/>
                <w:color w:val="auto"/>
              </w:rPr>
            </w:pP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 Assets</w:t>
            </w:r>
          </w:p>
        </w:tc>
      </w:tr>
      <w:tr>
        <w:trPr>
          <w:trHeight w:val="223"/>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securitization</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11,733</w:t>
            </w: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warehouse entities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65,367</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consolidated VIEs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690,522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671,411</w:t>
            </w: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consolidated VIEs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915,955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167,444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748,511</w:t>
            </w:r>
          </w:p>
        </w:tc>
      </w:tr>
      <w:tr>
        <w:trPr>
          <w:trHeight w:val="21"/>
        </w:trPr>
        <w:tc>
          <w:tcPr>
            <w:tcW w:w="6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6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9"/>
                <w:szCs w:val="19"/>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260" w:type="dxa"/>
            <w:vAlign w:val="bottom"/>
          </w:tcPr>
          <w:p>
            <w:pPr>
              <w:spacing w:after="0"/>
              <w:rPr>
                <w:sz w:val="19"/>
                <w:szCs w:val="19"/>
                <w:color w:val="auto"/>
              </w:rPr>
            </w:pP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 Assets</w:t>
            </w:r>
          </w:p>
        </w:tc>
      </w:tr>
      <w:tr>
        <w:trPr>
          <w:trHeight w:val="223"/>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securitization</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w:t>
            </w: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warehouse entities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519,210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186,687</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consolidated VIEs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290,462</w:t>
            </w: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consolidated VIEs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845,660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361,718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483,942</w:t>
            </w:r>
          </w:p>
        </w:tc>
      </w:tr>
      <w:tr>
        <w:trPr>
          <w:trHeight w:val="21"/>
        </w:trPr>
        <w:tc>
          <w:tcPr>
            <w:tcW w:w="6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Consolidated Securitization</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6, 2023, the Company completed a private securitization securities offering (“UPST 2023-2”). As the retaining sponsor, the Company retained 5% vertical interests in the form of securitization notes and residual certificates. The Company also retained the remainder of the residual certificates issued as part of the transaction. The Company determined it was the primary beneficiary and consolidated the entities associated with UPST 2023-2.</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loans held in the consolidated securitization trust are classified as held-for-sale and included in loans, at fair value, and the notes sold to third-party investors are recorded at fair value as payable to securitization note holders on the condensed consolidated balance sheets. Refer to “</w:t>
      </w:r>
      <w:r>
        <w:rPr>
          <w:rFonts w:ascii="Times New Roman" w:cs="Times New Roman" w:eastAsia="Times New Roman" w:hAnsi="Times New Roman"/>
          <w:sz w:val="18"/>
          <w:szCs w:val="18"/>
          <w:i w:val="1"/>
          <w:iCs w:val="1"/>
          <w:color w:val="auto"/>
        </w:rPr>
        <w:t>Note 5.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Measurement</w:t>
      </w:r>
      <w:r>
        <w:rPr>
          <w:rFonts w:ascii="Times New Roman" w:cs="Times New Roman" w:eastAsia="Times New Roman" w:hAnsi="Times New Roman"/>
          <w:sz w:val="18"/>
          <w:szCs w:val="18"/>
          <w:color w:val="auto"/>
        </w:rPr>
        <w:t>” for additional information on determination of fair value of these assets and liabilities. The value of the residual certificates issued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of the securitization and retained by the Company was eliminated as part of the consolidation.</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Warehouse Entities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established various entities deemed to be VIEs to enter into warehouse credit facilities for the purpose of purchasing Upstart-powered loans. Refer to “</w:t>
      </w:r>
      <w:r>
        <w:rPr>
          <w:rFonts w:ascii="Times New Roman" w:cs="Times New Roman" w:eastAsia="Times New Roman" w:hAnsi="Times New Roman"/>
          <w:sz w:val="18"/>
          <w:szCs w:val="18"/>
          <w:i w:val="1"/>
          <w:iCs w:val="1"/>
          <w:color w:val="auto"/>
        </w:rPr>
        <w:t>Note 8. Borrowings</w:t>
      </w:r>
      <w:r>
        <w:rPr>
          <w:rFonts w:ascii="Times New Roman" w:cs="Times New Roman" w:eastAsia="Times New Roman" w:hAnsi="Times New Roman"/>
          <w:sz w:val="18"/>
          <w:szCs w:val="18"/>
          <w:color w:val="auto"/>
        </w:rPr>
        <w:t>” for additional information. These entities are Delaware statutory trusts that are structured to be bankruptcy-remote, with third-party banks operating as trustees.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Consolidated VIEs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formed a number of VIEs for the purpose of holding Upstart-powered loans that are not pledged or eligible to be pledged to the Company’s warehouse credit facilities. In addition, the Company has formed consolidated VIEs for the purpose of holding restricted cash or loans as collateral in connection with committed capital and other co-investment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Unconsolidated VIEs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transactions with unconsolidated VIEs include securitizations and sales of whole loans to VIEs, including loan sales under its committed capital and other co-investment arrangements. Refer to “</w:t>
      </w:r>
      <w:r>
        <w:rPr>
          <w:rFonts w:ascii="Times New Roman" w:cs="Times New Roman" w:eastAsia="Times New Roman" w:hAnsi="Times New Roman"/>
          <w:sz w:val="18"/>
          <w:szCs w:val="18"/>
          <w:i w:val="1"/>
          <w:iCs w:val="1"/>
          <w:color w:val="auto"/>
        </w:rPr>
        <w:t>Note 4. Beneficial Interests</w:t>
      </w:r>
      <w:r>
        <w:rPr>
          <w:rFonts w:ascii="Times New Roman" w:cs="Times New Roman" w:eastAsia="Times New Roman" w:hAnsi="Times New Roman"/>
          <w:sz w:val="18"/>
          <w:szCs w:val="18"/>
          <w:color w:val="auto"/>
        </w:rPr>
        <w:t>” for additional information on unconsolidated VIEs related to committed capital and other co-investment arrangements.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Securitizations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the Company continues to be involved with the unconsolidated VIEs in its role as the sponsor and the servicer of securitization transactions, the Company has determined that it is not the primary beneficiary of these entities. The Company’s unconsolidated VIEs include entities established as the issuers and grantor trusts for various securitization transactions.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cases where the VIEs are not consolidated and the transfer of the loans from the Company to the securitization trust meets sale accounting criteria, the Company recognizes a gain or loss on sales of loans. The net proceeds of the sale represent the fair value of any assets obtained or liabilities incurred as part of the transaction. The assets are transferred into a trust such that the assets are legally isolated from the creditors of the Company and are not available to satisfy obligations of the Company. These assets can only be used to settle obligations of the underlying securitization trusts.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exercised clean up calls related to a number of historical unconsolidated securitizations and subsequently liquidated the associated entities. As part of the clean up calls, the Company, as servicer, repurchased the remaining collateral and received the cash reserve amounts held by the related entities. The clean up calls had no material impact on the condensed consolidated financial statements of the Company.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the aggregate value of assets and liabilities of unconsolidated VIEs associated with securitizations in which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holds a variable interest but is not the primary beneficiary:</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5"/>
                <w:szCs w:val="15"/>
                <w:color w:val="auto"/>
              </w:rPr>
            </w:pPr>
          </w:p>
        </w:tc>
        <w:tc>
          <w:tcPr>
            <w:tcW w:w="1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Pr>
          <w:p>
            <w:pPr>
              <w:spacing w:after="0"/>
              <w:rPr>
                <w:sz w:val="15"/>
                <w:szCs w:val="15"/>
                <w:color w:val="auto"/>
              </w:rPr>
            </w:pPr>
          </w:p>
        </w:tc>
        <w:tc>
          <w:tcPr>
            <w:tcW w:w="1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640" w:type="dxa"/>
            <w:vAlign w:val="bottom"/>
            <w:gridSpan w:val="2"/>
          </w:tcPr>
          <w:p>
            <w:pPr>
              <w:ind w:left="40"/>
              <w:spacing w:after="0" w:line="174" w:lineRule="exact"/>
              <w:rPr>
                <w:sz w:val="20"/>
                <w:szCs w:val="20"/>
                <w:color w:val="auto"/>
              </w:rPr>
            </w:pPr>
            <w:r>
              <w:rPr>
                <w:rFonts w:ascii="Times New Roman" w:cs="Times New Roman" w:eastAsia="Times New Roman" w:hAnsi="Times New Roman"/>
                <w:sz w:val="18"/>
                <w:szCs w:val="18"/>
                <w:b w:val="1"/>
                <w:bCs w:val="1"/>
                <w:color w:val="auto"/>
              </w:rPr>
              <w:t>Maximum Exposure</w:t>
            </w:r>
          </w:p>
        </w:tc>
        <w:tc>
          <w:tcPr>
            <w:tcW w:w="0" w:type="dxa"/>
            <w:vAlign w:val="bottom"/>
          </w:tcPr>
          <w:p>
            <w:pPr>
              <w:spacing w:after="0"/>
              <w:rPr>
                <w:sz w:val="1"/>
                <w:szCs w:val="1"/>
                <w:color w:val="auto"/>
              </w:rPr>
            </w:pPr>
          </w:p>
        </w:tc>
      </w:tr>
      <w:tr>
        <w:trPr>
          <w:trHeight w:val="238"/>
        </w:trPr>
        <w:tc>
          <w:tcPr>
            <w:tcW w:w="4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 Losses</w:t>
            </w:r>
          </w:p>
        </w:tc>
        <w:tc>
          <w:tcPr>
            <w:tcW w:w="0" w:type="dxa"/>
            <w:vAlign w:val="bottom"/>
          </w:tcPr>
          <w:p>
            <w:pPr>
              <w:spacing w:after="0"/>
              <w:rPr>
                <w:sz w:val="1"/>
                <w:szCs w:val="1"/>
                <w:color w:val="auto"/>
              </w:rPr>
            </w:pPr>
          </w:p>
        </w:tc>
      </w:tr>
      <w:tr>
        <w:trPr>
          <w:trHeight w:val="223"/>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Securitizations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2,016,813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1,426,987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589,826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101,670</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7" w:lineRule="exact"/>
        <w:rPr>
          <w:sz w:val="20"/>
          <w:szCs w:val="20"/>
          <w:color w:val="auto"/>
        </w:rPr>
      </w:pPr>
    </w:p>
    <w:p>
      <w:pPr>
        <w:ind w:left="480" w:hanging="472"/>
        <w:spacing w:after="0"/>
        <w:tabs>
          <w:tab w:leader="none" w:pos="4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and the unpaid principal balance of loans held by the unconsolidated VIEs.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4"/>
                <w:szCs w:val="14"/>
                <w:color w:val="auto"/>
              </w:rPr>
            </w:pPr>
          </w:p>
        </w:tc>
        <w:tc>
          <w:tcPr>
            <w:tcW w:w="1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Pr>
          <w:p>
            <w:pPr>
              <w:spacing w:after="0"/>
              <w:rPr>
                <w:sz w:val="14"/>
                <w:szCs w:val="14"/>
                <w:color w:val="auto"/>
              </w:rPr>
            </w:pPr>
          </w:p>
        </w:tc>
        <w:tc>
          <w:tcPr>
            <w:tcW w:w="1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64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Maximum Exposure</w:t>
            </w:r>
          </w:p>
        </w:tc>
        <w:tc>
          <w:tcPr>
            <w:tcW w:w="0" w:type="dxa"/>
            <w:vAlign w:val="bottom"/>
          </w:tcPr>
          <w:p>
            <w:pPr>
              <w:spacing w:after="0"/>
              <w:rPr>
                <w:sz w:val="1"/>
                <w:szCs w:val="1"/>
                <w:color w:val="auto"/>
              </w:rPr>
            </w:pPr>
          </w:p>
        </w:tc>
      </w:tr>
      <w:tr>
        <w:trPr>
          <w:trHeight w:val="243"/>
        </w:trPr>
        <w:tc>
          <w:tcPr>
            <w:tcW w:w="4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 Losses</w:t>
            </w:r>
          </w:p>
        </w:tc>
        <w:tc>
          <w:tcPr>
            <w:tcW w:w="0" w:type="dxa"/>
            <w:vAlign w:val="bottom"/>
          </w:tcPr>
          <w:p>
            <w:pPr>
              <w:spacing w:after="0"/>
              <w:rPr>
                <w:sz w:val="1"/>
                <w:szCs w:val="1"/>
                <w:color w:val="auto"/>
              </w:rPr>
            </w:pPr>
          </w:p>
        </w:tc>
      </w:tr>
      <w:tr>
        <w:trPr>
          <w:trHeight w:val="223"/>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Securitizations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2,989,933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2,059,774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930,159</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145,796</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7"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and the unpaid principal balance of loans held by the unconsolidated VIEs.</w:t>
      </w:r>
    </w:p>
    <w:p>
      <w:pPr>
        <w:spacing w:after="0" w:line="2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maximum exposure to loss from its involvement with unconsolidated VIEs represents the value of securities retained and cash deposits made under the risk retention requirements for the related securitizations and estimates the loss that would be incurred under severe, hypothetical circumstances, for which the Company believes the possibility is remote. The carrying value of assets that relate to variable interests in unconsolidated VIEs consists of $97.4 million and $144.6 million of securitization notes and residual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that are carried at fair value and included in notes receivable and residual certificates (at fair value) on the condensed consolidated balance sheets as of December 31, 2025 and September 30, 2026, respectively. The Company also had an immaterial amount of cash deposits held as reserve accounts for related securitizations, included in other assets on the condensed consolidated balance sheets as of both December 31, 2025 and September 30, 2026.</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securitization transactions where the Company is not the risk retaining sponsor, and servicing is the only form of continuing involvement, the Company would only experience a loss if it were required to repurchase a loan due to a breach in representations and warranties and is not able to collect all repayments, refer to “</w:t>
      </w:r>
      <w:r>
        <w:rPr>
          <w:rFonts w:ascii="Times New Roman" w:cs="Times New Roman" w:eastAsia="Times New Roman" w:hAnsi="Times New Roman"/>
          <w:sz w:val="18"/>
          <w:szCs w:val="18"/>
          <w:i w:val="1"/>
          <w:iCs w:val="1"/>
          <w:color w:val="auto"/>
        </w:rPr>
        <w:t>Note 11. Commitments and Contingencies</w:t>
      </w:r>
      <w:r>
        <w:rPr>
          <w:rFonts w:ascii="Times New Roman" w:cs="Times New Roman" w:eastAsia="Times New Roman" w:hAnsi="Times New Roman"/>
          <w:sz w:val="18"/>
          <w:szCs w:val="18"/>
          <w:color w:val="auto"/>
        </w:rPr>
        <w:t>” for further information.</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investors and the securitization trusts have no direct recourse to the Company’s assets, and holders of the securities issued by the securitization trusts can look only to the assets of the securitization trusts that issued their securities for payment. The interests held by the Company and its affiliates are subject principally to the credit and prepayment risk stemming from the underlying unsecured personal whole loans.</w:t>
      </w:r>
    </w:p>
    <w:p>
      <w:pPr>
        <w:spacing w:after="0" w:line="200" w:lineRule="exact"/>
        <w:rPr>
          <w:sz w:val="20"/>
          <w:szCs w:val="20"/>
          <w:color w:val="auto"/>
        </w:rPr>
      </w:pPr>
    </w:p>
    <w:p>
      <w:pPr>
        <w:spacing w:after="0" w:line="242"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Beneficial Interests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Beneficial interests are associated with committed capital and other co-investment arrangements with third-parties, in which the Company puts certain amounts of assets at risk. The risk is subject to a dollar cap, which represents the Company’s maximum exposure to losses in each particular arrangement.</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certain arrangements, the Company is obligated to make payments to these third-parties or is entitled to receive payments from them if credit performance of the loans deviates from initial expectations. These arrangements meet the definition of derivatives under ASC 815 and produce an asset or a liability depending on the credit performance of the underlying loan portfolio as of the reporting date, which are settled periodically in cash based on contractual terms. Under other arrangements, the Company makes an initial investment and is entitled to a portion of cash flows from repayments received over time on the underlying loan portfolios. These cash flows vary depending on the demonstrated credit performance relative to our expectations. These arrangements are debt-like financial instruments with embedded derivatives related to the variability of demonstrated credit performance of underlying loan portfolios against initial expectations. The Company accounts for these derivatives and hybrid instruments at fair value under ASC 815 and ASC 825, respectively. Refer to “</w:t>
      </w:r>
      <w:r>
        <w:rPr>
          <w:rFonts w:ascii="Times New Roman" w:cs="Times New Roman" w:eastAsia="Times New Roman" w:hAnsi="Times New Roman"/>
          <w:sz w:val="18"/>
          <w:szCs w:val="18"/>
          <w:i w:val="1"/>
          <w:iCs w:val="1"/>
          <w:color w:val="auto"/>
        </w:rPr>
        <w:t>Note 5. Fair Value Measurement</w:t>
      </w:r>
      <w:r>
        <w:rPr>
          <w:rFonts w:ascii="Times New Roman" w:cs="Times New Roman" w:eastAsia="Times New Roman" w:hAnsi="Times New Roman"/>
          <w:sz w:val="18"/>
          <w:szCs w:val="18"/>
          <w:color w:val="auto"/>
        </w:rPr>
        <w:t>” for additional information.</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Beneficial interests represent the value of the future cash flows based on expected performance, discounted to the present value. The following table presents the aggregate outstanding principal balance of the underlying loan portfolios as well as the fair value of beneficial interest assets, by type, which collectively are presented as a separate caption on the condensed consolidated balance sheets, and beneficial interest liabilities, which are presented in accrued expenses and other liabilities on the condensed consolidated 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8"/>
                <w:szCs w:val="18"/>
                <w:color w:val="auto"/>
              </w:rPr>
            </w:pPr>
          </w:p>
        </w:tc>
        <w:tc>
          <w:tcPr>
            <w:tcW w:w="280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200" w:type="dxa"/>
            <w:vAlign w:val="bottom"/>
          </w:tcPr>
          <w:p>
            <w:pPr>
              <w:spacing w:after="0"/>
              <w:rPr>
                <w:sz w:val="15"/>
                <w:szCs w:val="15"/>
                <w:color w:val="auto"/>
              </w:rPr>
            </w:pP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15"/>
                <w:szCs w:val="15"/>
                <w:color w:val="auto"/>
              </w:rPr>
            </w:pPr>
          </w:p>
        </w:tc>
        <w:tc>
          <w:tcPr>
            <w:tcW w:w="136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Pr>
          <w:p>
            <w:pPr>
              <w:spacing w:after="0"/>
              <w:rPr>
                <w:sz w:val="15"/>
                <w:szCs w:val="15"/>
                <w:color w:val="auto"/>
              </w:rPr>
            </w:pPr>
          </w:p>
        </w:tc>
        <w:tc>
          <w:tcPr>
            <w:tcW w:w="12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Principal Balance</w:t>
            </w:r>
          </w:p>
        </w:tc>
        <w:tc>
          <w:tcPr>
            <w:tcW w:w="20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Principal Balance</w:t>
            </w:r>
          </w:p>
        </w:tc>
        <w:tc>
          <w:tcPr>
            <w:tcW w:w="22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assets (hybrid instruments)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4,530,737</w:t>
            </w: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372,402</w:t>
            </w: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7,303,390</w:t>
            </w:r>
          </w:p>
        </w:tc>
        <w:tc>
          <w:tcPr>
            <w:tcW w:w="1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587,763</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Beneficial interest assets (derivatives)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2,559,210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2,838,796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25,889</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beneficial interest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7,089,947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10,142,186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613,652</w:t>
            </w:r>
          </w:p>
        </w:tc>
        <w:tc>
          <w:tcPr>
            <w:tcW w:w="0" w:type="dxa"/>
            <w:vAlign w:val="bottom"/>
          </w:tcPr>
          <w:p>
            <w:pPr>
              <w:spacing w:after="0"/>
              <w:rPr>
                <w:sz w:val="1"/>
                <w:szCs w:val="1"/>
                <w:color w:val="auto"/>
              </w:rPr>
            </w:pPr>
          </w:p>
        </w:tc>
      </w:tr>
      <w:tr>
        <w:trPr>
          <w:trHeight w:val="236"/>
        </w:trPr>
        <w:tc>
          <w:tcPr>
            <w:tcW w:w="5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liabilities (derivatives)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2,325,305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3,155,785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beneficial interests at fair value with changes reported as part of the fair value and other adjustments on the condensed consolidated statements of operations and comprehensive income</w:t>
      </w:r>
      <w:r>
        <w:rPr>
          <w:rFonts w:ascii="Times New Roman" w:cs="Times New Roman" w:eastAsia="Times New Roman" w:hAnsi="Times New Roman"/>
          <w:sz w:val="18"/>
          <w:szCs w:val="18"/>
          <w:color w:val="3051F2"/>
        </w:rPr>
        <w:t>.</w:t>
      </w:r>
      <w:r>
        <w:rPr>
          <w:rFonts w:ascii="Times New Roman" w:cs="Times New Roman" w:eastAsia="Times New Roman" w:hAnsi="Times New Roman"/>
          <w:sz w:val="18"/>
          <w:szCs w:val="18"/>
          <w:color w:val="auto"/>
        </w:rPr>
        <w:t xml:space="preserve"> The table below presents net gains (losses) recognized on beneficial interests: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4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80" w:type="dxa"/>
            <w:vAlign w:val="bottom"/>
          </w:tcPr>
          <w:p>
            <w:pPr>
              <w:spacing w:after="0"/>
              <w:rPr>
                <w:sz w:val="17"/>
                <w:szCs w:val="17"/>
                <w:color w:val="auto"/>
              </w:rPr>
            </w:pPr>
          </w:p>
        </w:tc>
        <w:tc>
          <w:tcPr>
            <w:tcW w:w="314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40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20" w:type="dxa"/>
            <w:vAlign w:val="bottom"/>
            <w:tcBorders>
              <w:bottom w:val="single" w:sz="8" w:color="auto"/>
            </w:tcBorders>
          </w:tcPr>
          <w:p>
            <w:pPr>
              <w:spacing w:after="0"/>
              <w:rPr>
                <w:sz w:val="20"/>
                <w:szCs w:val="20"/>
                <w:color w:val="auto"/>
              </w:rPr>
            </w:pPr>
          </w:p>
        </w:tc>
      </w:tr>
      <w:tr>
        <w:trPr>
          <w:trHeight w:val="223"/>
        </w:trPr>
        <w:tc>
          <w:tcPr>
            <w:tcW w:w="40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38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adjustments and realized gains (losses) on</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interests, net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(13,985)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(2,608)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r>
    </w:tbl>
    <w:p>
      <w:pPr>
        <w:spacing w:after="0" w:line="3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beneficial interests are associated with entities that meet the definition of a VIE or are evaluated under the voting interest model. The Company has variable interests in certain entities established in relation to its committed capital and co-investment arrangements, including purchaser trusts, which are unconsolidated VIEs. While the Company holds variable interests in these unconsolidated VIEs through committed capital and co-investment arrangements and as the servicer of the loans sold, the Company does not have the power to direct the activities that most significantly impact the VIE’s economic performance and has determined that it is not the primary beneficiary of these entities. The Company additionally holds loans as collateral in connection with committed capital and other co-investment arrangements in a consolidated VIE. Refer to “</w:t>
      </w:r>
      <w:r>
        <w:rPr>
          <w:rFonts w:ascii="Times New Roman" w:cs="Times New Roman" w:eastAsia="Times New Roman" w:hAnsi="Times New Roman"/>
          <w:sz w:val="18"/>
          <w:szCs w:val="18"/>
          <w:i w:val="1"/>
          <w:iCs w:val="1"/>
          <w:color w:val="auto"/>
        </w:rPr>
        <w:t>Note 3. Variable Interest Entities</w:t>
      </w:r>
      <w:r>
        <w:rPr>
          <w:rFonts w:ascii="Times New Roman" w:cs="Times New Roman" w:eastAsia="Times New Roman" w:hAnsi="Times New Roman"/>
          <w:sz w:val="18"/>
          <w:szCs w:val="18"/>
          <w:color w:val="auto"/>
        </w:rPr>
        <w:t>” for additional information. While held as collateral, these loans are ineligible to be sold and are classified as held-for-investment on the Company’s condensed consolidated balance sheets.</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contractual terms of committed capital and other co-investment arrangements determine the Company’s maximum exposure to losses and dictate types of assets the Company puts at risk. The Company’s maximum exposure to losses from its involvement with these arrangements are estimated under severe, hypothetical circumstances, for which the Company believes the possibility is remote. The following table presents the Company’s aggregate maximum exposure to losses by asset type: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8"/>
                <w:szCs w:val="18"/>
                <w:color w:val="auto"/>
              </w:rPr>
            </w:pPr>
          </w:p>
        </w:tc>
        <w:tc>
          <w:tcPr>
            <w:tcW w:w="15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1"/>
        </w:trPr>
        <w:tc>
          <w:tcPr>
            <w:tcW w:w="73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2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160,055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340,084</w:t>
            </w: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420,010</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587,514</w:t>
            </w:r>
          </w:p>
        </w:tc>
      </w:tr>
      <w:tr>
        <w:trPr>
          <w:trHeight w:val="230"/>
        </w:trPr>
        <w:tc>
          <w:tcPr>
            <w:tcW w:w="7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Line of credit receivable</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106,896</w:t>
            </w:r>
          </w:p>
        </w:tc>
      </w:tr>
      <w:tr>
        <w:trPr>
          <w:trHeight w:val="229"/>
        </w:trPr>
        <w:tc>
          <w:tcPr>
            <w:tcW w:w="7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44,574</w:t>
            </w:r>
          </w:p>
        </w:tc>
      </w:tr>
      <w:tr>
        <w:trPr>
          <w:trHeight w:val="223"/>
        </w:trPr>
        <w:tc>
          <w:tcPr>
            <w:tcW w:w="73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(2)</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931,760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1,499,078</w:t>
            </w:r>
          </w:p>
        </w:tc>
      </w:tr>
      <w:tr>
        <w:trPr>
          <w:trHeight w:val="20"/>
        </w:trPr>
        <w:tc>
          <w:tcPr>
            <w:tcW w:w="7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1" w:lineRule="exact"/>
        <w:rPr>
          <w:sz w:val="20"/>
          <w:szCs w:val="20"/>
          <w:color w:val="auto"/>
        </w:rPr>
      </w:pPr>
    </w:p>
    <w:p>
      <w:pPr>
        <w:ind w:left="480" w:hanging="472"/>
        <w:spacing w:after="0"/>
        <w:tabs>
          <w:tab w:leader="none" w:pos="4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unpaid principal balance.</w:t>
      </w:r>
    </w:p>
    <w:p>
      <w:pPr>
        <w:spacing w:after="0" w:line="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$191.6 million and $181.0 million as of December 31, 2025 and September 30, 2026, respectively, is related to assets held by one institutional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 Measurement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assets and liabilities measured at fair value and categorized in accordance with the fair value hierarchy: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tcPr>
          <w:p>
            <w:pPr>
              <w:spacing w:after="0"/>
              <w:rPr>
                <w:sz w:val="17"/>
                <w:szCs w:val="17"/>
                <w:color w:val="auto"/>
              </w:rPr>
            </w:pP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22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7"/>
                <w:szCs w:val="17"/>
                <w:color w:val="auto"/>
              </w:rPr>
            </w:pPr>
          </w:p>
        </w:tc>
        <w:tc>
          <w:tcPr>
            <w:tcW w:w="15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6180" w:type="dxa"/>
            <w:vAlign w:val="bottom"/>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209"/>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984,552</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940,747</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assets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613,652</w:t>
            </w:r>
          </w:p>
        </w:tc>
        <w:tc>
          <w:tcPr>
            <w:tcW w:w="0" w:type="dxa"/>
            <w:vAlign w:val="bottom"/>
          </w:tcPr>
          <w:p>
            <w:pPr>
              <w:spacing w:after="0"/>
              <w:rPr>
                <w:sz w:val="1"/>
                <w:szCs w:val="1"/>
                <w:color w:val="auto"/>
              </w:rPr>
            </w:pPr>
          </w:p>
        </w:tc>
      </w:tr>
      <w:tr>
        <w:trPr>
          <w:trHeight w:val="22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 and residual certificates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144,613</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Line of credit receivable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112,742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110,110</w:t>
            </w:r>
          </w:p>
        </w:tc>
        <w:tc>
          <w:tcPr>
            <w:tcW w:w="0" w:type="dxa"/>
            <w:vAlign w:val="bottom"/>
          </w:tcPr>
          <w:p>
            <w:pPr>
              <w:spacing w:after="0"/>
              <w:rPr>
                <w:sz w:val="1"/>
                <w:szCs w:val="1"/>
                <w:color w:val="auto"/>
              </w:rPr>
            </w:pPr>
          </w:p>
        </w:tc>
      </w:tr>
      <w:tr>
        <w:trPr>
          <w:trHeight w:val="23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servicing assets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67,973</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cap</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1,632,092</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1,877,173</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to securitization note holders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46,542</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25,505</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liabilities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20,550</w:t>
            </w:r>
          </w:p>
        </w:tc>
        <w:tc>
          <w:tcPr>
            <w:tcW w:w="0" w:type="dxa"/>
            <w:vAlign w:val="bottom"/>
          </w:tcPr>
          <w:p>
            <w:pPr>
              <w:spacing w:after="0"/>
              <w:rPr>
                <w:sz w:val="1"/>
                <w:szCs w:val="1"/>
                <w:color w:val="auto"/>
              </w:rPr>
            </w:pPr>
          </w:p>
        </w:tc>
      </w:tr>
      <w:tr>
        <w:trPr>
          <w:trHeight w:val="23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servicing liabilities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Trailing fee liabilities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0" w:type="dxa"/>
            <w:vAlign w:val="bottom"/>
          </w:tcPr>
          <w:p>
            <w:pPr>
              <w:spacing w:after="0"/>
              <w:rPr>
                <w:sz w:val="1"/>
                <w:szCs w:val="1"/>
                <w:color w:val="auto"/>
              </w:rPr>
            </w:pPr>
          </w:p>
        </w:tc>
      </w:tr>
      <w:tr>
        <w:trPr>
          <w:trHeight w:val="22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61,761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60,011</w:t>
            </w: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Financial instruments are categorized in the fair value hierarchy based on the significance of unobservable inputs and assumptions in the overall fair value measurement. Financial instruments classified as Level 3 within the fair value hierarchy </w:t>
      </w:r>
      <w:r>
        <w:rPr>
          <w:rFonts w:ascii="Times New Roman" w:cs="Times New Roman" w:eastAsia="Times New Roman" w:hAnsi="Times New Roman"/>
          <w:sz w:val="18"/>
          <w:szCs w:val="18"/>
          <w:color w:val="242424"/>
        </w:rPr>
        <w:t>do not trade in an active market with readily observable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prices. The Company uses significant unobservable inputs to measure the fair value of these assets and liabilities. </w:t>
      </w:r>
      <w:r>
        <w:rPr>
          <w:rFonts w:ascii="Times New Roman" w:cs="Times New Roman" w:eastAsia="Times New Roman" w:hAnsi="Times New Roman"/>
          <w:sz w:val="18"/>
          <w:szCs w:val="18"/>
          <w:color w:val="000000"/>
        </w:rPr>
        <w:t>There were no transfers between Level 1,</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Level 2 or Level 3 of the fair value hierarchy during the periods presented.</w:t>
      </w: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Loans included in the Company’s condensed consolidated balance sheets are classified as either held-for-sale or held-for-investment based on the Company’s intent and ability to sell the loans prior to maturity. The Company reassesses such intent and ability on an ongoing basis and may transfer loans between categories as circumstances change. Loans held in the consolidated securitization include those loans contributed as collateral to the securitization and are classified as held-for-sale.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fair value of loans held on the Company’s condensed consolidated balance sheets by classification: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18"/>
                <w:szCs w:val="18"/>
                <w:color w:val="auto"/>
              </w:rPr>
            </w:pPr>
          </w:p>
        </w:tc>
        <w:tc>
          <w:tcPr>
            <w:tcW w:w="17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1"/>
        </w:trPr>
        <w:tc>
          <w:tcPr>
            <w:tcW w:w="69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25"/>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659,324</w:t>
            </w: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held-for-investment</w:t>
            </w: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537,631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252,535</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in consolidated securitization</w:t>
            </w:r>
          </w:p>
        </w:tc>
        <w:tc>
          <w:tcPr>
            <w:tcW w:w="3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28,888</w:t>
            </w:r>
          </w:p>
        </w:tc>
      </w:tr>
      <w:tr>
        <w:trPr>
          <w:trHeight w:val="223"/>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984,552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940,747</w:t>
            </w: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Loans held-for-sale and held-for-investment are measured at estimated fair value using a DCF model. The fair valuation methodology considers projected prepayments and historical defaults, losses and recoveries to project future losses and net cash flows on loans. Net cash flows are discounted using an estimate of market rates of return. The fair value of these loans also includes accrued interest.</w:t>
      </w:r>
    </w:p>
    <w:p>
      <w:pPr>
        <w:spacing w:after="0" w:line="20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For the consolidated securitization, the Company elected the measurement alternative under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and maximizes the use of observable inputs to estimate the fair value of the financial assets and liabilities of the securitization. Under the measurement alternative, the Company determined that inputs and market data used to determine the value of the liabilities, which consist of securitization notes and residual certificates, are more observable than those used to measure fair value of the financial assets, which consist of held-for-sale loans. Thus, the loans are measured based on the sum of the fair value of the securitization notes and residual certificates. The fair value is also corroborated with a DCF model that considers projected prepayments and historical defaults, losses and recoveries to project future losses and net cash flows on loans, discounted using an estimate of market rates of return as disclosed below in the “Significant Inputs and Assumptions” section. The fair value of loans in the consolidated securitization also includes accrued interest.</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for loans held-for-investment and held-for-sale, excluding loans held in the consolidated securitization: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3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320" w:type="dxa"/>
            <w:vAlign w:val="bottom"/>
          </w:tcPr>
          <w:p>
            <w:pPr>
              <w:spacing w:after="0"/>
              <w:rPr>
                <w:sz w:val="15"/>
                <w:szCs w:val="15"/>
                <w:color w:val="auto"/>
              </w:rPr>
            </w:pPr>
          </w:p>
        </w:tc>
        <w:tc>
          <w:tcPr>
            <w:tcW w:w="1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ind w:left="340"/>
              <w:spacing w:after="0" w:line="174"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00" w:type="dxa"/>
            <w:vAlign w:val="bottom"/>
          </w:tcPr>
          <w:p>
            <w:pPr>
              <w:spacing w:after="0"/>
              <w:rPr>
                <w:sz w:val="15"/>
                <w:szCs w:val="15"/>
                <w:color w:val="auto"/>
              </w:rPr>
            </w:pPr>
          </w:p>
        </w:tc>
        <w:tc>
          <w:tcPr>
            <w:tcW w:w="1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ind w:right="250"/>
              <w:spacing w:after="0" w:line="174"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38"/>
        </w:trPr>
        <w:tc>
          <w:tcPr>
            <w:tcW w:w="232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1580" w:type="dxa"/>
            <w:vAlign w:val="bottom"/>
            <w:gridSpan w:val="2"/>
          </w:tcPr>
          <w:p>
            <w:pPr>
              <w:ind w:left="360"/>
              <w:spacing w:after="0" w:line="239" w:lineRule="exact"/>
              <w:rPr>
                <w:sz w:val="20"/>
                <w:szCs w:val="20"/>
                <w:color w:val="auto"/>
              </w:rPr>
            </w:pPr>
            <w:r>
              <w:rPr>
                <w:rFonts w:ascii="Times New Roman" w:cs="Times New Roman" w:eastAsia="Times New Roman" w:hAnsi="Times New Roman"/>
                <w:sz w:val="18"/>
                <w:szCs w:val="18"/>
                <w:b w:val="1"/>
                <w:bCs w:val="1"/>
                <w:color w:val="auto"/>
              </w:rPr>
              <w:t>Average</w:t>
            </w:r>
            <w:r>
              <w:rPr>
                <w:rFonts w:ascii="Times New Roman" w:cs="Times New Roman" w:eastAsia="Times New Roman" w:hAnsi="Times New Roman"/>
                <w:sz w:val="23"/>
                <w:szCs w:val="23"/>
                <w:color w:val="auto"/>
                <w:vertAlign w:val="superscript"/>
              </w:rPr>
              <w:t>(1)</w:t>
            </w:r>
          </w:p>
        </w:tc>
        <w:tc>
          <w:tcPr>
            <w:tcW w:w="1460" w:type="dxa"/>
            <w:vAlign w:val="bottom"/>
            <w:gridSpan w:val="2"/>
            <w:vMerge w:val="continue"/>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1480" w:type="dxa"/>
            <w:vAlign w:val="bottom"/>
          </w:tcPr>
          <w:p>
            <w:pPr>
              <w:jc w:val="right"/>
              <w:ind w:right="270"/>
              <w:spacing w:after="0" w:line="239" w:lineRule="exact"/>
              <w:rPr>
                <w:sz w:val="20"/>
                <w:szCs w:val="20"/>
                <w:color w:val="auto"/>
              </w:rPr>
            </w:pPr>
            <w:r>
              <w:rPr>
                <w:rFonts w:ascii="Times New Roman" w:cs="Times New Roman" w:eastAsia="Times New Roman" w:hAnsi="Times New Roman"/>
                <w:sz w:val="18"/>
                <w:szCs w:val="18"/>
                <w:b w:val="1"/>
                <w:bCs w:val="1"/>
                <w:color w:val="auto"/>
              </w:rPr>
              <w:t>Average</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14.78 %</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9.51 %</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9.97 %</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91.50 %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92.21 %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17.56 %</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99.75 %</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99.61 %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480" w:hanging="472"/>
        <w:spacing w:after="0"/>
        <w:tabs>
          <w:tab w:leader="none" w:pos="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relative fair value.</w:t>
      </w:r>
    </w:p>
    <w:p>
      <w:pPr>
        <w:spacing w:after="0" w:line="24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implied for the Company’s Level 3 fair value measurements for loans held in the consolidated securitization: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3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0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ind w:right="250"/>
              <w:spacing w:after="0" w:line="171"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580" w:type="dxa"/>
            <w:vAlign w:val="bottom"/>
            <w:gridSpan w:val="2"/>
          </w:tcPr>
          <w:p>
            <w:pPr>
              <w:ind w:left="360"/>
              <w:spacing w:after="0" w:line="243" w:lineRule="exact"/>
              <w:rPr>
                <w:sz w:val="20"/>
                <w:szCs w:val="20"/>
                <w:color w:val="auto"/>
              </w:rPr>
            </w:pPr>
            <w:r>
              <w:rPr>
                <w:rFonts w:ascii="Times New Roman" w:cs="Times New Roman" w:eastAsia="Times New Roman" w:hAnsi="Times New Roman"/>
                <w:sz w:val="18"/>
                <w:szCs w:val="18"/>
                <w:b w:val="1"/>
                <w:bCs w:val="1"/>
                <w:color w:val="auto"/>
              </w:rPr>
              <w:t>Average</w:t>
            </w:r>
            <w:r>
              <w:rPr>
                <w:rFonts w:ascii="Times New Roman" w:cs="Times New Roman" w:eastAsia="Times New Roman" w:hAnsi="Times New Roman"/>
                <w:sz w:val="23"/>
                <w:szCs w:val="23"/>
                <w:color w:val="auto"/>
                <w:vertAlign w:val="superscript"/>
              </w:rPr>
              <w:t>(1)</w:t>
            </w:r>
          </w:p>
        </w:tc>
        <w:tc>
          <w:tcPr>
            <w:tcW w:w="1460" w:type="dxa"/>
            <w:vAlign w:val="bottom"/>
            <w:gridSpan w:val="2"/>
            <w:vMerge w:val="continue"/>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1480" w:type="dxa"/>
            <w:vAlign w:val="bottom"/>
          </w:tcPr>
          <w:p>
            <w:pPr>
              <w:jc w:val="right"/>
              <w:ind w:right="270"/>
              <w:spacing w:after="0" w:line="243" w:lineRule="exact"/>
              <w:rPr>
                <w:sz w:val="20"/>
                <w:szCs w:val="20"/>
                <w:color w:val="auto"/>
              </w:rPr>
            </w:pPr>
            <w:r>
              <w:rPr>
                <w:rFonts w:ascii="Times New Roman" w:cs="Times New Roman" w:eastAsia="Times New Roman" w:hAnsi="Times New Roman"/>
                <w:sz w:val="18"/>
                <w:szCs w:val="18"/>
                <w:b w:val="1"/>
                <w:bCs w:val="1"/>
                <w:color w:val="auto"/>
              </w:rPr>
              <w:t>Average</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15.00 %</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10.43 %</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11.74 %</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16.34 %</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89.84 %</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39.12 %</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480" w:hanging="472"/>
        <w:spacing w:after="0"/>
        <w:tabs>
          <w:tab w:leader="none" w:pos="4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relative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Discount rates</w:t>
      </w:r>
      <w:r>
        <w:rPr>
          <w:rFonts w:ascii="Times New Roman" w:cs="Times New Roman" w:eastAsia="Times New Roman" w:hAnsi="Times New Roman"/>
          <w:sz w:val="18"/>
          <w:szCs w:val="18"/>
          <w:color w:val="auto"/>
        </w:rPr>
        <w:t>–The discount rates are rates of return used to discount future expected cash flows to arrive at a present value, which represents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The discount rates used for the projected net cash flows are the Company’s estimates of the rates of return that market participants would require when investing in these financial instruments with cash flows dependent on credit quality of the related loan. A risk premium component is implicitly included in the discount rates to reflect the amount of compensation market participants require due to the uncertainty inherent in the instruments’ cash flows resulting from risks such as credit and liquidity.</w:t>
      </w:r>
    </w:p>
    <w:p>
      <w:pPr>
        <w:spacing w:after="0" w:line="21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Credit risk rates</w:t>
      </w:r>
      <w:r>
        <w:rPr>
          <w:rFonts w:ascii="Times New Roman" w:cs="Times New Roman" w:eastAsia="Times New Roman" w:hAnsi="Times New Roman"/>
          <w:sz w:val="18"/>
          <w:szCs w:val="18"/>
          <w:color w:val="auto"/>
        </w:rPr>
        <w:t>–The credit risk rates are an estimate of the net cumulative principal payments that will not be repaid over the entire life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instrument. The credit risk rates are expressed as a percentage of the original principal amount of the instrument. The estimated net cumulative loss represents the sum of the net losses estimated to occur each month of the life of the instrument, net of the average recovery expected to be received.</w:t>
      </w:r>
    </w:p>
    <w:p>
      <w:pPr>
        <w:spacing w:after="0" w:line="20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Prepayment rates</w:t>
      </w:r>
      <w:r>
        <w:rPr>
          <w:rFonts w:ascii="Times New Roman" w:cs="Times New Roman" w:eastAsia="Times New Roman" w:hAnsi="Times New Roman"/>
          <w:sz w:val="18"/>
          <w:szCs w:val="18"/>
          <w:color w:val="auto"/>
        </w:rPr>
        <w:t>–Prepayment rates are an estimate of the cumulative principal prepayments that will occur over the entire life of a loan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the original principal amount of the loan. The assumption regarding cumulative prepayments impacts the projected balances and expected terms of the loans.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sensitivity of the fair value of loans held-for-sale and held-for-investment, excluding loans held in the consolidated securitization, to adverse changes in the significant assumptions used in the valuation model. Adverse changes in prepayment rates do not result in a material impact to the fair value of loans held-for-sale and held-for-investment as of December 31, 2025 and September 30, 2026.</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18"/>
                <w:szCs w:val="18"/>
                <w:color w:val="auto"/>
              </w:rPr>
            </w:pPr>
          </w:p>
        </w:tc>
        <w:tc>
          <w:tcPr>
            <w:tcW w:w="17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69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loans held-for-sale and held-for-investment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930,790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911,859</w:t>
            </w:r>
          </w:p>
        </w:tc>
      </w:tr>
      <w:tr>
        <w:trPr>
          <w:trHeight w:val="20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rates</w:t>
            </w: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100 basis point increase</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(12,006)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(10,707)</w:t>
            </w: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200 basis point increase</w:t>
            </w:r>
          </w:p>
        </w:tc>
        <w:tc>
          <w:tcPr>
            <w:tcW w:w="320" w:type="dxa"/>
            <w:vAlign w:val="bottom"/>
          </w:tcPr>
          <w:p>
            <w:pPr>
              <w:spacing w:after="0"/>
              <w:rPr>
                <w:sz w:val="19"/>
                <w:szCs w:val="19"/>
                <w:color w:val="auto"/>
              </w:rPr>
            </w:pPr>
          </w:p>
        </w:tc>
        <w:tc>
          <w:tcPr>
            <w:tcW w:w="17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(23,623)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(21,062)</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credit loss rates on underlying loans</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 adverse change</w:t>
            </w:r>
          </w:p>
        </w:tc>
        <w:tc>
          <w:tcPr>
            <w:tcW w:w="320" w:type="dxa"/>
            <w:vAlign w:val="bottom"/>
          </w:tcPr>
          <w:p>
            <w:pPr>
              <w:spacing w:after="0"/>
              <w:rPr>
                <w:sz w:val="19"/>
                <w:szCs w:val="19"/>
                <w:color w:val="auto"/>
              </w:rPr>
            </w:pPr>
          </w:p>
        </w:tc>
        <w:tc>
          <w:tcPr>
            <w:tcW w:w="17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(10,465)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(8,271)</w:t>
            </w: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 adverse change</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(20,397)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(16,223)</w:t>
            </w:r>
          </w:p>
        </w:tc>
      </w:tr>
    </w:tbl>
    <w:p>
      <w:pPr>
        <w:spacing w:after="0" w:line="3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Adverse changes in significant assumptions do not result in a material impact to the fair value of loans held in the consolidated securitization as of December 31, 2025 and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40" w:type="dxa"/>
            <w:vAlign w:val="bottom"/>
          </w:tcPr>
          <w:p>
            <w:pPr>
              <w:spacing w:after="0"/>
              <w:rPr>
                <w:sz w:val="20"/>
                <w:szCs w:val="20"/>
                <w:color w:val="auto"/>
              </w:rPr>
            </w:pPr>
          </w:p>
        </w:tc>
        <w:tc>
          <w:tcPr>
            <w:tcW w:w="40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40" w:type="dxa"/>
            <w:vAlign w:val="bottom"/>
          </w:tcPr>
          <w:p>
            <w:pPr>
              <w:spacing w:after="0"/>
              <w:rPr>
                <w:sz w:val="24"/>
                <w:szCs w:val="24"/>
                <w:color w:val="auto"/>
              </w:rPr>
            </w:pPr>
          </w:p>
        </w:tc>
        <w:tc>
          <w:tcPr>
            <w:tcW w:w="778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w w:val="99"/>
              </w:rPr>
              <w:t>The following tables present a rollforward of loans classified within Level 3 of the fair value hierarchy:</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Loans Held-for-</w:t>
            </w:r>
          </w:p>
        </w:tc>
        <w:tc>
          <w:tcPr>
            <w:tcW w:w="26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Loans Held in</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Loans Held-for-Sale</w:t>
            </w:r>
          </w:p>
        </w:tc>
        <w:tc>
          <w:tcPr>
            <w:tcW w:w="1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b w:val="1"/>
                <w:bCs w:val="1"/>
                <w:color w:val="auto"/>
              </w:rPr>
              <w:t>Consolidated</w:t>
            </w:r>
          </w:p>
        </w:tc>
        <w:tc>
          <w:tcPr>
            <w:tcW w:w="380" w:type="dxa"/>
            <w:vAlign w:val="bottom"/>
          </w:tcPr>
          <w:p>
            <w:pPr>
              <w:spacing w:after="0"/>
              <w:rPr>
                <w:sz w:val="15"/>
                <w:szCs w:val="15"/>
                <w:color w:val="auto"/>
              </w:rPr>
            </w:pPr>
          </w:p>
        </w:tc>
        <w:tc>
          <w:tcPr>
            <w:tcW w:w="126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1740" w:type="dxa"/>
            <w:vAlign w:val="bottom"/>
            <w:gridSpan w:val="3"/>
            <w:vMerge w:val="continue"/>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60" w:type="dxa"/>
            <w:vAlign w:val="bottom"/>
          </w:tcPr>
          <w:p>
            <w:pPr>
              <w:spacing w:after="0"/>
              <w:rPr>
                <w:sz w:val="21"/>
                <w:szCs w:val="21"/>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Securitization</w:t>
            </w:r>
          </w:p>
        </w:tc>
        <w:tc>
          <w:tcPr>
            <w:tcW w:w="38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2025</w:t>
            </w: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445,787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497,867</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75,850</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1,019,504</w:t>
            </w:r>
          </w:p>
        </w:tc>
        <w:tc>
          <w:tcPr>
            <w:tcW w:w="0" w:type="dxa"/>
            <w:vAlign w:val="bottom"/>
          </w:tcPr>
          <w:p>
            <w:pPr>
              <w:spacing w:after="0"/>
              <w:rPr>
                <w:sz w:val="1"/>
                <w:szCs w:val="1"/>
                <w:color w:val="auto"/>
              </w:rPr>
            </w:pPr>
          </w:p>
        </w:tc>
      </w:tr>
      <w:tr>
        <w:trPr>
          <w:trHeight w:val="223"/>
        </w:trPr>
        <w:tc>
          <w:tcPr>
            <w:tcW w:w="440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Purchases and originations of loans</w:t>
            </w:r>
            <w:r>
              <w:rPr>
                <w:rFonts w:ascii="Times New Roman" w:cs="Times New Roman" w:eastAsia="Times New Roman" w:hAnsi="Times New Roman"/>
                <w:sz w:val="23"/>
                <w:szCs w:val="23"/>
                <w:color w:val="auto"/>
                <w:vertAlign w:val="superscript"/>
              </w:rPr>
              <w:t>(1)</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560,563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848,663</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Sale of loans</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(451,563)</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of loans for immediate resale</w:t>
            </w:r>
            <w:r>
              <w:rPr>
                <w:rFonts w:ascii="Times New Roman" w:cs="Times New Roman" w:eastAsia="Times New Roman" w:hAnsi="Times New Roman"/>
                <w:sz w:val="23"/>
                <w:szCs w:val="23"/>
                <w:color w:val="auto"/>
                <w:vertAlign w:val="superscript"/>
              </w:rPr>
              <w:t>(1)</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1,885,786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1,885,786</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Immediate resale of loans</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(1,885,786)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(1,885,786)</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Repayments received</w:t>
            </w:r>
            <w:r>
              <w:rPr>
                <w:rFonts w:ascii="Times New Roman" w:cs="Times New Roman" w:eastAsia="Times New Roman" w:hAnsi="Times New Roman"/>
                <w:sz w:val="23"/>
                <w:szCs w:val="23"/>
                <w:color w:val="auto"/>
                <w:vertAlign w:val="superscript"/>
              </w:rPr>
              <w:t>(1)</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(90,705)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(157,301)</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 and changes in fair value recorded in earnings</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(45,813)</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changes</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16,486</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2025</w:t>
            </w: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1,229,976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40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Represents the principal balance.</w:t>
            </w: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Loans Held-for-</w:t>
            </w:r>
          </w:p>
        </w:tc>
        <w:tc>
          <w:tcPr>
            <w:tcW w:w="260" w:type="dxa"/>
            <w:vAlign w:val="bottom"/>
          </w:tcPr>
          <w:p>
            <w:pPr>
              <w:spacing w:after="0"/>
              <w:rPr>
                <w:sz w:val="17"/>
                <w:szCs w:val="17"/>
                <w:color w:val="auto"/>
              </w:rPr>
            </w:pPr>
          </w:p>
        </w:tc>
        <w:tc>
          <w:tcPr>
            <w:tcW w:w="1480" w:type="dxa"/>
            <w:vAlign w:val="bottom"/>
            <w:gridSpan w:val="2"/>
          </w:tcPr>
          <w:p>
            <w:pPr>
              <w:jc w:val="center"/>
              <w:ind w:right="360"/>
              <w:spacing w:after="0" w:line="204" w:lineRule="exact"/>
              <w:rPr>
                <w:sz w:val="20"/>
                <w:szCs w:val="20"/>
                <w:color w:val="auto"/>
              </w:rPr>
            </w:pPr>
            <w:r>
              <w:rPr>
                <w:rFonts w:ascii="Times New Roman" w:cs="Times New Roman" w:eastAsia="Times New Roman" w:hAnsi="Times New Roman"/>
                <w:sz w:val="18"/>
                <w:szCs w:val="18"/>
                <w:b w:val="1"/>
                <w:bCs w:val="1"/>
                <w:color w:val="auto"/>
                <w:w w:val="99"/>
              </w:rPr>
              <w:t>Loans Held in</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Loans Held-for-Sale</w:t>
            </w:r>
          </w:p>
        </w:tc>
        <w:tc>
          <w:tcPr>
            <w:tcW w:w="1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jc w:val="center"/>
              <w:ind w:right="340"/>
              <w:spacing w:after="0" w:line="184" w:lineRule="exact"/>
              <w:rPr>
                <w:sz w:val="20"/>
                <w:szCs w:val="20"/>
                <w:color w:val="auto"/>
              </w:rPr>
            </w:pPr>
            <w:r>
              <w:rPr>
                <w:rFonts w:ascii="Times New Roman" w:cs="Times New Roman" w:eastAsia="Times New Roman" w:hAnsi="Times New Roman"/>
                <w:sz w:val="18"/>
                <w:szCs w:val="18"/>
                <w:b w:val="1"/>
                <w:bCs w:val="1"/>
                <w:color w:val="auto"/>
              </w:rPr>
              <w:t>Consolidated</w:t>
            </w:r>
          </w:p>
        </w:tc>
        <w:tc>
          <w:tcPr>
            <w:tcW w:w="380" w:type="dxa"/>
            <w:vAlign w:val="bottom"/>
          </w:tcPr>
          <w:p>
            <w:pPr>
              <w:spacing w:after="0"/>
              <w:rPr>
                <w:sz w:val="16"/>
                <w:szCs w:val="16"/>
                <w:color w:val="auto"/>
              </w:rPr>
            </w:pPr>
          </w:p>
        </w:tc>
        <w:tc>
          <w:tcPr>
            <w:tcW w:w="126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74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60" w:type="dxa"/>
            <w:vAlign w:val="bottom"/>
          </w:tcPr>
          <w:p>
            <w:pPr>
              <w:spacing w:after="0"/>
              <w:rPr>
                <w:sz w:val="19"/>
                <w:szCs w:val="19"/>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Securitization</w:t>
            </w:r>
          </w:p>
        </w:tc>
        <w:tc>
          <w:tcPr>
            <w:tcW w:w="3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2024</w:t>
            </w: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297,543</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102,949</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806,304</w:t>
            </w:r>
          </w:p>
        </w:tc>
        <w:tc>
          <w:tcPr>
            <w:tcW w:w="0" w:type="dxa"/>
            <w:vAlign w:val="bottom"/>
          </w:tcPr>
          <w:p>
            <w:pPr>
              <w:spacing w:after="0"/>
              <w:rPr>
                <w:sz w:val="1"/>
                <w:szCs w:val="1"/>
                <w:color w:val="auto"/>
              </w:rPr>
            </w:pPr>
          </w:p>
        </w:tc>
      </w:tr>
      <w:tr>
        <w:trPr>
          <w:trHeight w:val="223"/>
        </w:trPr>
        <w:tc>
          <w:tcPr>
            <w:tcW w:w="440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Purchases and originations of loans</w:t>
            </w:r>
            <w:r>
              <w:rPr>
                <w:rFonts w:ascii="Times New Roman" w:cs="Times New Roman" w:eastAsia="Times New Roman" w:hAnsi="Times New Roman"/>
                <w:sz w:val="23"/>
                <w:szCs w:val="23"/>
                <w:color w:val="auto"/>
                <w:vertAlign w:val="superscript"/>
              </w:rPr>
              <w:t>(1)</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1,832,372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665,998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2,498,370</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Sale of loans</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(1,541,321)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(1,590,954)</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of loans for immediate resale</w:t>
            </w:r>
            <w:r>
              <w:rPr>
                <w:rFonts w:ascii="Times New Roman" w:cs="Times New Roman" w:eastAsia="Times New Roman" w:hAnsi="Times New Roman"/>
                <w:sz w:val="23"/>
                <w:szCs w:val="23"/>
                <w:color w:val="auto"/>
                <w:vertAlign w:val="superscript"/>
              </w:rPr>
              <w:t>(1)</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4,594,319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4,594,319</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Immediate resale of loans</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(4,594,319)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(4,594,319)</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Repayments received</w:t>
            </w:r>
            <w:r>
              <w:rPr>
                <w:rFonts w:ascii="Times New Roman" w:cs="Times New Roman" w:eastAsia="Times New Roman" w:hAnsi="Times New Roman"/>
                <w:sz w:val="23"/>
                <w:szCs w:val="23"/>
                <w:color w:val="auto"/>
                <w:vertAlign w:val="superscript"/>
              </w:rPr>
              <w:t>(1)</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(217,483)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(390,313)</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 and changes in fair value recorded in earnings</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(129,065)</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changes</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35,634</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2025</w:t>
            </w: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1,229,976</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480" w:hanging="472"/>
        <w:spacing w:after="0"/>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principal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Loans Held-for-</w:t>
            </w:r>
          </w:p>
        </w:tc>
        <w:tc>
          <w:tcPr>
            <w:tcW w:w="200" w:type="dxa"/>
            <w:vAlign w:val="bottom"/>
          </w:tcPr>
          <w:p>
            <w:pPr>
              <w:spacing w:after="0"/>
              <w:rPr>
                <w:sz w:val="17"/>
                <w:szCs w:val="17"/>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Loans Held in</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400" w:type="dxa"/>
            <w:vAlign w:val="bottom"/>
          </w:tcPr>
          <w:p>
            <w:pPr>
              <w:spacing w:after="0"/>
              <w:rPr>
                <w:sz w:val="16"/>
                <w:szCs w:val="16"/>
                <w:color w:val="auto"/>
              </w:rPr>
            </w:pPr>
          </w:p>
        </w:tc>
        <w:tc>
          <w:tcPr>
            <w:tcW w:w="1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Loans Held-for-Sale</w:t>
            </w:r>
          </w:p>
        </w:tc>
        <w:tc>
          <w:tcPr>
            <w:tcW w:w="1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rPr>
              <w:t>Consolidated</w:t>
            </w:r>
          </w:p>
        </w:tc>
        <w:tc>
          <w:tcPr>
            <w:tcW w:w="380" w:type="dxa"/>
            <w:vAlign w:val="bottom"/>
          </w:tcPr>
          <w:p>
            <w:pPr>
              <w:spacing w:after="0"/>
              <w:rPr>
                <w:sz w:val="16"/>
                <w:szCs w:val="16"/>
                <w:color w:val="auto"/>
              </w:rPr>
            </w:pPr>
          </w:p>
        </w:tc>
        <w:tc>
          <w:tcPr>
            <w:tcW w:w="126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400" w:type="dxa"/>
            <w:vAlign w:val="bottom"/>
          </w:tcPr>
          <w:p>
            <w:pPr>
              <w:spacing w:after="0"/>
              <w:rPr>
                <w:sz w:val="19"/>
                <w:szCs w:val="19"/>
                <w:color w:val="auto"/>
              </w:rPr>
            </w:pPr>
          </w:p>
        </w:tc>
        <w:tc>
          <w:tcPr>
            <w:tcW w:w="174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00" w:type="dxa"/>
            <w:vAlign w:val="bottom"/>
          </w:tcPr>
          <w:p>
            <w:pPr>
              <w:spacing w:after="0"/>
              <w:rPr>
                <w:sz w:val="19"/>
                <w:szCs w:val="19"/>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Securitization</w:t>
            </w:r>
          </w:p>
        </w:tc>
        <w:tc>
          <w:tcPr>
            <w:tcW w:w="3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2026</w:t>
            </w: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787,154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240,758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36,327</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1,064,239</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Purchases and originations of loans</w:t>
            </w:r>
            <w:r>
              <w:rPr>
                <w:rFonts w:ascii="Times New Roman" w:cs="Times New Roman" w:eastAsia="Times New Roman" w:hAnsi="Times New Roman"/>
                <w:sz w:val="23"/>
                <w:szCs w:val="23"/>
                <w:color w:val="auto"/>
                <w:vertAlign w:val="superscript"/>
              </w:rPr>
              <w:t>(1)(2)</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868,498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243,041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1,111,539</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Sale of loans</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(912,448)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(146,480)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(1,058,928)</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of loans for immediate resale</w:t>
            </w:r>
            <w:r>
              <w:rPr>
                <w:rFonts w:ascii="Times New Roman" w:cs="Times New Roman" w:eastAsia="Times New Roman" w:hAnsi="Times New Roman"/>
                <w:sz w:val="23"/>
                <w:szCs w:val="23"/>
                <w:color w:val="auto"/>
                <w:vertAlign w:val="superscript"/>
              </w:rPr>
              <w:t>(1)</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2,820,538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2,820,538</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Immediate resale of loans</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(2,820,538)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(2,820,538)</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Repayments received</w:t>
            </w:r>
            <w:r>
              <w:rPr>
                <w:rFonts w:ascii="Times New Roman" w:cs="Times New Roman" w:eastAsia="Times New Roman" w:hAnsi="Times New Roman"/>
                <w:sz w:val="23"/>
                <w:szCs w:val="23"/>
                <w:color w:val="auto"/>
                <w:vertAlign w:val="superscript"/>
              </w:rPr>
              <w:t>(1)</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(71,870)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(139,068)</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 and changes in fair value recorded in earnings</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(46,331)</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changes</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9,296</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2026</w:t>
            </w: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940,747</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480" w:hanging="472"/>
        <w:spacing w:after="0"/>
        <w:tabs>
          <w:tab w:leader="none" w:pos="4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principal balance.</w:t>
      </w:r>
    </w:p>
    <w:p>
      <w:pPr>
        <w:spacing w:after="0" w:line="1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activity includes an immaterial unpaid principal balance related to securitization clean-up calls during the three months ended September 30, 2026.</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Loans Held-for-</w:t>
            </w:r>
          </w:p>
        </w:tc>
        <w:tc>
          <w:tcPr>
            <w:tcW w:w="200" w:type="dxa"/>
            <w:vAlign w:val="bottom"/>
          </w:tcPr>
          <w:p>
            <w:pPr>
              <w:spacing w:after="0"/>
              <w:rPr>
                <w:sz w:val="17"/>
                <w:szCs w:val="17"/>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Loans Held in</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1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Loans Held-for-Sale</w:t>
            </w:r>
          </w:p>
        </w:tc>
        <w:tc>
          <w:tcPr>
            <w:tcW w:w="1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rPr>
              <w:t>Consolidated</w:t>
            </w:r>
          </w:p>
        </w:tc>
        <w:tc>
          <w:tcPr>
            <w:tcW w:w="380" w:type="dxa"/>
            <w:vAlign w:val="bottom"/>
          </w:tcPr>
          <w:p>
            <w:pPr>
              <w:spacing w:after="0"/>
              <w:rPr>
                <w:sz w:val="15"/>
                <w:szCs w:val="15"/>
                <w:color w:val="auto"/>
              </w:rPr>
            </w:pPr>
          </w:p>
        </w:tc>
        <w:tc>
          <w:tcPr>
            <w:tcW w:w="126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1"/>
                <w:szCs w:val="21"/>
                <w:color w:val="auto"/>
              </w:rPr>
            </w:pPr>
          </w:p>
        </w:tc>
        <w:tc>
          <w:tcPr>
            <w:tcW w:w="1740" w:type="dxa"/>
            <w:vAlign w:val="bottom"/>
            <w:gridSpan w:val="3"/>
            <w:vMerge w:val="continue"/>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00" w:type="dxa"/>
            <w:vAlign w:val="bottom"/>
          </w:tcPr>
          <w:p>
            <w:pPr>
              <w:spacing w:after="0"/>
              <w:rPr>
                <w:sz w:val="21"/>
                <w:szCs w:val="21"/>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Securitization</w:t>
            </w:r>
          </w:p>
        </w:tc>
        <w:tc>
          <w:tcPr>
            <w:tcW w:w="38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2025</w:t>
            </w: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393,159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537,631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53,762</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984,552</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Reclassification of loans</w:t>
            </w:r>
            <w:r>
              <w:rPr>
                <w:rFonts w:ascii="Times New Roman" w:cs="Times New Roman" w:eastAsia="Times New Roman" w:hAnsi="Times New Roman"/>
                <w:sz w:val="23"/>
                <w:szCs w:val="23"/>
                <w:color w:val="auto"/>
                <w:vertAlign w:val="superscript"/>
              </w:rPr>
              <w:t>(1)(2)</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(306,159)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Purchases and originations of loans</w:t>
            </w:r>
            <w:r>
              <w:rPr>
                <w:rFonts w:ascii="Times New Roman" w:cs="Times New Roman" w:eastAsia="Times New Roman" w:hAnsi="Times New Roman"/>
                <w:sz w:val="23"/>
                <w:szCs w:val="23"/>
                <w:color w:val="auto"/>
                <w:vertAlign w:val="superscript"/>
              </w:rPr>
              <w:t>(1)(3)</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2,215,116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860,153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3,075,269</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Sale of loans</w:t>
            </w:r>
            <w:r>
              <w:rPr>
                <w:rFonts w:ascii="Times New Roman" w:cs="Times New Roman" w:eastAsia="Times New Roman" w:hAnsi="Times New Roman"/>
                <w:sz w:val="23"/>
                <w:szCs w:val="23"/>
                <w:color w:val="auto"/>
                <w:vertAlign w:val="superscript"/>
              </w:rPr>
              <w:t>(1)</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(2,040,031)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(2,621,452)</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of loans for immediate resale</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7,534,552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7,534,552</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Immediate resale of loans</w:t>
            </w:r>
            <w:r>
              <w:rPr>
                <w:rFonts w:ascii="Times New Roman" w:cs="Times New Roman" w:eastAsia="Times New Roman" w:hAnsi="Times New Roman"/>
                <w:sz w:val="23"/>
                <w:szCs w:val="23"/>
                <w:color w:val="auto"/>
                <w:vertAlign w:val="superscript"/>
              </w:rPr>
              <w:t>(1)</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(7,534,552)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(7,534,552)</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Repayments received</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(407,856)</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Charge-offs and changes in fair value recorded in earnings</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(123,093)</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changes</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33,327</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2026</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659,324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252,535</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28,888</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940,747</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480" w:hanging="472"/>
        <w:spacing w:after="0"/>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principal balance.</w:t>
      </w:r>
    </w:p>
    <w:p>
      <w:pPr>
        <w:spacing w:after="0" w:line="11" w:lineRule="exact"/>
        <w:rPr>
          <w:rFonts w:ascii="Times New Roman" w:cs="Times New Roman" w:eastAsia="Times New Roman" w:hAnsi="Times New Roman"/>
          <w:sz w:val="14"/>
          <w:szCs w:val="14"/>
          <w:color w:val="auto"/>
        </w:rPr>
      </w:pPr>
    </w:p>
    <w:p>
      <w:pPr>
        <w:ind w:left="500" w:right="160" w:hanging="492"/>
        <w:spacing w:after="0" w:line="256" w:lineRule="auto"/>
        <w:tabs>
          <w:tab w:leader="none" w:pos="49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March 31, 2026, the Company reclassified $314.0 million of HELOCs and auto retail loans to held-for-sale as we have both the intent and ability to sell these loans prior to maturity. Effective April 1, 2026, the Company reclassified $7.8 million of personal loans to held-for-investment as they are held as collateral in connection with committed capital and co-investment arrangements and are ineligible to be sold.</w:t>
      </w:r>
    </w:p>
    <w:p>
      <w:pPr>
        <w:spacing w:after="0" w:line="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activity includes an immaterial unpaid principal balance related to securitization clean-up calls during the nine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aggregate fair value and aggregate principal outstanding of all loans and loans that were 90 days or more past due included in the condensed consolidated 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Loans &gt; 90 Days Past Due</w:t>
            </w:r>
          </w:p>
        </w:tc>
      </w:tr>
      <w:tr>
        <w:trPr>
          <w:trHeight w:val="214"/>
        </w:trPr>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8"/>
                <w:szCs w:val="18"/>
                <w:color w:val="auto"/>
              </w:rPr>
            </w:pPr>
          </w:p>
        </w:tc>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8"/>
                <w:szCs w:val="18"/>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45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principal balance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1,038,521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987,630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15,475</w:t>
            </w:r>
          </w:p>
        </w:tc>
      </w:tr>
      <w:tr>
        <w:trPr>
          <w:trHeight w:val="23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fair value and accrued interest adjustments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(46,883)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(11,014)</w:t>
            </w:r>
          </w:p>
        </w:tc>
      </w:tr>
      <w:tr>
        <w:trPr>
          <w:trHeight w:val="248"/>
        </w:trPr>
        <w:tc>
          <w:tcPr>
            <w:tcW w:w="458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Fair value</w:t>
            </w:r>
            <w:r>
              <w:rPr>
                <w:rFonts w:ascii="Times New Roman" w:cs="Times New Roman" w:eastAsia="Times New Roman" w:hAnsi="Times New Roman"/>
                <w:sz w:val="23"/>
                <w:szCs w:val="23"/>
                <w:color w:val="auto"/>
                <w:vertAlign w:val="superscript"/>
              </w:rPr>
              <w:t>(1)(2)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984,552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940,747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jc w:val="both"/>
        <w:ind w:left="500" w:hanging="492"/>
        <w:spacing w:after="0" w:line="254" w:lineRule="auto"/>
        <w:tabs>
          <w:tab w:leader="none" w:pos="49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$367.4 million and $391.4 million of auto loans at fair value as of December 31, 2025 and September 30, 2026, respectively, of which immaterial amounts are 90 days or more past due. Also includes $149.5 million and $156.5 million of HELOCs at fair value as of December 31, 2025 and September 30, 2026, respectively, of which immaterial amounts are 90 days or more past due.</w:t>
      </w:r>
    </w:p>
    <w:p>
      <w:pPr>
        <w:spacing w:after="0" w:line="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loans in nonaccrual status was immaterial as of December 31, 2025 and September 30, 2026.</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Line of Credit Receivable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a committed capital and other co-investment arrangement, the Company issued a revolving line of credit receivable to a third-party, which is classified as held-for-investment. The fair value of the line of credit receivable as of December 31, 2025 and September 30, 2026 was $112.7 million and $110.1 million, respectively.</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line of credit receivable is measured at estimated fair value using a DCF model. The model is based on the expected monthly outstanding balance of the line of credit receivable over the life of the agreement and considers the present creditworthiness of the counterparty and the difference between the market rates of return and the stated interest rate. Cash flows are discounted using an estimate of market rates of return. The fair value of the line of credit receivable also includes accrued interest.</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related to the line of credit receivable: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4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480" w:type="dxa"/>
            <w:vAlign w:val="bottom"/>
          </w:tcPr>
          <w:p>
            <w:pPr>
              <w:spacing w:after="0"/>
              <w:rPr>
                <w:sz w:val="15"/>
                <w:szCs w:val="15"/>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3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5"/>
                <w:szCs w:val="15"/>
                <w:color w:val="auto"/>
              </w:rPr>
            </w:pP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5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0" w:type="dxa"/>
            <w:vAlign w:val="bottom"/>
          </w:tcPr>
          <w:p>
            <w:pPr>
              <w:spacing w:after="0"/>
              <w:rPr>
                <w:sz w:val="1"/>
                <w:szCs w:val="1"/>
                <w:color w:val="auto"/>
              </w:rPr>
            </w:pPr>
          </w:p>
        </w:tc>
      </w:tr>
      <w:tr>
        <w:trPr>
          <w:trHeight w:val="238"/>
        </w:trPr>
        <w:tc>
          <w:tcPr>
            <w:tcW w:w="248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00" w:type="dxa"/>
            <w:vAlign w:val="bottom"/>
            <w:gridSpan w:val="2"/>
            <w:vMerge w:val="continue"/>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1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6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6.50%</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Discount rate</w:t>
      </w:r>
      <w:r>
        <w:rPr>
          <w:rFonts w:ascii="Times New Roman" w:cs="Times New Roman" w:eastAsia="Times New Roman" w:hAnsi="Times New Roman"/>
          <w:sz w:val="18"/>
          <w:szCs w:val="18"/>
          <w:color w:val="auto"/>
        </w:rPr>
        <w:t>–The discount rate is the rate of return used to discount future expected cash flows to arrive at a present value, which represents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The discount rate used for the projected net cash flows is the Company’s estimate of the rate of return that market participants would require when investing in this financial instrument with cash flows dependent on credit quality of the counterparty. A risk premium component is implicitly included in the discount rate to reflect the amount of compensation market participants require due to the uncertainty inherent in the instrument’s cash flows resulting from risks such as credit and liquidity of the counterparty.</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Adverse changes in significant assumptions do not result in a material impact to the fair value of the line of credit receivable as of December 31, 2025 and September 30, 2026.</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a rollforward of the line of credit receivable classified by the Company within Level 3 of the fair value hierarchy: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Line of Credit</w:t>
            </w:r>
          </w:p>
        </w:tc>
      </w:tr>
      <w:tr>
        <w:trPr>
          <w:trHeight w:val="238"/>
        </w:trPr>
        <w:tc>
          <w:tcPr>
            <w:tcW w:w="96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Receivable</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107,456</w:t>
            </w:r>
          </w:p>
        </w:tc>
      </w:tr>
      <w:tr>
        <w:trPr>
          <w:trHeight w:val="237"/>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9,453</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accrued interest</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114,846</w:t>
            </w:r>
          </w:p>
        </w:tc>
      </w:tr>
      <w:tr>
        <w:trPr>
          <w:trHeight w:val="21"/>
        </w:trPr>
        <w:tc>
          <w:tcPr>
            <w:tcW w:w="9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Line of Credit</w:t>
            </w:r>
          </w:p>
        </w:tc>
      </w:tr>
      <w:tr>
        <w:trPr>
          <w:trHeight w:val="241"/>
        </w:trPr>
        <w:tc>
          <w:tcPr>
            <w:tcW w:w="96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Receivable</w:t>
            </w: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56,269</w:t>
            </w:r>
          </w:p>
        </w:tc>
      </w:tr>
      <w:tr>
        <w:trPr>
          <w:trHeight w:val="236"/>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59,292</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accrued interest</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114,846</w:t>
            </w:r>
          </w:p>
        </w:tc>
      </w:tr>
      <w:tr>
        <w:trPr>
          <w:trHeight w:val="20"/>
        </w:trPr>
        <w:tc>
          <w:tcPr>
            <w:tcW w:w="9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Line of Credit</w:t>
            </w:r>
          </w:p>
        </w:tc>
      </w:tr>
      <w:tr>
        <w:trPr>
          <w:trHeight w:val="241"/>
        </w:trPr>
        <w:tc>
          <w:tcPr>
            <w:tcW w:w="96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Receivable</w:t>
            </w: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111,772</w:t>
            </w:r>
          </w:p>
        </w:tc>
      </w:tr>
      <w:tr>
        <w:trPr>
          <w:trHeight w:val="236"/>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accrued interest</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110,110</w:t>
            </w:r>
          </w:p>
        </w:tc>
      </w:tr>
      <w:tr>
        <w:trPr>
          <w:trHeight w:val="20"/>
        </w:trPr>
        <w:tc>
          <w:tcPr>
            <w:tcW w:w="9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Line of Credit</w:t>
            </w:r>
          </w:p>
        </w:tc>
      </w:tr>
      <w:tr>
        <w:trPr>
          <w:trHeight w:val="238"/>
        </w:trPr>
        <w:tc>
          <w:tcPr>
            <w:tcW w:w="96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Receivable</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112,742</w:t>
            </w:r>
          </w:p>
        </w:tc>
      </w:tr>
      <w:tr>
        <w:trPr>
          <w:trHeight w:val="236"/>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7,976</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(10,046)</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accrued interest</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110,110</w:t>
            </w:r>
          </w:p>
        </w:tc>
      </w:tr>
      <w:tr>
        <w:trPr>
          <w:trHeight w:val="20"/>
        </w:trPr>
        <w:tc>
          <w:tcPr>
            <w:tcW w:w="9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related to Securitization Transactions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and September 30, 2026, the Company held notes receivable and residual certificates retained from unconsolidated securitization transactions with an aggregate fair value of $97.4 million and $144.6 million, respectively.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and September 30, 2026, the Company recognized payables to securitization note holders of $46.5 million and $25.5 million at fair value, respectively. The balance represents the value of the securitization notes issued and owned by third-party investors in connection with the consolidated securitization. The value of securitization notes and residual certificates retained by the Company is eliminated in the consolidation process.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prioritizes the use of observable inputs in estimating the fair value of notes receivable and residual certificates and payable to securitization note holders when available. Fair value is corroborated using a DCF methodology. This approach uses assumptions of projected cash flows of the underlying collateral loan pools adjusted for features of these securities, which reflect the Company’s best estimates of the assumptions a market participant would use to determine fair value.</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related to notes receivable, residual certificates, and payable to securitization note holders: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6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960" w:type="dxa"/>
            <w:vAlign w:val="bottom"/>
          </w:tcPr>
          <w:p>
            <w:pPr>
              <w:spacing w:after="0"/>
              <w:rPr>
                <w:sz w:val="15"/>
                <w:szCs w:val="15"/>
                <w:color w:val="auto"/>
              </w:rPr>
            </w:pPr>
          </w:p>
        </w:tc>
        <w:tc>
          <w:tcPr>
            <w:tcW w:w="14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00" w:type="dxa"/>
            <w:vAlign w:val="bottom"/>
          </w:tcPr>
          <w:p>
            <w:pPr>
              <w:ind w:left="260"/>
              <w:spacing w:after="0" w:line="174"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00" w:type="dxa"/>
            <w:vAlign w:val="bottom"/>
          </w:tcPr>
          <w:p>
            <w:pPr>
              <w:spacing w:after="0"/>
              <w:rPr>
                <w:sz w:val="15"/>
                <w:szCs w:val="15"/>
                <w:color w:val="auto"/>
              </w:rPr>
            </w:pPr>
          </w:p>
        </w:tc>
        <w:tc>
          <w:tcPr>
            <w:tcW w:w="13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00" w:type="dxa"/>
            <w:vAlign w:val="bottom"/>
          </w:tcPr>
          <w:p>
            <w:pPr>
              <w:jc w:val="right"/>
              <w:ind w:right="170"/>
              <w:spacing w:after="0" w:line="174"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38"/>
        </w:trPr>
        <w:tc>
          <w:tcPr>
            <w:tcW w:w="296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400" w:type="dxa"/>
            <w:vAlign w:val="bottom"/>
            <w:gridSpan w:val="2"/>
          </w:tcPr>
          <w:p>
            <w:pPr>
              <w:ind w:left="280"/>
              <w:spacing w:after="0" w:line="239" w:lineRule="exact"/>
              <w:rPr>
                <w:sz w:val="20"/>
                <w:szCs w:val="20"/>
                <w:color w:val="auto"/>
              </w:rPr>
            </w:pPr>
            <w:r>
              <w:rPr>
                <w:rFonts w:ascii="Times New Roman" w:cs="Times New Roman" w:eastAsia="Times New Roman" w:hAnsi="Times New Roman"/>
                <w:sz w:val="18"/>
                <w:szCs w:val="18"/>
                <w:b w:val="1"/>
                <w:bCs w:val="1"/>
                <w:color w:val="auto"/>
              </w:rPr>
              <w:t>Average</w:t>
            </w:r>
            <w:r>
              <w:rPr>
                <w:rFonts w:ascii="Times New Roman" w:cs="Times New Roman" w:eastAsia="Times New Roman" w:hAnsi="Times New Roman"/>
                <w:sz w:val="23"/>
                <w:szCs w:val="23"/>
                <w:color w:val="auto"/>
                <w:vertAlign w:val="superscript"/>
              </w:rPr>
              <w:t>(1)</w:t>
            </w:r>
          </w:p>
        </w:tc>
        <w:tc>
          <w:tcPr>
            <w:tcW w:w="1380" w:type="dxa"/>
            <w:vAlign w:val="bottom"/>
            <w:gridSpan w:val="2"/>
            <w:vMerge w:val="continue"/>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300" w:type="dxa"/>
            <w:vAlign w:val="bottom"/>
          </w:tcPr>
          <w:p>
            <w:pPr>
              <w:jc w:val="right"/>
              <w:ind w:right="190"/>
              <w:spacing w:after="0" w:line="239" w:lineRule="exact"/>
              <w:rPr>
                <w:sz w:val="20"/>
                <w:szCs w:val="20"/>
                <w:color w:val="auto"/>
              </w:rPr>
            </w:pPr>
            <w:r>
              <w:rPr>
                <w:rFonts w:ascii="Times New Roman" w:cs="Times New Roman" w:eastAsia="Times New Roman" w:hAnsi="Times New Roman"/>
                <w:sz w:val="18"/>
                <w:szCs w:val="18"/>
                <w:b w:val="1"/>
                <w:bCs w:val="1"/>
                <w:color w:val="auto"/>
              </w:rPr>
              <w:t>Average</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01"/>
        </w:trPr>
        <w:tc>
          <w:tcPr>
            <w:tcW w:w="2960" w:type="dxa"/>
            <w:vAlign w:val="bottom"/>
            <w:tcBorders>
              <w:top w:val="single" w:sz="8" w:color="CCEEFF"/>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Notes receivable and residual</w:t>
            </w: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certificates</w:t>
            </w: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12.78 %</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6.24 %</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11.03 %</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50.28 %</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0.38 %</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22.19 %</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95.77 %</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4.11 %</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94.74 %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33.99 %</w:t>
            </w: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Payable to securitization note</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holders</w:t>
            </w: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10.40 %</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11.19 %</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11.19 %</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35.68 %</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0.67 %</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16.34 %</w:t>
            </w:r>
          </w:p>
        </w:tc>
        <w:tc>
          <w:tcPr>
            <w:tcW w:w="0" w:type="dxa"/>
            <w:vAlign w:val="bottom"/>
          </w:tcPr>
          <w:p>
            <w:pPr>
              <w:spacing w:after="0"/>
              <w:rPr>
                <w:sz w:val="1"/>
                <w:szCs w:val="1"/>
                <w:color w:val="auto"/>
              </w:rPr>
            </w:pPr>
          </w:p>
        </w:tc>
      </w:tr>
      <w:tr>
        <w:trPr>
          <w:trHeight w:val="23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89.84 %</w:t>
            </w:r>
          </w:p>
        </w:tc>
        <w:tc>
          <w:tcPr>
            <w:tcW w:w="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89.33 %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39.12 %</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480" w:hanging="472"/>
        <w:spacing w:after="0"/>
        <w:tabs>
          <w:tab w:leader="none" w:pos="4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relative fair value.</w:t>
      </w: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Notes Receivable and Residual Certificates</w:t>
      </w:r>
    </w:p>
    <w:p>
      <w:pPr>
        <w:spacing w:after="0" w:line="2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Adverse changes in the significant assumptions do not result in a material impact to the fair value of notes receivable and residual certificates as of December 31, 2025 and September 30, 2026.</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Payable to Securitization Note Holders</w:t>
      </w:r>
    </w:p>
    <w:p>
      <w:pPr>
        <w:spacing w:after="0" w:line="2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Adverse changes in the significant assumptions do not result in a material impact to the fair value of payable to securitization note holders as of December 31, 2025 and September 30, 2026.</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a rollforward of the notes receivable and residual certificates and payables to securitization note holders related to securitization transactions classified by the Company within Level 3 of the fair value hierarchy:</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2025</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2024</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2026</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2025</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2026</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2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Notes Receivable and</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Payable to Securitization</w:t>
            </w:r>
          </w:p>
        </w:tc>
      </w:tr>
      <w:tr>
        <w:trPr>
          <w:trHeight w:val="238"/>
        </w:trPr>
        <w:tc>
          <w:tcPr>
            <w:tcW w:w="180" w:type="dxa"/>
            <w:vAlign w:val="bottom"/>
          </w:tcPr>
          <w:p>
            <w:pPr>
              <w:spacing w:after="0"/>
              <w:rPr>
                <w:sz w:val="20"/>
                <w:szCs w:val="20"/>
                <w:color w:val="auto"/>
              </w:rPr>
            </w:pPr>
          </w:p>
        </w:tc>
        <w:tc>
          <w:tcPr>
            <w:tcW w:w="20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Residual Certificates</w:t>
            </w:r>
          </w:p>
        </w:tc>
        <w:tc>
          <w:tcPr>
            <w:tcW w:w="340" w:type="dxa"/>
            <w:vAlign w:val="bottom"/>
          </w:tcPr>
          <w:p>
            <w:pPr>
              <w:spacing w:after="0"/>
              <w:rPr>
                <w:sz w:val="20"/>
                <w:szCs w:val="20"/>
                <w:color w:val="auto"/>
              </w:rPr>
            </w:pPr>
          </w:p>
        </w:tc>
        <w:tc>
          <w:tcPr>
            <w:tcW w:w="17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Note Holders</w:t>
            </w:r>
          </w:p>
        </w:tc>
      </w:tr>
      <w:tr>
        <w:trPr>
          <w:trHeight w:val="223"/>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54,708</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65,152</w:t>
            </w:r>
          </w:p>
        </w:tc>
      </w:tr>
      <w:tr>
        <w:trPr>
          <w:trHeight w:val="232"/>
        </w:trPr>
        <w:tc>
          <w:tcPr>
            <w:tcW w:w="1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(10,002)</w:t>
            </w:r>
          </w:p>
        </w:tc>
      </w:tr>
      <w:tr>
        <w:trPr>
          <w:trHeight w:val="234"/>
        </w:trPr>
        <w:tc>
          <w:tcPr>
            <w:tcW w:w="1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76,761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55,175</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-796925</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-479425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-187960</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8"/>
                <w:szCs w:val="18"/>
                <w:color w:val="auto"/>
              </w:rPr>
            </w:pPr>
          </w:p>
        </w:tc>
        <w:tc>
          <w:tcPr>
            <w:tcW w:w="2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Notes Receivable and</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Payable to Securitization</w:t>
            </w:r>
          </w:p>
        </w:tc>
      </w:tr>
      <w:tr>
        <w:trPr>
          <w:trHeight w:val="241"/>
        </w:trPr>
        <w:tc>
          <w:tcPr>
            <w:tcW w:w="180" w:type="dxa"/>
            <w:vAlign w:val="bottom"/>
          </w:tcPr>
          <w:p>
            <w:pPr>
              <w:spacing w:after="0"/>
              <w:rPr>
                <w:sz w:val="20"/>
                <w:szCs w:val="20"/>
                <w:color w:val="auto"/>
              </w:rPr>
            </w:pPr>
          </w:p>
        </w:tc>
        <w:tc>
          <w:tcPr>
            <w:tcW w:w="20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Residual Certificates</w:t>
            </w:r>
          </w:p>
        </w:tc>
        <w:tc>
          <w:tcPr>
            <w:tcW w:w="340" w:type="dxa"/>
            <w:vAlign w:val="bottom"/>
          </w:tcPr>
          <w:p>
            <w:pPr>
              <w:spacing w:after="0"/>
              <w:rPr>
                <w:sz w:val="20"/>
                <w:szCs w:val="20"/>
                <w:color w:val="auto"/>
              </w:rPr>
            </w:pPr>
          </w:p>
        </w:tc>
        <w:tc>
          <w:tcPr>
            <w:tcW w:w="17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Note Holders</w:t>
            </w:r>
          </w:p>
        </w:tc>
      </w:tr>
      <w:tr>
        <w:trPr>
          <w:trHeight w:val="225"/>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87,321</w:t>
            </w:r>
          </w:p>
        </w:tc>
      </w:tr>
      <w:tr>
        <w:trPr>
          <w:trHeight w:val="232"/>
        </w:trPr>
        <w:tc>
          <w:tcPr>
            <w:tcW w:w="1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65,880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(32,023)</w:t>
            </w:r>
          </w:p>
        </w:tc>
      </w:tr>
      <w:tr>
        <w:trPr>
          <w:trHeight w:val="234"/>
        </w:trPr>
        <w:tc>
          <w:tcPr>
            <w:tcW w:w="1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3"/>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76,761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55,175</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-796290</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-479425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-187960</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8"/>
                <w:szCs w:val="18"/>
                <w:color w:val="auto"/>
              </w:rPr>
            </w:pPr>
          </w:p>
        </w:tc>
        <w:tc>
          <w:tcPr>
            <w:tcW w:w="2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Notes Receivable and</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Payable to Securitization</w:t>
            </w:r>
          </w:p>
        </w:tc>
      </w:tr>
      <w:tr>
        <w:trPr>
          <w:trHeight w:val="241"/>
        </w:trPr>
        <w:tc>
          <w:tcPr>
            <w:tcW w:w="180" w:type="dxa"/>
            <w:vAlign w:val="bottom"/>
          </w:tcPr>
          <w:p>
            <w:pPr>
              <w:spacing w:after="0"/>
              <w:rPr>
                <w:sz w:val="20"/>
                <w:szCs w:val="20"/>
                <w:color w:val="auto"/>
              </w:rPr>
            </w:pPr>
          </w:p>
        </w:tc>
        <w:tc>
          <w:tcPr>
            <w:tcW w:w="20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Residual Certificates</w:t>
            </w:r>
          </w:p>
        </w:tc>
        <w:tc>
          <w:tcPr>
            <w:tcW w:w="340" w:type="dxa"/>
            <w:vAlign w:val="bottom"/>
          </w:tcPr>
          <w:p>
            <w:pPr>
              <w:spacing w:after="0"/>
              <w:rPr>
                <w:sz w:val="20"/>
                <w:szCs w:val="20"/>
                <w:color w:val="auto"/>
              </w:rPr>
            </w:pPr>
          </w:p>
        </w:tc>
        <w:tc>
          <w:tcPr>
            <w:tcW w:w="17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Note Holders</w:t>
            </w:r>
          </w:p>
        </w:tc>
      </w:tr>
      <w:tr>
        <w:trPr>
          <w:trHeight w:val="225"/>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120,375</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32,122</w:t>
            </w:r>
          </w:p>
        </w:tc>
      </w:tr>
      <w:tr>
        <w:trPr>
          <w:trHeight w:val="232"/>
        </w:trPr>
        <w:tc>
          <w:tcPr>
            <w:tcW w:w="1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(6,491)</w:t>
            </w:r>
          </w:p>
        </w:tc>
      </w:tr>
      <w:tr>
        <w:trPr>
          <w:trHeight w:val="234"/>
        </w:trPr>
        <w:tc>
          <w:tcPr>
            <w:tcW w:w="1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3"/>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144,613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25,505</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-796290</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-479425</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-187960</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8"/>
                <w:szCs w:val="18"/>
                <w:color w:val="auto"/>
              </w:rPr>
            </w:pPr>
          </w:p>
        </w:tc>
        <w:tc>
          <w:tcPr>
            <w:tcW w:w="2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Notes Receivable and</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Payable to Securitization</w:t>
            </w:r>
          </w:p>
        </w:tc>
      </w:tr>
      <w:tr>
        <w:trPr>
          <w:trHeight w:val="238"/>
        </w:trPr>
        <w:tc>
          <w:tcPr>
            <w:tcW w:w="200" w:type="dxa"/>
            <w:vAlign w:val="bottom"/>
          </w:tcPr>
          <w:p>
            <w:pPr>
              <w:spacing w:after="0"/>
              <w:rPr>
                <w:sz w:val="20"/>
                <w:szCs w:val="20"/>
                <w:color w:val="auto"/>
              </w:rPr>
            </w:pPr>
          </w:p>
        </w:tc>
        <w:tc>
          <w:tcPr>
            <w:tcW w:w="2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Residual Certificates</w:t>
            </w:r>
          </w:p>
        </w:tc>
        <w:tc>
          <w:tcPr>
            <w:tcW w:w="320" w:type="dxa"/>
            <w:vAlign w:val="bottom"/>
          </w:tcPr>
          <w:p>
            <w:pPr>
              <w:spacing w:after="0"/>
              <w:rPr>
                <w:sz w:val="20"/>
                <w:szCs w:val="20"/>
                <w:color w:val="auto"/>
              </w:rPr>
            </w:pPr>
          </w:p>
        </w:tc>
        <w:tc>
          <w:tcPr>
            <w:tcW w:w="17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Note Holders</w:t>
            </w:r>
          </w:p>
        </w:tc>
      </w:tr>
      <w:tr>
        <w:trPr>
          <w:trHeight w:val="223"/>
        </w:trPr>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97,416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46,542</w:t>
            </w:r>
          </w:p>
        </w:tc>
      </w:tr>
      <w:tr>
        <w:trPr>
          <w:trHeight w:val="232"/>
        </w:trPr>
        <w:tc>
          <w:tcPr>
            <w:tcW w:w="2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(20,640)</w:t>
            </w:r>
          </w:p>
        </w:tc>
      </w:tr>
      <w:tr>
        <w:trPr>
          <w:trHeight w:val="234"/>
        </w:trPr>
        <w:tc>
          <w:tcPr>
            <w:tcW w:w="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23"/>
        </w:trPr>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144,613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25,505</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-796290</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-479425</wp:posOffset>
            </wp:positionV>
            <wp:extent cx="713232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-187960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80" w:space="720"/>
            <w:col w:w="4340"/>
          </w:cols>
          <w:pgMar w:left="320" w:top="1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Loan Servicing Assets and Liabilities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and September 30, 2026, the Company’s loan servicing assets had a fair value of $40.9 million and $68.0 million, respectively, recorded within other assets on the condensed consolidated balance sheets. As of December 31, 2025 and September 30, 2026, the Company’s loan servicing liabilities had a fair value of $4.4 million and $7.2 million, respectively, recorded within accrued expenses and other liabilities on the condensed consolidated balance sheets.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Loan servicing assets and liabilities are measured at estimated fair value using a DCF model. The cash flows in the valuation model represent the difference between the contractual servicing fees charged and the estimated market servicing fee. Since contractual servicing fees are generally based on the monthly outstanding principal balance of the underlying loans, the expected cash flows in the model incorporate estimates of net losses and prepayments.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for loan servicing assets and liabilities: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3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0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ind w:right="250"/>
              <w:spacing w:after="0" w:line="171"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580" w:type="dxa"/>
            <w:vAlign w:val="bottom"/>
            <w:gridSpan w:val="2"/>
          </w:tcPr>
          <w:p>
            <w:pPr>
              <w:ind w:left="360"/>
              <w:spacing w:after="0" w:line="243" w:lineRule="exact"/>
              <w:rPr>
                <w:sz w:val="20"/>
                <w:szCs w:val="20"/>
                <w:color w:val="auto"/>
              </w:rPr>
            </w:pPr>
            <w:r>
              <w:rPr>
                <w:rFonts w:ascii="Times New Roman" w:cs="Times New Roman" w:eastAsia="Times New Roman" w:hAnsi="Times New Roman"/>
                <w:sz w:val="18"/>
                <w:szCs w:val="18"/>
                <w:b w:val="1"/>
                <w:bCs w:val="1"/>
                <w:color w:val="auto"/>
              </w:rPr>
              <w:t>Average</w:t>
            </w:r>
            <w:r>
              <w:rPr>
                <w:rFonts w:ascii="Times New Roman" w:cs="Times New Roman" w:eastAsia="Times New Roman" w:hAnsi="Times New Roman"/>
                <w:sz w:val="23"/>
                <w:szCs w:val="23"/>
                <w:color w:val="auto"/>
                <w:vertAlign w:val="superscript"/>
              </w:rPr>
              <w:t>(1)</w:t>
            </w:r>
          </w:p>
        </w:tc>
        <w:tc>
          <w:tcPr>
            <w:tcW w:w="1460" w:type="dxa"/>
            <w:vAlign w:val="bottom"/>
            <w:gridSpan w:val="2"/>
            <w:vMerge w:val="continue"/>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1480" w:type="dxa"/>
            <w:vAlign w:val="bottom"/>
          </w:tcPr>
          <w:p>
            <w:pPr>
              <w:jc w:val="right"/>
              <w:ind w:right="270"/>
              <w:spacing w:after="0" w:line="243" w:lineRule="exact"/>
              <w:rPr>
                <w:sz w:val="20"/>
                <w:szCs w:val="20"/>
                <w:color w:val="auto"/>
              </w:rPr>
            </w:pPr>
            <w:r>
              <w:rPr>
                <w:rFonts w:ascii="Times New Roman" w:cs="Times New Roman" w:eastAsia="Times New Roman" w:hAnsi="Times New Roman"/>
                <w:sz w:val="18"/>
                <w:szCs w:val="18"/>
                <w:b w:val="1"/>
                <w:bCs w:val="1"/>
                <w:color w:val="auto"/>
              </w:rPr>
              <w:t>Average</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20.00 %</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17.32 %</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15.25 %</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61.96 %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18.78 %</w:t>
            </w:r>
          </w:p>
        </w:tc>
        <w:tc>
          <w:tcPr>
            <w:tcW w:w="0" w:type="dxa"/>
            <w:vAlign w:val="bottom"/>
          </w:tcPr>
          <w:p>
            <w:pPr>
              <w:spacing w:after="0"/>
              <w:rPr>
                <w:sz w:val="1"/>
                <w:szCs w:val="1"/>
                <w:color w:val="auto"/>
              </w:rPr>
            </w:pPr>
          </w:p>
        </w:tc>
      </w:tr>
      <w:tr>
        <w:trPr>
          <w:trHeight w:val="257"/>
        </w:trPr>
        <w:tc>
          <w:tcPr>
            <w:tcW w:w="232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Market-servicing rate</w:t>
            </w:r>
            <w:r>
              <w:rPr>
                <w:rFonts w:ascii="Times New Roman" w:cs="Times New Roman" w:eastAsia="Times New Roman" w:hAnsi="Times New Roman"/>
                <w:sz w:val="23"/>
                <w:szCs w:val="23"/>
                <w:color w:val="auto"/>
                <w:vertAlign w:val="superscript"/>
              </w:rPr>
              <w:t>(2)(3)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0.65 %</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0.60 %</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0.66 %</w:t>
            </w:r>
          </w:p>
        </w:tc>
        <w:tc>
          <w:tcPr>
            <w:tcW w:w="0" w:type="dxa"/>
            <w:vAlign w:val="bottom"/>
          </w:tcPr>
          <w:p>
            <w:pPr>
              <w:spacing w:after="0"/>
              <w:rPr>
                <w:sz w:val="1"/>
                <w:szCs w:val="1"/>
                <w:color w:val="auto"/>
              </w:rPr>
            </w:pP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96.90 %</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36.50 %</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0.27 %</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96.86 %</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35.33 %</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480" w:hanging="472"/>
        <w:spacing w:after="0"/>
        <w:tabs>
          <w:tab w:leader="none" w:pos="4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relative fair value.</w:t>
      </w:r>
    </w:p>
    <w:p>
      <w:pPr>
        <w:spacing w:after="0" w:line="1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ancillary fees that would be passed on to a third-party servicer.</w:t>
      </w:r>
    </w:p>
    <w:p>
      <w:pPr>
        <w:spacing w:after="0" w:line="14" w:lineRule="exact"/>
        <w:rPr>
          <w:rFonts w:ascii="Times New Roman" w:cs="Times New Roman" w:eastAsia="Times New Roman" w:hAnsi="Times New Roman"/>
          <w:sz w:val="14"/>
          <w:szCs w:val="14"/>
          <w:color w:val="auto"/>
        </w:rPr>
      </w:pPr>
    </w:p>
    <w:p>
      <w:pPr>
        <w:ind w:left="500" w:hanging="492"/>
        <w:spacing w:after="0" w:line="283" w:lineRule="auto"/>
        <w:tabs>
          <w:tab w:leader="none" w:pos="49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as a percentage of the outstanding principal balance of 1.16% - 2.69% for auto loans and 0.62% - 2.00% for personal loans as of December 31, 2025 and 0.60% - 2.69% for auto loans and 0.60% - 2.00% for personal loans as of September 30, 2026.</w:t>
      </w:r>
    </w:p>
    <w:p>
      <w:pPr>
        <w:spacing w:after="0" w:line="20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Discount rates</w:t>
      </w:r>
      <w:r>
        <w:rPr>
          <w:rFonts w:ascii="Times New Roman" w:cs="Times New Roman" w:eastAsia="Times New Roman" w:hAnsi="Times New Roman"/>
          <w:sz w:val="18"/>
          <w:szCs w:val="18"/>
          <w:color w:val="auto"/>
        </w:rPr>
        <w:t>–The discount rates are the Company’s estimate of the rates of return that market participants in servicing rights would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investing in similar servicing rights. Discount rates for servicing rights on existing loans are adjusted to reflect the time value of money and a risk premium intended to reflect the amount of compensation market participants would require due to the uncertainty associated with these instruments’ cash flows.</w:t>
      </w:r>
    </w:p>
    <w:p>
      <w:pPr>
        <w:spacing w:after="0" w:line="20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Credit risk rate</w:t>
      </w:r>
      <w:r>
        <w:rPr>
          <w:rFonts w:ascii="Times New Roman" w:cs="Times New Roman" w:eastAsia="Times New Roman" w:hAnsi="Times New Roman"/>
          <w:sz w:val="18"/>
          <w:szCs w:val="18"/>
          <w:color w:val="auto"/>
        </w:rPr>
        <w:t>s–The credit risk rates are the Company’s estimate of the net cumulative principal payments that will not be repaid over the entire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of a loan expressed as a percentage of the original principal amount of the loan. The assumption regarding net cumulative losses impacts the projected balances and expected terms of the loans, which are used to project future servicing revenues.</w:t>
      </w:r>
    </w:p>
    <w:p>
      <w:pPr>
        <w:spacing w:after="0" w:line="20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Market-servicing rates</w:t>
      </w:r>
      <w:r>
        <w:rPr>
          <w:rFonts w:ascii="Times New Roman" w:cs="Times New Roman" w:eastAsia="Times New Roman" w:hAnsi="Times New Roman"/>
          <w:sz w:val="18"/>
          <w:szCs w:val="18"/>
          <w:color w:val="auto"/>
        </w:rPr>
        <w:t>–Market-servicing rate is an estimated measure of adequate compensation for a market participant, if one was required.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is expressed as a fixed percentage of outstanding principal balance per annum. The estimate considers the profit that would be demanded in the marketplace to service the portfolio of outstanding loans subject to the Company’s servicing agreements.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Prepayment rates</w:t>
      </w:r>
      <w:r>
        <w:rPr>
          <w:rFonts w:ascii="Times New Roman" w:cs="Times New Roman" w:eastAsia="Times New Roman" w:hAnsi="Times New Roman"/>
          <w:sz w:val="18"/>
          <w:szCs w:val="18"/>
          <w:color w:val="auto"/>
        </w:rPr>
        <w:t>–Prepayment rates are the Company’s estimate of the cumulative principal prepayments that will occur over the entire life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as a percentage of the original principal amount of the loan. The assumption regarding cumulative prepayments impacts the projected balances and expected terms of the loans, which are used to project future servicing revenues.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table below presents the fair value sensitivity of loan servicing assets to adverse changes in market-servicing rates. The fair value of loan servicing assets and liabilities are not sensitive to adverse changes in discount rates, credit risk rates, and prepayment rates as such changes do not result in a material impact on the fair value as of December 31, 2025 and September 30, 2026. Adverse changes in market-servicing rates do not result in a material impact to the fair value of loan servicing liabilities as of December 31, 2025 and September 30, 2026.</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17"/>
                <w:szCs w:val="17"/>
                <w:color w:val="auto"/>
              </w:rPr>
            </w:pPr>
          </w:p>
        </w:tc>
        <w:tc>
          <w:tcPr>
            <w:tcW w:w="17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69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3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loan servicing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40,941</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6"/>
              </w:rPr>
              <w:t>67,973</w:t>
            </w:r>
          </w:p>
        </w:tc>
      </w:tr>
      <w:tr>
        <w:trPr>
          <w:trHeight w:val="21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market-servicing rates</w:t>
            </w: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2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 market-servicing rates increase</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(11,148)</w:t>
            </w:r>
          </w:p>
        </w:tc>
      </w:tr>
      <w:tr>
        <w:trPr>
          <w:trHeight w:val="234"/>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 market-servicing rates increase</w:t>
            </w: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(21,973)</w:t>
            </w:r>
          </w:p>
        </w:tc>
      </w:tr>
    </w:tbl>
    <w:p>
      <w:pPr>
        <w:spacing w:after="0" w:line="200" w:lineRule="exact"/>
        <w:rPr>
          <w:sz w:val="20"/>
          <w:szCs w:val="20"/>
          <w:color w:val="auto"/>
        </w:rPr>
      </w:pPr>
    </w:p>
    <w:p>
      <w:pPr>
        <w:spacing w:after="0" w:line="3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a rollforward of the loan servicing assets and liabilities classified by the Company within Level 3 of the fair value hierarchy: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Loan Servicing</w:t>
            </w:r>
          </w:p>
        </w:tc>
        <w:tc>
          <w:tcPr>
            <w:tcW w:w="160" w:type="dxa"/>
            <w:vAlign w:val="bottom"/>
          </w:tcPr>
          <w:p>
            <w:pPr>
              <w:spacing w:after="0"/>
              <w:rPr>
                <w:sz w:val="18"/>
                <w:szCs w:val="18"/>
                <w:color w:val="auto"/>
              </w:rPr>
            </w:pP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Loan Servicing</w:t>
            </w:r>
          </w:p>
        </w:tc>
      </w:tr>
      <w:tr>
        <w:trPr>
          <w:trHeight w:val="238"/>
        </w:trPr>
        <w:tc>
          <w:tcPr>
            <w:tcW w:w="7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6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3"/>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loans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w:t>
            </w:r>
          </w:p>
        </w:tc>
      </w:tr>
      <w:tr>
        <w:trPr>
          <w:trHeight w:val="21"/>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Loan Servicing</w:t>
            </w:r>
          </w:p>
        </w:tc>
        <w:tc>
          <w:tcPr>
            <w:tcW w:w="160" w:type="dxa"/>
            <w:vAlign w:val="bottom"/>
          </w:tcPr>
          <w:p>
            <w:pPr>
              <w:spacing w:after="0"/>
              <w:rPr>
                <w:sz w:val="18"/>
                <w:szCs w:val="18"/>
                <w:color w:val="auto"/>
              </w:rPr>
            </w:pPr>
          </w:p>
        </w:tc>
        <w:tc>
          <w:tcPr>
            <w:tcW w:w="1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Loan Servicing</w:t>
            </w:r>
          </w:p>
        </w:tc>
      </w:tr>
      <w:tr>
        <w:trPr>
          <w:trHeight w:val="241"/>
        </w:trPr>
        <w:tc>
          <w:tcPr>
            <w:tcW w:w="7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60" w:type="dxa"/>
            <w:vAlign w:val="bottom"/>
          </w:tcPr>
          <w:p>
            <w:pPr>
              <w:spacing w:after="0"/>
              <w:rPr>
                <w:sz w:val="20"/>
                <w:szCs w:val="20"/>
                <w:color w:val="auto"/>
              </w:rPr>
            </w:pPr>
          </w:p>
        </w:tc>
        <w:tc>
          <w:tcPr>
            <w:tcW w:w="1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r>
      <w:tr>
        <w:trPr>
          <w:trHeight w:val="225"/>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6"/>
              </w:rPr>
              <w:t>27,439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8"/>
              </w:rPr>
              <w:t>1,180</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loans</w:t>
            </w:r>
          </w:p>
        </w:tc>
        <w:tc>
          <w:tcPr>
            <w:tcW w:w="160" w:type="dxa"/>
            <w:vAlign w:val="bottom"/>
          </w:tcPr>
          <w:p>
            <w:pPr>
              <w:spacing w:after="0"/>
              <w:rPr>
                <w:sz w:val="19"/>
                <w:szCs w:val="19"/>
                <w:color w:val="auto"/>
              </w:rPr>
            </w:pPr>
          </w:p>
        </w:tc>
        <w:tc>
          <w:tcPr>
            <w:tcW w:w="14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6"/>
              </w:rPr>
              <w:t>22,139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1,763</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(12,795)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(1,009)</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6"/>
              </w:rPr>
              <w:t>36,783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center"/>
              <w:ind w:left="830"/>
              <w:spacing w:after="0"/>
              <w:rPr>
                <w:sz w:val="20"/>
                <w:szCs w:val="20"/>
                <w:color w:val="auto"/>
              </w:rPr>
            </w:pPr>
            <w:r>
              <w:rPr>
                <w:rFonts w:ascii="Times New Roman" w:cs="Times New Roman" w:eastAsia="Times New Roman" w:hAnsi="Times New Roman"/>
                <w:sz w:val="18"/>
                <w:szCs w:val="18"/>
                <w:color w:val="auto"/>
                <w:w w:val="98"/>
              </w:rPr>
              <w:t>1,934</w:t>
            </w: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Loan Servicing</w:t>
            </w:r>
          </w:p>
        </w:tc>
        <w:tc>
          <w:tcPr>
            <w:tcW w:w="160" w:type="dxa"/>
            <w:vAlign w:val="bottom"/>
          </w:tcPr>
          <w:p>
            <w:pPr>
              <w:spacing w:after="0"/>
              <w:rPr>
                <w:sz w:val="17"/>
                <w:szCs w:val="17"/>
                <w:color w:val="auto"/>
              </w:rPr>
            </w:pPr>
          </w:p>
        </w:tc>
        <w:tc>
          <w:tcPr>
            <w:tcW w:w="1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Loan Servicing</w:t>
            </w:r>
          </w:p>
        </w:tc>
      </w:tr>
      <w:tr>
        <w:trPr>
          <w:trHeight w:val="241"/>
        </w:trPr>
        <w:tc>
          <w:tcPr>
            <w:tcW w:w="7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0"/>
                <w:szCs w:val="20"/>
                <w:color w:val="auto"/>
              </w:rPr>
            </w:pPr>
          </w:p>
        </w:tc>
        <w:tc>
          <w:tcPr>
            <w:tcW w:w="1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r>
      <w:tr>
        <w:trPr>
          <w:trHeight w:val="225"/>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2026</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54,842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8"/>
              </w:rPr>
              <w:t>8,409</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loans</w:t>
            </w:r>
          </w:p>
        </w:tc>
        <w:tc>
          <w:tcPr>
            <w:tcW w:w="160" w:type="dxa"/>
            <w:vAlign w:val="bottom"/>
          </w:tcPr>
          <w:p>
            <w:pPr>
              <w:spacing w:after="0"/>
              <w:rPr>
                <w:sz w:val="19"/>
                <w:szCs w:val="19"/>
                <w:color w:val="auto"/>
              </w:rPr>
            </w:pPr>
          </w:p>
        </w:tc>
        <w:tc>
          <w:tcPr>
            <w:tcW w:w="14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18,349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1,712</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(5,218)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(2,948)</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67,973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center"/>
              <w:ind w:left="830"/>
              <w:spacing w:after="0"/>
              <w:rPr>
                <w:sz w:val="20"/>
                <w:szCs w:val="20"/>
                <w:color w:val="auto"/>
              </w:rPr>
            </w:pPr>
            <w:r>
              <w:rPr>
                <w:rFonts w:ascii="Times New Roman" w:cs="Times New Roman" w:eastAsia="Times New Roman" w:hAnsi="Times New Roman"/>
                <w:sz w:val="18"/>
                <w:szCs w:val="18"/>
                <w:color w:val="auto"/>
                <w:w w:val="98"/>
              </w:rPr>
              <w:t>7,173</w:t>
            </w:r>
          </w:p>
        </w:tc>
      </w:tr>
      <w:tr>
        <w:trPr>
          <w:trHeight w:val="21"/>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Loan Servicing</w:t>
            </w:r>
          </w:p>
        </w:tc>
        <w:tc>
          <w:tcPr>
            <w:tcW w:w="160" w:type="dxa"/>
            <w:vAlign w:val="bottom"/>
          </w:tcPr>
          <w:p>
            <w:pPr>
              <w:spacing w:after="0"/>
              <w:rPr>
                <w:sz w:val="17"/>
                <w:szCs w:val="17"/>
                <w:color w:val="auto"/>
              </w:rPr>
            </w:pPr>
          </w:p>
        </w:tc>
        <w:tc>
          <w:tcPr>
            <w:tcW w:w="1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Loan Servicing</w:t>
            </w:r>
          </w:p>
        </w:tc>
      </w:tr>
      <w:tr>
        <w:trPr>
          <w:trHeight w:val="241"/>
        </w:trPr>
        <w:tc>
          <w:tcPr>
            <w:tcW w:w="7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60" w:type="dxa"/>
            <w:vAlign w:val="bottom"/>
          </w:tcPr>
          <w:p>
            <w:pPr>
              <w:spacing w:after="0"/>
              <w:rPr>
                <w:sz w:val="20"/>
                <w:szCs w:val="20"/>
                <w:color w:val="auto"/>
              </w:rPr>
            </w:pPr>
          </w:p>
        </w:tc>
        <w:tc>
          <w:tcPr>
            <w:tcW w:w="1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r>
      <w:tr>
        <w:trPr>
          <w:trHeight w:val="225"/>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6"/>
              </w:rPr>
              <w:t>40,941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8"/>
              </w:rPr>
              <w:t>4,383</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loans</w:t>
            </w:r>
          </w:p>
        </w:tc>
        <w:tc>
          <w:tcPr>
            <w:tcW w:w="160" w:type="dxa"/>
            <w:vAlign w:val="bottom"/>
          </w:tcPr>
          <w:p>
            <w:pPr>
              <w:spacing w:after="0"/>
              <w:rPr>
                <w:sz w:val="19"/>
                <w:szCs w:val="19"/>
                <w:color w:val="auto"/>
              </w:rPr>
            </w:pPr>
          </w:p>
        </w:tc>
        <w:tc>
          <w:tcPr>
            <w:tcW w:w="14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6"/>
              </w:rPr>
              <w:t>44,785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7,304</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(17,753)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(4,514)</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6"/>
              </w:rPr>
              <w:t>67,973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center"/>
              <w:ind w:left="830"/>
              <w:spacing w:after="0"/>
              <w:rPr>
                <w:sz w:val="20"/>
                <w:szCs w:val="20"/>
                <w:color w:val="auto"/>
              </w:rPr>
            </w:pPr>
            <w:r>
              <w:rPr>
                <w:rFonts w:ascii="Times New Roman" w:cs="Times New Roman" w:eastAsia="Times New Roman" w:hAnsi="Times New Roman"/>
                <w:sz w:val="18"/>
                <w:szCs w:val="18"/>
                <w:color w:val="auto"/>
                <w:w w:val="98"/>
              </w:rPr>
              <w:t>7,173</w:t>
            </w: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Beneficial Interests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committed capital and other co-investment arrangements that meet a definition of a derivative (derivative beneficial interests), the Company is obligated to make payments to or is entitled to receive payments from the third-party if credit performance on the underlying loans deviates from initial expectations, subject to a dollar cap. In the arrangements that are associated with debt-like securities with embedded derivative features, the Company makes an initial investment and is entitled to receive a portion of cash flows over time from the underlying loan portfolios. These cash flows vary depending on the demonstrated credit performance relative to our expectations.</w:t>
      </w:r>
    </w:p>
    <w:p>
      <w:pPr>
        <w:spacing w:after="0" w:line="21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and September 30, 2026, the fair value of the beneficial interest assets related to these arrangements was $396.2 million and $613.7 million, respectively. As of the same dates, the fair value of the beneficial interest liabilities was $5.1 million and $20.6 million, respectively.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Beneficial interests are measured at estimated fair value using a DCF model. The DCF model sets expectations for cash flows to be received by the Company under each arrangement based on contractually-defined terms, such as total return, portfolio composition, frequency of cash distribution, and others and calculates net cash flows to be received by the Company. These net cash flows are then discounted using an estimate of market rates of return that reflect the risk premium related to those cash flows. As credit performance is demonstrated by the underlying loan portfolios, each DCF model is periodically updated to determine future cash inflows and outflows based on the latest estimated performance for the duration of each arrangement. The DCF model uses inputs discussed below that are inherently judgmental and reflect the Company’s best estimates of the assumptions a market participant would use to determine fair value of our beneficial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fair value measurements of beneficial interests as of December 31, 2025 and September 30, 2026: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7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720" w:type="dxa"/>
            <w:vAlign w:val="bottom"/>
          </w:tcPr>
          <w:p>
            <w:pPr>
              <w:spacing w:after="0"/>
              <w:rPr>
                <w:sz w:val="15"/>
                <w:szCs w:val="15"/>
                <w:color w:val="auto"/>
              </w:rPr>
            </w:pPr>
          </w:p>
        </w:tc>
        <w:tc>
          <w:tcPr>
            <w:tcW w:w="14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40" w:type="dxa"/>
            <w:vAlign w:val="bottom"/>
          </w:tcPr>
          <w:p>
            <w:pPr>
              <w:ind w:left="280"/>
              <w:spacing w:after="0" w:line="174"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00" w:type="dxa"/>
            <w:vAlign w:val="bottom"/>
          </w:tcPr>
          <w:p>
            <w:pPr>
              <w:spacing w:after="0"/>
              <w:rPr>
                <w:sz w:val="15"/>
                <w:szCs w:val="15"/>
                <w:color w:val="auto"/>
              </w:rPr>
            </w:pPr>
          </w:p>
        </w:tc>
        <w:tc>
          <w:tcPr>
            <w:tcW w:w="14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60" w:type="dxa"/>
            <w:vAlign w:val="bottom"/>
          </w:tcPr>
          <w:p>
            <w:pPr>
              <w:jc w:val="right"/>
              <w:ind w:right="190"/>
              <w:spacing w:after="0" w:line="174"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38"/>
        </w:trPr>
        <w:tc>
          <w:tcPr>
            <w:tcW w:w="272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1440" w:type="dxa"/>
            <w:vAlign w:val="bottom"/>
            <w:gridSpan w:val="2"/>
          </w:tcPr>
          <w:p>
            <w:pPr>
              <w:ind w:left="300"/>
              <w:spacing w:after="0" w:line="239" w:lineRule="exact"/>
              <w:rPr>
                <w:sz w:val="20"/>
                <w:szCs w:val="20"/>
                <w:color w:val="auto"/>
              </w:rPr>
            </w:pPr>
            <w:r>
              <w:rPr>
                <w:rFonts w:ascii="Times New Roman" w:cs="Times New Roman" w:eastAsia="Times New Roman" w:hAnsi="Times New Roman"/>
                <w:sz w:val="18"/>
                <w:szCs w:val="18"/>
                <w:b w:val="1"/>
                <w:bCs w:val="1"/>
                <w:color w:val="auto"/>
              </w:rPr>
              <w:t>Average</w:t>
            </w:r>
            <w:r>
              <w:rPr>
                <w:rFonts w:ascii="Times New Roman" w:cs="Times New Roman" w:eastAsia="Times New Roman" w:hAnsi="Times New Roman"/>
                <w:sz w:val="23"/>
                <w:szCs w:val="23"/>
                <w:color w:val="auto"/>
                <w:vertAlign w:val="superscript"/>
              </w:rPr>
              <w:t>(1)</w:t>
            </w:r>
          </w:p>
        </w:tc>
        <w:tc>
          <w:tcPr>
            <w:tcW w:w="1440" w:type="dxa"/>
            <w:vAlign w:val="bottom"/>
            <w:gridSpan w:val="2"/>
            <w:vMerge w:val="continue"/>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360" w:type="dxa"/>
            <w:vAlign w:val="bottom"/>
          </w:tcPr>
          <w:p>
            <w:pPr>
              <w:jc w:val="right"/>
              <w:ind w:right="210"/>
              <w:spacing w:after="0" w:line="239" w:lineRule="exact"/>
              <w:rPr>
                <w:sz w:val="20"/>
                <w:szCs w:val="20"/>
                <w:color w:val="auto"/>
              </w:rPr>
            </w:pPr>
            <w:r>
              <w:rPr>
                <w:rFonts w:ascii="Times New Roman" w:cs="Times New Roman" w:eastAsia="Times New Roman" w:hAnsi="Times New Roman"/>
                <w:sz w:val="18"/>
                <w:szCs w:val="18"/>
                <w:b w:val="1"/>
                <w:bCs w:val="1"/>
                <w:color w:val="auto"/>
              </w:rPr>
              <w:t>Average</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09"/>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Beneficial interest assets</w:t>
            </w: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Discount rate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14.50 %</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12.38 %</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Credit risk rate spread</w:t>
            </w:r>
            <w:r>
              <w:rPr>
                <w:rFonts w:ascii="Times New Roman" w:cs="Times New Roman" w:eastAsia="Times New Roman" w:hAnsi="Times New Roman"/>
                <w:sz w:val="23"/>
                <w:szCs w:val="23"/>
                <w:color w:val="auto"/>
                <w:vertAlign w:val="superscript"/>
              </w:rPr>
              <w:t>(2)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30"/>
        </w:trPr>
        <w:tc>
          <w:tcPr>
            <w:tcW w:w="27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Prepayment rate spread</w:t>
            </w:r>
            <w:r>
              <w:rPr>
                <w:rFonts w:ascii="Times New Roman" w:cs="Times New Roman" w:eastAsia="Times New Roman" w:hAnsi="Times New Roman"/>
                <w:sz w:val="23"/>
                <w:szCs w:val="23"/>
                <w:color w:val="auto"/>
                <w:vertAlign w:val="superscript"/>
              </w:rPr>
              <w:t>(3)</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19.84 %</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Beneficial interest liabilities</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Discount rate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12.75 %</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12.57 %</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Credit risk rate spread</w:t>
            </w:r>
            <w:r>
              <w:rPr>
                <w:rFonts w:ascii="Times New Roman" w:cs="Times New Roman" w:eastAsia="Times New Roman" w:hAnsi="Times New Roman"/>
                <w:sz w:val="23"/>
                <w:szCs w:val="23"/>
                <w:color w:val="auto"/>
                <w:vertAlign w:val="superscript"/>
              </w:rPr>
              <w:t>(2)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0" w:type="dxa"/>
            <w:vAlign w:val="bottom"/>
          </w:tcPr>
          <w:p>
            <w:pPr>
              <w:spacing w:after="0"/>
              <w:rPr>
                <w:sz w:val="1"/>
                <w:szCs w:val="1"/>
                <w:color w:val="auto"/>
              </w:rPr>
            </w:pPr>
          </w:p>
        </w:tc>
      </w:tr>
      <w:tr>
        <w:trPr>
          <w:trHeight w:val="312"/>
        </w:trPr>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Prepayment rate spread</w:t>
            </w:r>
            <w:r>
              <w:rPr>
                <w:rFonts w:ascii="Times New Roman" w:cs="Times New Roman" w:eastAsia="Times New Roman" w:hAnsi="Times New Roman"/>
                <w:sz w:val="23"/>
                <w:szCs w:val="23"/>
                <w:color w:val="auto"/>
                <w:vertAlign w:val="superscript"/>
              </w:rPr>
              <w:t>(3)</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8.36 %</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28.50 %</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15" w:lineRule="exact"/>
        <w:rPr>
          <w:sz w:val="20"/>
          <w:szCs w:val="20"/>
          <w:color w:val="auto"/>
        </w:rPr>
      </w:pPr>
    </w:p>
    <w:p>
      <w:pPr>
        <w:ind w:left="480" w:hanging="472"/>
        <w:spacing w:after="0"/>
        <w:tabs>
          <w:tab w:leader="none" w:pos="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relative fair value.</w:t>
      </w:r>
    </w:p>
    <w:p>
      <w:pPr>
        <w:spacing w:after="0" w:line="1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as a percentage of cumulative net loss expectations as of the valuation date compared to the initial expectations.</w:t>
      </w:r>
    </w:p>
    <w:p>
      <w:pPr>
        <w:spacing w:after="0" w:line="14"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as a percentage of cumulative principal prepayment expectations as of the valuation date compared to the initial expectations.</w:t>
      </w:r>
    </w:p>
    <w:p>
      <w:pPr>
        <w:spacing w:after="0" w:line="200" w:lineRule="exact"/>
        <w:rPr>
          <w:sz w:val="20"/>
          <w:szCs w:val="20"/>
          <w:color w:val="auto"/>
        </w:rPr>
      </w:pPr>
    </w:p>
    <w:p>
      <w:pPr>
        <w:spacing w:after="0" w:line="27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Discount rates</w:t>
      </w:r>
      <w:r>
        <w:rPr>
          <w:rFonts w:ascii="Times New Roman" w:cs="Times New Roman" w:eastAsia="Times New Roman" w:hAnsi="Times New Roman"/>
          <w:sz w:val="18"/>
          <w:szCs w:val="18"/>
          <w:color w:val="auto"/>
        </w:rPr>
        <w:t>–The discount rates are rates of return used to discount future expected cash flows to arrive at a present value, which represents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The discount rates used for the projected net cash flows are the Company’s estimates of the rates of return that market participants would require when investing in these financial instruments with cash flows dependent on credit performance of the underlying loan portfolio. A risk premium component is implicitly included in the discount rates to reflect the amount of compensation market participants require due to the uncertainty inherent in the instruments’ cash flows resulting from risks such as credit and liquidity. The Company uses different discount rates depending on the type of underlying collateral as well as for expected cash flows associated with demonstrated to-date credit performance and those associated with future credit performance. The difference in these rates reflects the level of uncertainty and, as a result, risk premium that would be required by market participants when investing in these instruments.</w:t>
      </w:r>
    </w:p>
    <w:p>
      <w:pPr>
        <w:spacing w:after="0" w:line="21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Credit risk rate spreads</w:t>
      </w:r>
      <w:r>
        <w:rPr>
          <w:rFonts w:ascii="Times New Roman" w:cs="Times New Roman" w:eastAsia="Times New Roman" w:hAnsi="Times New Roman"/>
          <w:sz w:val="18"/>
          <w:szCs w:val="18"/>
          <w:color w:val="auto"/>
        </w:rPr>
        <w:t>–Credit risk rate spreads are the measurement of estimated credit performance of underlying loan portfolios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date in comparison to the Company’s estimates at the time of origination or sale of loans under these arrangements (“initial expectation”). More specifically, credit risk rate spreads are the difference between the initial expectation of the cumulative principal of a loan portfolio, net of average recoveries, that is estimated to not be repaid over the life of a beneficial interest (“cumulative net loss”) and the same estimate as of the reporting date. A positive credit risk rate spread indicates that the estimated cumulative net loss as of the reporting period is higher than the initial expectation for a particular portfolio. A negative credit risk rate spread indicates the opposite – the estimated cumulative net loss as of the reporting period is lower than the initial expectation. Credit risk rate spreads are expressed as a percentage of the initial expectation of the cumulative total net losses. The difference between the initial and current expectation of estimated cumulative net losses impacts the amount and the timing of cash flows the Company expects to receive on beneficial interest assets or to pay for beneficial interest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Prepayment rate spreads</w:t>
      </w:r>
      <w:r>
        <w:rPr>
          <w:rFonts w:ascii="Times New Roman" w:cs="Times New Roman" w:eastAsia="Times New Roman" w:hAnsi="Times New Roman"/>
          <w:sz w:val="18"/>
          <w:szCs w:val="18"/>
          <w:color w:val="auto"/>
        </w:rPr>
        <w:t>–Prepayment rate spreads are the measurement of estimated prepayments on the underlying loan portfolios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date in comparison to the Company’s initial expectation. More specifically, prepayment rate spreads are the difference between the initial expectation of cumulative principal prepayments that will occur over the life of a beneficial interest (“cumulative prepayment”) and the same estimate as of the reporting date. A positive prepayment rate spread indicates that the estimated cumulative prepayments as of the reporting period is higher than the initial expectation for a particular portfolio. A negative prepayment rate spread indicates the opposite – the estimated cumulative prepayments as of the reporting period is lower than the initial expectation. Prepayment rate spreads are expressed as a percentage of the initial expectation of the cumulative total prepayments. The difference between the initial and current expectation of estimated cumulative prepayment impacts the amount and the timing of cash flows the Company expects to receive on beneficial interest assets or to pay for beneficial interest liabilities.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sensitivity of beneficial interest assets and liabilities to adverse changes in significant assumptions used in the valuation model as of December 31, 2025 and September 30, 2026. The Company adversely shocks the credit risk rate and prepayment rate on the underlying loan portfolios rather than the spreads. Adverse changes in discount rates and prepayment rates do not result in a material impact to the fair value of beneficial interest liabilities as of December 31, 2025 and September 30, 2026.</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8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23"/>
        </w:trPr>
        <w:tc>
          <w:tcPr>
            <w:tcW w:w="6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24"/>
                <w:szCs w:val="24"/>
                <w:color w:val="auto"/>
              </w:rPr>
            </w:pPr>
          </w:p>
        </w:tc>
        <w:tc>
          <w:tcPr>
            <w:tcW w:w="17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69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beneficial interest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613,652</w:t>
            </w:r>
          </w:p>
        </w:tc>
      </w:tr>
      <w:tr>
        <w:trPr>
          <w:trHeight w:val="20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0"/>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100 basis point increase</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(6,632)</w:t>
            </w:r>
          </w:p>
        </w:tc>
      </w:tr>
      <w:tr>
        <w:trPr>
          <w:trHeight w:val="230"/>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 basis point increase</w:t>
            </w: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(13,062)</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credit risk rate on underlying loans</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 adverse change</w:t>
            </w: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(114,803)</w:t>
            </w:r>
          </w:p>
        </w:tc>
      </w:tr>
      <w:tr>
        <w:trPr>
          <w:trHeight w:val="230"/>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 adverse change</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(226,892)</w:t>
            </w: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prepayment rate on underlying loans</w:t>
            </w: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 adverse change</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w:t>
            </w:r>
          </w:p>
        </w:tc>
      </w:tr>
      <w:tr>
        <w:trPr>
          <w:trHeight w:val="229"/>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 adverse change</w:t>
            </w: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(19,747)</w:t>
            </w:r>
          </w:p>
        </w:tc>
      </w:tr>
      <w:tr>
        <w:trPr>
          <w:trHeight w:val="257"/>
        </w:trPr>
        <w:tc>
          <w:tcPr>
            <w:tcW w:w="69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spacing w:after="0"/>
              <w:rPr>
                <w:sz w:val="22"/>
                <w:szCs w:val="22"/>
                <w:color w:val="auto"/>
              </w:rPr>
            </w:pPr>
          </w:p>
        </w:tc>
      </w:tr>
      <w:tr>
        <w:trPr>
          <w:trHeight w:val="223"/>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beneficial interest liabilities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20,550</w:t>
            </w:r>
          </w:p>
        </w:tc>
      </w:tr>
      <w:tr>
        <w:trPr>
          <w:trHeight w:val="21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credit risk rate on underlying loans</w:t>
            </w: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30"/>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 adverse change</w:t>
            </w: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27,319</w:t>
            </w:r>
          </w:p>
        </w:tc>
      </w:tr>
      <w:tr>
        <w:trPr>
          <w:trHeight w:val="229"/>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 adverse change</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tables present a rollforward of beneficial interest assets and liabilities: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Acquisitions of beneficial interests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Settlement of beneficial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 Interest</w:t>
            </w:r>
          </w:p>
        </w:tc>
        <w:tc>
          <w:tcPr>
            <w:tcW w:w="100" w:type="dxa"/>
            <w:vAlign w:val="bottom"/>
          </w:tcPr>
          <w:p>
            <w:pPr>
              <w:spacing w:after="0"/>
              <w:rPr>
                <w:sz w:val="17"/>
                <w:szCs w:val="17"/>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Beneficial Interest</w:t>
            </w:r>
          </w:p>
        </w:tc>
      </w:tr>
      <w:tr>
        <w:trPr>
          <w:trHeight w:val="238"/>
        </w:trPr>
        <w:tc>
          <w:tcPr>
            <w:tcW w:w="100" w:type="dxa"/>
            <w:vAlign w:val="bottom"/>
          </w:tcPr>
          <w:p>
            <w:pPr>
              <w:spacing w:after="0"/>
              <w:rPr>
                <w:sz w:val="20"/>
                <w:szCs w:val="20"/>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20"/>
                <w:szCs w:val="20"/>
                <w:color w:val="auto"/>
              </w:rPr>
            </w:pPr>
          </w:p>
        </w:tc>
        <w:tc>
          <w:tcPr>
            <w:tcW w:w="1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3"/>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266,761</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10,532</w:t>
            </w:r>
          </w:p>
        </w:tc>
      </w:tr>
      <w:tr>
        <w:trPr>
          <w:trHeight w:val="218"/>
        </w:trPr>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w:t>
            </w:r>
          </w:p>
        </w:tc>
      </w:tr>
      <w:tr>
        <w:trPr>
          <w:trHeight w:val="234"/>
        </w:trPr>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(7,279)</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6,706</w:t>
            </w:r>
          </w:p>
        </w:tc>
      </w:tr>
      <w:tr>
        <w:trPr>
          <w:trHeight w:val="223"/>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316,199</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13,186</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40" w:space="720"/>
            <w:col w:w="3380"/>
          </w:cols>
          <w:pgMar w:left="320" w:top="175" w:right="339" w:bottom="1440" w:gutter="0" w:footer="0" w:header="0"/>
          <w:type w:val="continuous"/>
        </w:sect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2024</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Acquisitions of beneficial interests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Settlement of beneficial interests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2025</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 Interest</w:t>
            </w:r>
          </w:p>
        </w:tc>
        <w:tc>
          <w:tcPr>
            <w:tcW w:w="100" w:type="dxa"/>
            <w:vAlign w:val="bottom"/>
          </w:tcPr>
          <w:p>
            <w:pPr>
              <w:spacing w:after="0"/>
              <w:rPr>
                <w:sz w:val="17"/>
                <w:szCs w:val="17"/>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Beneficial Interest</w:t>
            </w:r>
          </w:p>
        </w:tc>
      </w:tr>
      <w:tr>
        <w:trPr>
          <w:trHeight w:val="241"/>
        </w:trPr>
        <w:tc>
          <w:tcPr>
            <w:tcW w:w="100" w:type="dxa"/>
            <w:vAlign w:val="bottom"/>
          </w:tcPr>
          <w:p>
            <w:pPr>
              <w:spacing w:after="0"/>
              <w:rPr>
                <w:sz w:val="20"/>
                <w:szCs w:val="20"/>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20"/>
                <w:szCs w:val="20"/>
                <w:color w:val="auto"/>
              </w:rPr>
            </w:pPr>
          </w:p>
        </w:tc>
        <w:tc>
          <w:tcPr>
            <w:tcW w:w="1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5"/>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176,848</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10,089</w:t>
            </w:r>
          </w:p>
        </w:tc>
      </w:tr>
      <w:tr>
        <w:trPr>
          <w:trHeight w:val="218"/>
        </w:trPr>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(15,716)</w:t>
            </w:r>
          </w:p>
        </w:tc>
      </w:tr>
      <w:tr>
        <w:trPr>
          <w:trHeight w:val="234"/>
        </w:trPr>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16,205</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18,813</w:t>
            </w:r>
          </w:p>
        </w:tc>
      </w:tr>
      <w:tr>
        <w:trPr>
          <w:trHeight w:val="223"/>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316,199</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13,186</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-788035</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-479425</wp:posOffset>
            </wp:positionV>
            <wp:extent cx="713232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-187960</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40" w:space="720"/>
            <w:col w:w="3380"/>
          </w:cols>
          <w:pgMar w:left="320" w:top="175" w:right="339" w:bottom="1440" w:gutter="0" w:footer="0" w:header="0"/>
          <w:type w:val="continuous"/>
        </w:sect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2026</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Acquisition of beneficial interests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Settlement of beneficial interests, net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2026</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 Interest</w:t>
            </w:r>
          </w:p>
        </w:tc>
        <w:tc>
          <w:tcPr>
            <w:tcW w:w="10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Beneficial Interest</w:t>
            </w:r>
          </w:p>
        </w:tc>
      </w:tr>
      <w:tr>
        <w:trPr>
          <w:trHeight w:val="241"/>
        </w:trPr>
        <w:tc>
          <w:tcPr>
            <w:tcW w:w="100" w:type="dxa"/>
            <w:vAlign w:val="bottom"/>
          </w:tcPr>
          <w:p>
            <w:pPr>
              <w:spacing w:after="0"/>
              <w:rPr>
                <w:sz w:val="20"/>
                <w:szCs w:val="20"/>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20"/>
                <w:szCs w:val="20"/>
                <w:color w:val="auto"/>
              </w:rPr>
            </w:pPr>
          </w:p>
        </w:tc>
        <w:tc>
          <w:tcPr>
            <w:tcW w:w="1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5"/>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545,938</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10,158</w:t>
            </w:r>
          </w:p>
        </w:tc>
      </w:tr>
      <w:tr>
        <w:trPr>
          <w:trHeight w:val="218"/>
        </w:trPr>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r>
      <w:tr>
        <w:trPr>
          <w:trHeight w:val="234"/>
        </w:trPr>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13,167</w:t>
            </w:r>
          </w:p>
        </w:tc>
      </w:tr>
      <w:tr>
        <w:trPr>
          <w:trHeight w:val="223"/>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613,652</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20,550</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-788035</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-479425</wp:posOffset>
            </wp:positionV>
            <wp:extent cx="71323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-187960</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40" w:space="720"/>
            <w:col w:w="3380"/>
          </w:cols>
          <w:pgMar w:left="320" w:top="175" w:right="339" w:bottom="1440" w:gutter="0" w:footer="0" w:header="0"/>
          <w:type w:val="continuous"/>
        </w:sect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2025</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Acquisition of beneficial interests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Settlement of beneficial interests, net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2026</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 Interest</w:t>
            </w:r>
          </w:p>
        </w:tc>
        <w:tc>
          <w:tcPr>
            <w:tcW w:w="10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Beneficial Interest</w:t>
            </w:r>
          </w:p>
        </w:tc>
      </w:tr>
      <w:tr>
        <w:trPr>
          <w:trHeight w:val="238"/>
        </w:trPr>
        <w:tc>
          <w:tcPr>
            <w:tcW w:w="100" w:type="dxa"/>
            <w:vAlign w:val="bottom"/>
          </w:tcPr>
          <w:p>
            <w:pPr>
              <w:spacing w:after="0"/>
              <w:rPr>
                <w:sz w:val="20"/>
                <w:szCs w:val="20"/>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20"/>
                <w:szCs w:val="20"/>
                <w:color w:val="auto"/>
              </w:rPr>
            </w:pPr>
          </w:p>
        </w:tc>
        <w:tc>
          <w:tcPr>
            <w:tcW w:w="1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3"/>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396,216</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5,075</w:t>
            </w:r>
          </w:p>
        </w:tc>
      </w:tr>
      <w:tr>
        <w:trPr>
          <w:trHeight w:val="218"/>
        </w:trPr>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r>
      <w:tr>
        <w:trPr>
          <w:trHeight w:val="234"/>
        </w:trPr>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15,386</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17,726</w:t>
            </w:r>
          </w:p>
        </w:tc>
      </w:tr>
      <w:tr>
        <w:trPr>
          <w:trHeight w:val="223"/>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613,652</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20,550</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-788035</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-479425</wp:posOffset>
            </wp:positionV>
            <wp:extent cx="71323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-187960</wp:posOffset>
            </wp:positionV>
            <wp:extent cx="71323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40" w:space="720"/>
            <w:col w:w="3380"/>
          </w:cols>
          <w:pgMar w:left="320" w:top="1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6.</w:t>
        <w:tab/>
        <w:t>Goodwill and Intangible Assets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Goodwill balance was $67.1 million as of both December 31, 2025 and September 30, 2026. The Company recognized no impairment charges related to goodwill during the three and nine months ended September 30, 2025 and 2026.</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Acquired intangible assets subject to amortization consist of customer relationships, and are recorded net of amortization and included within other assets on the condensed consolidated balance sheets. The gross and net carrying values and accumulated amortization are as follows: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60"/>
              <w:spacing w:after="0" w:line="171" w:lineRule="exact"/>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4"/>
                <w:szCs w:val="14"/>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160" w:type="dxa"/>
            <w:vAlign w:val="bottom"/>
          </w:tcPr>
          <w:p>
            <w:pPr>
              <w:spacing w:after="0"/>
              <w:rPr>
                <w:sz w:val="14"/>
                <w:szCs w:val="14"/>
                <w:color w:val="auto"/>
              </w:rPr>
            </w:pPr>
          </w:p>
        </w:tc>
        <w:tc>
          <w:tcPr>
            <w:tcW w:w="1020" w:type="dxa"/>
            <w:vAlign w:val="bottom"/>
            <w:gridSpan w:val="2"/>
          </w:tcPr>
          <w:p>
            <w:pPr>
              <w:jc w:val="center"/>
              <w:ind w:right="240"/>
              <w:spacing w:after="0" w:line="171" w:lineRule="exact"/>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4"/>
                <w:szCs w:val="14"/>
                <w:color w:val="auto"/>
              </w:rPr>
            </w:pPr>
          </w:p>
        </w:tc>
        <w:tc>
          <w:tcPr>
            <w:tcW w:w="142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4"/>
                <w:szCs w:val="14"/>
                <w:color w:val="auto"/>
              </w:rPr>
            </w:pPr>
          </w:p>
        </w:tc>
        <w:tc>
          <w:tcPr>
            <w:tcW w:w="13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8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6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00" w:type="dxa"/>
            <w:vAlign w:val="bottom"/>
          </w:tcPr>
          <w:p>
            <w:pPr>
              <w:spacing w:after="0"/>
              <w:rPr>
                <w:sz w:val="20"/>
                <w:szCs w:val="20"/>
                <w:color w:val="auto"/>
              </w:rPr>
            </w:pPr>
          </w:p>
        </w:tc>
        <w:tc>
          <w:tcPr>
            <w:tcW w:w="14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5"/>
        </w:trPr>
        <w:tc>
          <w:tcPr>
            <w:tcW w:w="25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8300" w:type="dxa"/>
            <w:vAlign w:val="bottom"/>
            <w:gridSpan w:val="14"/>
          </w:tcPr>
          <w:p>
            <w:pPr>
              <w:ind w:left="620"/>
              <w:spacing w:after="0"/>
              <w:rPr>
                <w:sz w:val="20"/>
                <w:szCs w:val="20"/>
                <w:color w:val="auto"/>
              </w:rPr>
            </w:pPr>
            <w:r>
              <w:rPr>
                <w:rFonts w:ascii="Times New Roman" w:cs="Times New Roman" w:eastAsia="Times New Roman" w:hAnsi="Times New Roman"/>
                <w:sz w:val="18"/>
                <w:szCs w:val="18"/>
                <w:color w:val="auto"/>
              </w:rPr>
              <w:t>Amortization expense was immaterial for the three and nine months ended September 30, 2025 and 2026.</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6920" w:type="dxa"/>
            <w:vAlign w:val="bottom"/>
            <w:gridSpan w:val="10"/>
          </w:tcPr>
          <w:p>
            <w:pPr>
              <w:ind w:left="620"/>
              <w:spacing w:after="0"/>
              <w:rPr>
                <w:sz w:val="20"/>
                <w:szCs w:val="20"/>
                <w:color w:val="auto"/>
              </w:rPr>
            </w:pPr>
            <w:r>
              <w:rPr>
                <w:rFonts w:ascii="Times New Roman" w:cs="Times New Roman" w:eastAsia="Times New Roman" w:hAnsi="Times New Roman"/>
                <w:sz w:val="18"/>
                <w:szCs w:val="18"/>
                <w:color w:val="auto"/>
              </w:rPr>
              <w:t>Expected future amortization expense for intangible assets is as follows: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25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2026</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2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98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7.  Balance Sheet Components</w:t>
            </w: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32"/>
        </w:trPr>
        <w:tc>
          <w:tcPr>
            <w:tcW w:w="69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59"/>
        </w:trPr>
        <w:tc>
          <w:tcPr>
            <w:tcW w:w="6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assets consisted of the following:</w:t>
            </w: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23"/>
        </w:trPr>
        <w:tc>
          <w:tcPr>
            <w:tcW w:w="6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24"/>
                <w:szCs w:val="24"/>
                <w:color w:val="auto"/>
              </w:rPr>
            </w:pPr>
          </w:p>
        </w:tc>
        <w:tc>
          <w:tcPr>
            <w:tcW w:w="17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69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23"/>
        </w:trPr>
        <w:tc>
          <w:tcPr>
            <w:tcW w:w="69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Loan servicing assets (at fair value)</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67,973</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53,379</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41,040</w:t>
            </w: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13,888</w:t>
            </w:r>
          </w:p>
        </w:tc>
      </w:tr>
      <w:tr>
        <w:trPr>
          <w:trHeight w:val="229"/>
        </w:trPr>
        <w:tc>
          <w:tcPr>
            <w:tcW w:w="6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Intangible assets, net</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w:t>
            </w: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185,342</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21" w:lineRule="exact"/>
        <w:rPr>
          <w:sz w:val="20"/>
          <w:szCs w:val="20"/>
          <w:color w:val="auto"/>
        </w:rPr>
      </w:pPr>
    </w:p>
    <w:p>
      <w:pPr>
        <w:ind w:left="540" w:hanging="472"/>
        <w:spacing w:after="0"/>
        <w:tabs>
          <w:tab w:leader="none" w:pos="5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w:t>
      </w:r>
      <w:r>
        <w:rPr>
          <w:rFonts w:ascii="Times New Roman" w:cs="Times New Roman" w:eastAsia="Times New Roman" w:hAnsi="Times New Roman"/>
          <w:sz w:val="14"/>
          <w:szCs w:val="14"/>
          <w:i w:val="1"/>
          <w:iCs w:val="1"/>
          <w:color w:val="auto"/>
        </w:rPr>
        <w:t>Note 5. Fair Value Measurement”</w:t>
      </w:r>
      <w:r>
        <w:rPr>
          <w:rFonts w:ascii="Times New Roman" w:cs="Times New Roman" w:eastAsia="Times New Roman" w:hAnsi="Times New Roman"/>
          <w:sz w:val="14"/>
          <w:szCs w:val="14"/>
          <w:color w:val="auto"/>
        </w:rPr>
        <w:t xml:space="preserve"> for further information.</w:t>
      </w:r>
    </w:p>
    <w:p>
      <w:pPr>
        <w:spacing w:after="0" w:line="11" w:lineRule="exact"/>
        <w:rPr>
          <w:rFonts w:ascii="Times New Roman" w:cs="Times New Roman" w:eastAsia="Times New Roman" w:hAnsi="Times New Roman"/>
          <w:sz w:val="14"/>
          <w:szCs w:val="14"/>
          <w:color w:val="auto"/>
        </w:rPr>
      </w:pPr>
    </w:p>
    <w:p>
      <w:pPr>
        <w:ind w:left="540" w:hanging="472"/>
        <w:spacing w:after="0"/>
        <w:tabs>
          <w:tab w:leader="none" w:pos="5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w:t>
      </w:r>
      <w:r>
        <w:rPr>
          <w:rFonts w:ascii="Times New Roman" w:cs="Times New Roman" w:eastAsia="Times New Roman" w:hAnsi="Times New Roman"/>
          <w:sz w:val="14"/>
          <w:szCs w:val="14"/>
          <w:i w:val="1"/>
          <w:iCs w:val="1"/>
          <w:color w:val="auto"/>
        </w:rPr>
        <w:t>Note 6. Goodwill and Intangible Assets”</w:t>
      </w:r>
      <w:r>
        <w:rPr>
          <w:rFonts w:ascii="Times New Roman" w:cs="Times New Roman" w:eastAsia="Times New Roman" w:hAnsi="Times New Roman"/>
          <w:sz w:val="14"/>
          <w:szCs w:val="14"/>
          <w:color w:val="auto"/>
        </w:rPr>
        <w:t xml:space="preserve"> for further information.</w:t>
      </w:r>
    </w:p>
    <w:p>
      <w:pPr>
        <w:spacing w:after="0" w:line="249"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Receivables represent amounts recognized as revenue but not yet collected in relation to servicing and other agreements with institutional investors and lending partners.</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9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 Net</w:t>
            </w: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9"/>
        </w:trPr>
        <w:tc>
          <w:tcPr>
            <w:tcW w:w="6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w:t>
            </w: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18"/>
        </w:trPr>
        <w:tc>
          <w:tcPr>
            <w:tcW w:w="6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24"/>
                <w:szCs w:val="24"/>
                <w:color w:val="auto"/>
              </w:rPr>
            </w:pPr>
          </w:p>
        </w:tc>
        <w:tc>
          <w:tcPr>
            <w:tcW w:w="17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1"/>
        </w:trPr>
        <w:tc>
          <w:tcPr>
            <w:tcW w:w="69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25"/>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114,562</w:t>
            </w: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19,589</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and networking equipment</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w:t>
            </w:r>
          </w:p>
        </w:tc>
      </w:tr>
      <w:tr>
        <w:trPr>
          <w:trHeight w:val="22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6,471</w:t>
            </w: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147,442</w:t>
            </w:r>
          </w:p>
        </w:tc>
      </w:tr>
      <w:tr>
        <w:trPr>
          <w:trHeight w:val="22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(96,315)</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51,127</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2025, depreciation and amortization expense on property, equipment, and software was immaterial and $17.5 million, respectively, and immaterial and $18.2 million for the three and nine months ended September 30, 2026, respectively.</w:t>
      </w:r>
    </w:p>
    <w:p>
      <w:pPr>
        <w:spacing w:after="0" w:line="189" w:lineRule="exact"/>
        <w:rPr>
          <w:sz w:val="20"/>
          <w:szCs w:val="20"/>
          <w:color w:val="auto"/>
        </w:rPr>
      </w:pPr>
    </w:p>
    <w:p>
      <w:pPr>
        <w:jc w:val="both"/>
        <w:ind w:left="60" w:firstLine="648"/>
        <w:spacing w:after="0" w:line="261" w:lineRule="auto"/>
        <w:rPr>
          <w:sz w:val="20"/>
          <w:szCs w:val="20"/>
          <w:color w:val="auto"/>
        </w:rPr>
      </w:pPr>
      <w:r>
        <w:rPr>
          <w:rFonts w:ascii="Times New Roman" w:cs="Times New Roman" w:eastAsia="Times New Roman" w:hAnsi="Times New Roman"/>
          <w:sz w:val="18"/>
          <w:szCs w:val="18"/>
          <w:color w:val="auto"/>
        </w:rPr>
        <w:t>Capitalized internally developed software balances, net of accumulated amortization, were $38.5 million and $43.1 million as of December 31, 2025 and September 30, 2026, respectively. The Company recognized no impairment charges to internally developed software during the three months ended September 30, 2025. Impairment charges were immaterial during the nine months ended September 30, 2025 and the three and nine months ended September 30, 2026.</w:t>
      </w:r>
    </w:p>
    <w:p>
      <w:pPr>
        <w:sectPr>
          <w:pgSz w:w="11900" w:h="16838" w:orient="portrait"/>
          <w:cols w:equalWidth="0" w:num="1">
            <w:col w:w="11300"/>
          </w:cols>
          <w:pgMar w:left="26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60" w:top="175" w:right="339"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9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Liabilities</w:t>
            </w: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9"/>
        </w:trPr>
        <w:tc>
          <w:tcPr>
            <w:tcW w:w="6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w:t>
            </w: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50"/>
        </w:trPr>
        <w:tc>
          <w:tcPr>
            <w:tcW w:w="6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24"/>
                <w:szCs w:val="24"/>
                <w:color w:val="auto"/>
              </w:rPr>
            </w:pPr>
          </w:p>
        </w:tc>
        <w:tc>
          <w:tcPr>
            <w:tcW w:w="17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69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65,489</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34,484</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22,721</w:t>
            </w:r>
          </w:p>
        </w:tc>
      </w:tr>
      <w:tr>
        <w:trPr>
          <w:trHeight w:val="229"/>
        </w:trPr>
        <w:tc>
          <w:tcPr>
            <w:tcW w:w="6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Beneficial interest liabilities (at fair value)</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20,550</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13,875</w:t>
            </w:r>
          </w:p>
        </w:tc>
      </w:tr>
      <w:tr>
        <w:trPr>
          <w:trHeight w:val="229"/>
        </w:trPr>
        <w:tc>
          <w:tcPr>
            <w:tcW w:w="6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Loan servicing liabilities (at fair value)</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w:t>
            </w:r>
          </w:p>
        </w:tc>
      </w:tr>
      <w:tr>
        <w:trPr>
          <w:trHeight w:val="229"/>
        </w:trPr>
        <w:tc>
          <w:tcPr>
            <w:tcW w:w="6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Trailing fee liability (at fair value)</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liabilities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171,495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171,075</w:t>
            </w:r>
          </w:p>
        </w:tc>
      </w:tr>
      <w:tr>
        <w:trPr>
          <w:trHeight w:val="21"/>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21" w:lineRule="exact"/>
        <w:rPr>
          <w:sz w:val="20"/>
          <w:szCs w:val="20"/>
          <w:color w:val="auto"/>
        </w:rPr>
      </w:pPr>
    </w:p>
    <w:p>
      <w:pPr>
        <w:ind w:left="540" w:hanging="472"/>
        <w:spacing w:after="0"/>
        <w:tabs>
          <w:tab w:leader="none" w:pos="5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w:t>
      </w:r>
      <w:r>
        <w:rPr>
          <w:rFonts w:ascii="Times New Roman" w:cs="Times New Roman" w:eastAsia="Times New Roman" w:hAnsi="Times New Roman"/>
          <w:sz w:val="14"/>
          <w:szCs w:val="14"/>
          <w:i w:val="1"/>
          <w:iCs w:val="1"/>
          <w:color w:val="auto"/>
        </w:rPr>
        <w:t>Note 5. Fair Value Measurement”</w:t>
      </w:r>
      <w:r>
        <w:rPr>
          <w:rFonts w:ascii="Times New Roman" w:cs="Times New Roman" w:eastAsia="Times New Roman" w:hAnsi="Times New Roman"/>
          <w:sz w:val="14"/>
          <w:szCs w:val="14"/>
          <w:color w:val="auto"/>
        </w:rPr>
        <w:t xml:space="preserve"> for further information.</w:t>
      </w:r>
    </w:p>
    <w:p>
      <w:pPr>
        <w:spacing w:after="0" w:line="200" w:lineRule="exact"/>
        <w:rPr>
          <w:sz w:val="20"/>
          <w:szCs w:val="20"/>
          <w:color w:val="auto"/>
        </w:rPr>
      </w:pPr>
    </w:p>
    <w:p>
      <w:pPr>
        <w:spacing w:after="0" w:line="285" w:lineRule="exact"/>
        <w:rPr>
          <w:sz w:val="20"/>
          <w:szCs w:val="20"/>
          <w:color w:val="auto"/>
        </w:rPr>
      </w:pPr>
    </w:p>
    <w:p>
      <w:pPr>
        <w:ind w:left="1080"/>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8.</w:t>
        <w:tab/>
        <w:t>Borrowings</w:t>
      </w:r>
    </w:p>
    <w:p>
      <w:pPr>
        <w:spacing w:after="0" w:line="25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presents the aggregate principal outstanding of all borrowings that are included in the condensed consolidated balance sheets: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0" w:type="dxa"/>
            <w:vAlign w:val="bottom"/>
          </w:tcPr>
          <w:p>
            <w:pPr>
              <w:spacing w:after="0"/>
              <w:rPr>
                <w:sz w:val="18"/>
                <w:szCs w:val="18"/>
                <w:color w:val="auto"/>
              </w:rPr>
            </w:pPr>
          </w:p>
        </w:tc>
        <w:tc>
          <w:tcPr>
            <w:tcW w:w="168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1"/>
        </w:trPr>
        <w:tc>
          <w:tcPr>
            <w:tcW w:w="69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225"/>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Warehouse credit facilities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327,604</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retention financing facility</w:t>
            </w: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105,310</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3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1,687,794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1,621,250</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payments due</w:t>
            </w: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1,860,774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2,054,164</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3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(26,842)</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borrowings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1,829,145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2,027,322</w:t>
            </w:r>
          </w:p>
        </w:tc>
        <w:tc>
          <w:tcPr>
            <w:tcW w:w="0" w:type="dxa"/>
            <w:vAlign w:val="bottom"/>
          </w:tcPr>
          <w:p>
            <w:pPr>
              <w:spacing w:after="0"/>
              <w:rPr>
                <w:sz w:val="1"/>
                <w:szCs w:val="1"/>
                <w:color w:val="auto"/>
              </w:rPr>
            </w:pPr>
          </w:p>
        </w:tc>
      </w:tr>
      <w:tr>
        <w:trPr>
          <w:trHeight w:val="21"/>
        </w:trPr>
        <w:tc>
          <w:tcPr>
            <w:tcW w:w="698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aggregate amount of maturities of all borrowings:</w:t>
            </w: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6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698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7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2026</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74,307</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684,547</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795,310</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2,054,164</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26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60" w:top="175" w:right="339"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520" w:type="dxa"/>
            <w:vAlign w:val="bottom"/>
            <w:gridSpan w:val="6"/>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Warehouse Credit Facilities</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800" w:type="dxa"/>
            <w:vAlign w:val="bottom"/>
            <w:gridSpan w:val="14"/>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details of the Company’s revolving warehouse credit facilities: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Stated Interest</w:t>
            </w:r>
          </w:p>
        </w:tc>
        <w:tc>
          <w:tcPr>
            <w:tcW w:w="1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Termination and</w:t>
            </w:r>
          </w:p>
        </w:tc>
        <w:tc>
          <w:tcPr>
            <w:tcW w:w="1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0" w:type="dxa"/>
            <w:vAlign w:val="bottom"/>
          </w:tcPr>
          <w:p>
            <w:pPr>
              <w:spacing w:after="0"/>
              <w:rPr>
                <w:sz w:val="1"/>
                <w:szCs w:val="1"/>
                <w:color w:val="auto"/>
              </w:rPr>
            </w:pPr>
          </w:p>
        </w:tc>
      </w:tr>
      <w:tr>
        <w:trPr>
          <w:trHeight w:val="184"/>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8"/>
              </w:rPr>
              <w:t>Borrowing</w:t>
            </w:r>
          </w:p>
        </w:tc>
        <w:tc>
          <w:tcPr>
            <w:tcW w:w="12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Collateral</w:t>
            </w:r>
            <w:r>
              <w:rPr>
                <w:rFonts w:ascii="Times New Roman" w:cs="Times New Roman" w:eastAsia="Times New Roman" w:hAnsi="Times New Roman"/>
                <w:sz w:val="23"/>
                <w:szCs w:val="23"/>
                <w:color w:val="auto"/>
                <w:w w:val="92"/>
                <w:vertAlign w:val="superscript"/>
              </w:rPr>
              <w:t>(4)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2"/>
              </w:rPr>
              <w:t>Collateral</w:t>
            </w:r>
            <w:r>
              <w:rPr>
                <w:rFonts w:ascii="Times New Roman" w:cs="Times New Roman" w:eastAsia="Times New Roman" w:hAnsi="Times New Roman"/>
                <w:sz w:val="23"/>
                <w:szCs w:val="23"/>
                <w:color w:val="auto"/>
                <w:w w:val="92"/>
                <w:vertAlign w:val="superscript"/>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ind w:left="400"/>
              <w:spacing w:after="0" w:line="230" w:lineRule="exact"/>
              <w:rPr>
                <w:sz w:val="20"/>
                <w:szCs w:val="20"/>
                <w:color w:val="auto"/>
              </w:rPr>
            </w:pPr>
            <w:r>
              <w:rPr>
                <w:rFonts w:ascii="Times New Roman" w:cs="Times New Roman" w:eastAsia="Times New Roman" w:hAnsi="Times New Roman"/>
                <w:sz w:val="18"/>
                <w:szCs w:val="18"/>
                <w:b w:val="1"/>
                <w:bCs w:val="1"/>
                <w:color w:val="auto"/>
              </w:rPr>
              <w:t>Rate</w:t>
            </w:r>
            <w:r>
              <w:rPr>
                <w:rFonts w:ascii="Times New Roman" w:cs="Times New Roman" w:eastAsia="Times New Roman" w:hAnsi="Times New Roman"/>
                <w:sz w:val="23"/>
                <w:szCs w:val="23"/>
                <w:color w:val="auto"/>
                <w:vertAlign w:val="superscript"/>
              </w:rPr>
              <w:t>(1)</w:t>
            </w:r>
          </w:p>
        </w:tc>
        <w:tc>
          <w:tcPr>
            <w:tcW w:w="8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ind w:left="460"/>
              <w:spacing w:after="0" w:line="230" w:lineRule="exact"/>
              <w:rPr>
                <w:sz w:val="20"/>
                <w:szCs w:val="20"/>
                <w:color w:val="auto"/>
              </w:rPr>
            </w:pPr>
            <w:r>
              <w:rPr>
                <w:rFonts w:ascii="Times New Roman" w:cs="Times New Roman" w:eastAsia="Times New Roman" w:hAnsi="Times New Roman"/>
                <w:sz w:val="18"/>
                <w:szCs w:val="18"/>
                <w:b w:val="1"/>
                <w:bCs w:val="1"/>
                <w:color w:val="auto"/>
              </w:rPr>
              <w:t>Maturity</w:t>
            </w:r>
            <w:r>
              <w:rPr>
                <w:rFonts w:ascii="Times New Roman" w:cs="Times New Roman" w:eastAsia="Times New Roman" w:hAnsi="Times New Roman"/>
                <w:sz w:val="23"/>
                <w:szCs w:val="23"/>
                <w:color w:val="auto"/>
                <w:vertAlign w:val="superscript"/>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70"/>
              <w:spacing w:after="0" w:line="230" w:lineRule="exact"/>
              <w:rPr>
                <w:sz w:val="20"/>
                <w:szCs w:val="20"/>
                <w:color w:val="auto"/>
              </w:rPr>
            </w:pPr>
            <w:r>
              <w:rPr>
                <w:rFonts w:ascii="Times New Roman" w:cs="Times New Roman" w:eastAsia="Times New Roman" w:hAnsi="Times New Roman"/>
                <w:sz w:val="18"/>
                <w:szCs w:val="18"/>
                <w:b w:val="1"/>
                <w:bCs w:val="1"/>
                <w:color w:val="auto"/>
                <w:w w:val="94"/>
              </w:rPr>
              <w:t>Capacity</w:t>
            </w:r>
            <w:r>
              <w:rPr>
                <w:rFonts w:ascii="Times New Roman" w:cs="Times New Roman" w:eastAsia="Times New Roman" w:hAnsi="Times New Roman"/>
                <w:sz w:val="23"/>
                <w:szCs w:val="23"/>
                <w:color w:val="auto"/>
                <w:w w:val="94"/>
                <w:vertAlign w:val="superscript"/>
              </w:rPr>
              <w:t>(3)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0" w:type="dxa"/>
            <w:vAlign w:val="bottom"/>
          </w:tcPr>
          <w:p>
            <w:pPr>
              <w:spacing w:after="0"/>
              <w:rPr>
                <w:sz w:val="1"/>
                <w:szCs w:val="1"/>
                <w:color w:val="auto"/>
              </w:rPr>
            </w:pPr>
          </w:p>
        </w:tc>
      </w:tr>
      <w:tr>
        <w:trPr>
          <w:trHeight w:val="178"/>
        </w:trPr>
        <w:tc>
          <w:tcPr>
            <w:tcW w:w="11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Upstart Auto</w:t>
            </w:r>
          </w:p>
        </w:tc>
        <w:tc>
          <w:tcPr>
            <w:tcW w:w="10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Benchmark rate</w:t>
            </w:r>
          </w:p>
        </w:tc>
        <w:tc>
          <w:tcPr>
            <w:tcW w:w="1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2026 and</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Warehouse</w:t>
            </w:r>
          </w:p>
        </w:tc>
        <w:tc>
          <w:tcPr>
            <w:tcW w:w="1380" w:type="dxa"/>
            <w:vAlign w:val="bottom"/>
            <w:gridSpan w:val="2"/>
            <w:vMerge w:val="continue"/>
            <w:shd w:val="clear" w:color="auto" w:fill="CCEEFF"/>
          </w:tcPr>
          <w:p>
            <w:pPr>
              <w:spacing w:after="0"/>
              <w:rPr>
                <w:sz w:val="15"/>
                <w:szCs w:val="15"/>
                <w:color w:val="auto"/>
              </w:rPr>
            </w:pPr>
          </w:p>
        </w:tc>
        <w:tc>
          <w:tcPr>
            <w:tcW w:w="1860" w:type="dxa"/>
            <w:vAlign w:val="bottom"/>
            <w:gridSpan w:val="2"/>
            <w:vMerge w:val="continue"/>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gridSpan w:val="3"/>
            <w:vMerge w:val="restart"/>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2</w:t>
            </w: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 - 4.0%</w:t>
            </w:r>
          </w:p>
        </w:tc>
        <w:tc>
          <w:tcPr>
            <w:tcW w:w="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2027</w:t>
            </w:r>
          </w:p>
        </w:tc>
        <w:tc>
          <w:tcPr>
            <w:tcW w:w="16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60" w:type="dxa"/>
            <w:vAlign w:val="bottom"/>
            <w:gridSpan w:val="3"/>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2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Upstart Loan</w:t>
            </w:r>
          </w:p>
        </w:tc>
        <w:tc>
          <w:tcPr>
            <w:tcW w:w="13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Benchmark rate</w:t>
            </w:r>
          </w:p>
        </w:tc>
        <w:tc>
          <w:tcPr>
            <w:tcW w:w="18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June 2028 and June</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Trust</w:t>
            </w: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+ 1.8% - 3.4%</w:t>
            </w:r>
          </w:p>
        </w:tc>
        <w:tc>
          <w:tcPr>
            <w:tcW w:w="80" w:type="dxa"/>
            <w:vAlign w:val="bottom"/>
          </w:tcPr>
          <w:p>
            <w:pPr>
              <w:spacing w:after="0"/>
              <w:rPr>
                <w:sz w:val="20"/>
                <w:szCs w:val="20"/>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253,297</w:t>
            </w:r>
          </w:p>
        </w:tc>
        <w:tc>
          <w:tcPr>
            <w:tcW w:w="0" w:type="dxa"/>
            <w:vAlign w:val="bottom"/>
          </w:tcPr>
          <w:p>
            <w:pPr>
              <w:spacing w:after="0"/>
              <w:rPr>
                <w:sz w:val="1"/>
                <w:szCs w:val="1"/>
                <w:color w:val="auto"/>
              </w:rPr>
            </w:pPr>
          </w:p>
        </w:tc>
      </w:tr>
      <w:tr>
        <w:trPr>
          <w:trHeight w:val="184"/>
        </w:trPr>
        <w:tc>
          <w:tcPr>
            <w:tcW w:w="12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Upstart Small</w:t>
            </w:r>
          </w:p>
        </w:tc>
        <w:tc>
          <w:tcPr>
            <w:tcW w:w="13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Benchmark rate</w:t>
            </w:r>
          </w:p>
        </w:tc>
        <w:tc>
          <w:tcPr>
            <w:tcW w:w="1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2027 and June</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Dollar Loan</w:t>
            </w:r>
          </w:p>
        </w:tc>
        <w:tc>
          <w:tcPr>
            <w:tcW w:w="1380" w:type="dxa"/>
            <w:vAlign w:val="bottom"/>
            <w:gridSpan w:val="2"/>
            <w:vMerge w:val="continue"/>
            <w:shd w:val="clear" w:color="auto" w:fill="CCEEFF"/>
          </w:tcPr>
          <w:p>
            <w:pPr>
              <w:spacing w:after="0"/>
              <w:rPr>
                <w:sz w:val="15"/>
                <w:szCs w:val="15"/>
                <w:color w:val="auto"/>
              </w:rPr>
            </w:pPr>
          </w:p>
        </w:tc>
        <w:tc>
          <w:tcPr>
            <w:tcW w:w="18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128,973</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127,323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74,307</w:t>
            </w:r>
          </w:p>
        </w:tc>
        <w:tc>
          <w:tcPr>
            <w:tcW w:w="0" w:type="dxa"/>
            <w:vAlign w:val="bottom"/>
          </w:tcPr>
          <w:p>
            <w:pPr>
              <w:spacing w:after="0"/>
              <w:rPr>
                <w:sz w:val="1"/>
                <w:szCs w:val="1"/>
                <w:color w:val="auto"/>
              </w:rPr>
            </w:pPr>
          </w:p>
        </w:tc>
      </w:tr>
      <w:tr>
        <w:trPr>
          <w:trHeight w:val="229"/>
        </w:trPr>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w:t>
            </w: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+ 5.5%</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185,231</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97,333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539,992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327,604</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21" w:lineRule="exact"/>
        <w:rPr>
          <w:sz w:val="20"/>
          <w:szCs w:val="20"/>
          <w:color w:val="auto"/>
        </w:rPr>
      </w:pPr>
    </w:p>
    <w:p>
      <w:pPr>
        <w:jc w:val="both"/>
        <w:ind w:left="560" w:hanging="492"/>
        <w:spacing w:after="0" w:line="255" w:lineRule="auto"/>
        <w:tabs>
          <w:tab w:leader="none" w:pos="55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rates on our warehouse credit facilities are floating and designed as a reference rate plus a spread. Reference rates include the Compounded SOFR, the Term SOFR, and the weighted-average cost of commercial paper notes issued by the lender. The stated interest rate excludes unused commitment fees with a maximum of 1.0%. The undrawn fee for Upstart Small Dollar Loan Trust is the dollar amount of interest and fees that would have been due if the daily average aggregate outstanding principal balance was equal to 75% of the then-applicable borrowing base.</w:t>
      </w:r>
    </w:p>
    <w:p>
      <w:pPr>
        <w:spacing w:after="0" w:line="1" w:lineRule="exact"/>
        <w:rPr>
          <w:rFonts w:ascii="Times New Roman" w:cs="Times New Roman" w:eastAsia="Times New Roman" w:hAnsi="Times New Roman"/>
          <w:sz w:val="14"/>
          <w:szCs w:val="14"/>
          <w:color w:val="auto"/>
        </w:rPr>
      </w:pPr>
    </w:p>
    <w:p>
      <w:pPr>
        <w:ind w:left="560" w:hanging="492"/>
        <w:spacing w:after="0" w:line="261" w:lineRule="auto"/>
        <w:tabs>
          <w:tab w:leader="none" w:pos="55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date represents the final date the Company may borrow up to the maximum capacity under the warehouse. The second date is the maturity date, when the outstanding principal amount, together with accrued and unpaid interest will be due and payable in full.</w:t>
      </w:r>
    </w:p>
    <w:p>
      <w:pPr>
        <w:ind w:left="560" w:hanging="492"/>
        <w:spacing w:after="0" w:line="254" w:lineRule="auto"/>
        <w:tabs>
          <w:tab w:leader="none" w:pos="55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capacity is as of September 30, 2026. Upstart Small Dollar Loan Trust has $100.0 million of uncommitted capacity and Upstart Loan Trust has $225.0 million of uncommitted capacity out of the $400.0 million total.</w:t>
      </w:r>
    </w:p>
    <w:p>
      <w:pPr>
        <w:ind w:left="540" w:hanging="472"/>
        <w:spacing w:after="0"/>
        <w:tabs>
          <w:tab w:leader="none" w:pos="5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restricted cash and unpaid principal balance of loans pledged as collateral, adjusted for facility-specific criteria if required by the lender.</w:t>
      </w:r>
    </w:p>
    <w:p>
      <w:pPr>
        <w:spacing w:after="0" w:line="246"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On June 5, 2026, Upstart Loan Trust amended its credit agreement to extend the maturity date to June 15, 2029. Additionally, the total borrowing capacity increased from $325.0 million to $400.0 million, of which $175.0 million is committed. All other key terms of the agreements remain the same.</w:t>
      </w:r>
    </w:p>
    <w:p>
      <w:pPr>
        <w:spacing w:after="0" w:line="189" w:lineRule="exact"/>
        <w:rPr>
          <w:sz w:val="20"/>
          <w:szCs w:val="20"/>
          <w:color w:val="auto"/>
        </w:rPr>
      </w:pPr>
    </w:p>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On August 6, 2026, Upstart Auto Warehouse Trust 2 amended its credit agreement to extend the maturity date to October 7, 2027. All other key terms of the agreement remain the same. Subsequent to September 30, 2026, the credit agreement was further amended to convert the $150 million borrowing capacity to uncommitted and set the scheduled termination and maturity date to be March 31, 2027.</w:t>
      </w:r>
    </w:p>
    <w:p>
      <w:pPr>
        <w:spacing w:after="0" w:line="203"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The Company’s warehouse credit facilities contain certain financial covenants. As of September 30, 2026, the Company was in compliance with all applicable covenants for its warehouse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60" w:top="17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Risk Retention Financing Facility</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June 2025, the Company entered into a $100.0 million risk retention financing facility to finance certain securitization notes receivable it retained in a capacity of the risk retention sponsor under applicable risk retention regulations. Under this facility, the Company pledged the securitization notes receivable as collateral. On April 22, 2026 the risk retention financing facility was amended to increase the maximum facility amount from $100.0 million to $200.0 million.</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outstanding balance of the facility was $105.3 million as of September 30, 2026, presented within borrowings on the condensed consolidated balance sheets. The fair value of the securitization notes receivable pledged was $104.0 million, $102.6 million of which is presented within notes receivable and residual certificates (at fair value) on the condensed consolidated balance sheets. The financing bears interest at the weighted-average coupon of the pledged securities plus a 0.40% spread. The facility’s final maturity dates range from 2033 to 2036. The facility is accounted for as a secured borrowing.</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Pledged collateral levels are monitored and maintained at an agreed-upon percentage of the outstanding borrowings during the life of the borrowing. In the event of a decline in the fair value of the pledged collateral, the Company may be required to transfer cash or pledge additional securities under this facility.</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August 2021, the Company issued $661.3 million in aggregate principal amount of 0.25% convertible senior notes due 2026 (the “2026 Notes”). In September 2024, the Company issued $431.3 million in aggregate principal amount of 2.00% convertible senior notes due 2029 (the “2029 Notes”). In November 2024, the Company issued $500.0 million in aggregate principal amount of 1.00% convertible senior notes due 2030 (the “2030 Notes”). In August 2025, the Company issued $690.0 million in aggregate principal amount of 0% convertible senior notes due 2032 (the “2032 Notes” and, together with the 2026 Notes, 2029 Notes and 2030 Notes, the “Notes”).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Concurrently with the issuance of the 2029 Notes and the 2032 Notes, the Company repurchased portions of the 2026 Notes. In the third quarter of 2024, the Company used approximately $302.4 million of the net proceeds from the offering of the 2029 Notes to repurchase approximately $334.2 million in aggregate principal amount of the outstanding 2026 Notes in individually negotiated transactions and additionally repurchased approximately $27.9 million of the outstanding 2026 Notes in open-market purchases. In August 2025, the Company used approximately $224.2 million of the net proceeds from the offering of the 2032 Notes to repurchase approximately $232.6 million in aggregate principal amount of the outstanding 2026 Notes in individually negotiated transactions.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repurchases of the 2026 Notes were accounted for as a debt extinguishment. The difference between the consideration paid to repurchase the 2026 Notes and the carrying value of the 2026 Notes, resulted in a gain on debt extinguishment of $33.4 million and $7.2 million separately reported on the condensed consolidated statement of operations and comprehensive income (loss) during the third quarter of 2024 and 2025, respectively. The partial extinguishments did not result in any changes to the terms of the 2026 Notes.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2026 Notes matured as scheduled on August 15, 2026. The Company repaid the remaining $66.5 million aggregate principal amount and all accrued and unpaid interest in accordance with the contractual terms. No gain or loss was recognized upon repayment. The Company has no further obligations with respect to the 2026 Notes.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series of Notes is governed by its respective indenture (each, an “Indenture”), and represents senior unsecured obligations of the Company. The 2029 Notes, 2030 Notes, and 2032 Notes (collectively, the “Outstanding Notes”) mature on October 1, 2029, November 15, 2030, and February 15, 2032, respectively, unless such Notes are earlier converted, redeemed, or repurchased in accordance with their terms. The Company may redeem for cash all or any portion of the Outstanding Notes, at its option, on or after October 6, 2027, in the case of the 2029 Notes, on</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or after November 20, 2027, in the case of the 2030 Notes, and on or after August 20, 2028, in the case of the 2032 Notes, if the last reported sale price of the Company’s common stock has been at least 130% of the conversion price for the Notes of the applicable series then in effect for at least 20 trading days (whether or not consecutive) during any 30 consecutive trading-day period (including the last trading day of such period) ending on, and including, the trading day immediately preceding the date on which the Company provides a notice of redemption for the Notes of such series at a redemption price equal to 100% of the principal amount of the Notes of such series to be redeemed, plus any accrued and unpaid interest (or special interest, if any, in the case of the 2032 Notes) to, but excluding, the redemption date.</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details of the Notes outstanding during the periods presented herein: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3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Initial Conversion Rate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Initial Conversion</w:t>
            </w: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Conversion Date</w:t>
            </w:r>
          </w:p>
        </w:tc>
        <w:tc>
          <w:tcPr>
            <w:tcW w:w="0" w:type="dxa"/>
            <w:vAlign w:val="bottom"/>
          </w:tcPr>
          <w:p>
            <w:pPr>
              <w:spacing w:after="0"/>
              <w:rPr>
                <w:sz w:val="1"/>
                <w:szCs w:val="1"/>
                <w:color w:val="auto"/>
              </w:rPr>
            </w:pPr>
          </w:p>
        </w:tc>
      </w:tr>
      <w:tr>
        <w:trPr>
          <w:trHeight w:val="238"/>
        </w:trPr>
        <w:tc>
          <w:tcPr>
            <w:tcW w:w="1660" w:type="dxa"/>
            <w:vAlign w:val="bottom"/>
          </w:tcPr>
          <w:p>
            <w:pPr>
              <w:spacing w:after="0"/>
              <w:rPr>
                <w:sz w:val="20"/>
                <w:szCs w:val="20"/>
                <w:color w:val="auto"/>
              </w:rPr>
            </w:pPr>
          </w:p>
        </w:tc>
        <w:tc>
          <w:tcPr>
            <w:tcW w:w="3540" w:type="dxa"/>
            <w:vAlign w:val="bottom"/>
            <w:gridSpan w:val="2"/>
            <w:vMerge w:val="continue"/>
          </w:tcPr>
          <w:p>
            <w:pPr>
              <w:spacing w:after="0"/>
              <w:rPr>
                <w:sz w:val="20"/>
                <w:szCs w:val="20"/>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per $1,000 Principal</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4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660" w:type="dxa"/>
            <w:vAlign w:val="bottom"/>
            <w:tcBorders>
              <w:top w:val="single" w:sz="8" w:color="CCEEFF"/>
            </w:tcBorders>
            <w:shd w:val="clear" w:color="auto" w:fill="CCEEFF"/>
          </w:tcPr>
          <w:p>
            <w:pPr>
              <w:spacing w:after="0"/>
              <w:rPr>
                <w:sz w:val="15"/>
                <w:szCs w:val="15"/>
                <w:color w:val="auto"/>
              </w:rPr>
            </w:pPr>
          </w:p>
        </w:tc>
        <w:tc>
          <w:tcPr>
            <w:tcW w:w="3440" w:type="dxa"/>
            <w:vAlign w:val="bottom"/>
            <w:tcBorders>
              <w:top w:val="single" w:sz="8" w:color="auto"/>
            </w:tcBorders>
            <w:shd w:val="clear" w:color="auto" w:fill="CCEEFF"/>
          </w:tcPr>
          <w:p>
            <w:pPr>
              <w:jc w:val="center"/>
              <w:spacing w:after="0" w:line="177" w:lineRule="exact"/>
              <w:rPr>
                <w:sz w:val="20"/>
                <w:szCs w:val="20"/>
                <w:color w:val="auto"/>
              </w:rPr>
            </w:pPr>
            <w:r>
              <w:rPr>
                <w:rFonts w:ascii="Times New Roman" w:cs="Times New Roman" w:eastAsia="Times New Roman" w:hAnsi="Times New Roman"/>
                <w:sz w:val="18"/>
                <w:szCs w:val="18"/>
                <w:color w:val="auto"/>
              </w:rPr>
              <w:t>0.25%; payable semiannually on February 15</w:t>
            </w:r>
          </w:p>
        </w:tc>
        <w:tc>
          <w:tcPr>
            <w:tcW w:w="10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Notes</w:t>
            </w:r>
          </w:p>
        </w:tc>
        <w:tc>
          <w:tcPr>
            <w:tcW w:w="3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and August 15</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3.5056</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$285.26</w:t>
            </w:r>
          </w:p>
        </w:tc>
        <w:tc>
          <w:tcPr>
            <w:tcW w:w="100" w:type="dxa"/>
            <w:vAlign w:val="bottom"/>
            <w:shd w:val="clear" w:color="auto" w:fill="CCEEFF"/>
          </w:tcPr>
          <w:p>
            <w:pPr>
              <w:spacing w:after="0"/>
              <w:rPr>
                <w:sz w:val="20"/>
                <w:szCs w:val="20"/>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15, 2026</w:t>
            </w:r>
          </w:p>
        </w:tc>
        <w:tc>
          <w:tcPr>
            <w:tcW w:w="0" w:type="dxa"/>
            <w:vAlign w:val="bottom"/>
          </w:tcPr>
          <w:p>
            <w:pPr>
              <w:spacing w:after="0"/>
              <w:rPr>
                <w:sz w:val="1"/>
                <w:szCs w:val="1"/>
                <w:color w:val="auto"/>
              </w:rPr>
            </w:pPr>
          </w:p>
        </w:tc>
      </w:tr>
      <w:tr>
        <w:trPr>
          <w:trHeight w:val="184"/>
        </w:trPr>
        <w:tc>
          <w:tcPr>
            <w:tcW w:w="1660" w:type="dxa"/>
            <w:vAlign w:val="bottom"/>
          </w:tcPr>
          <w:p>
            <w:pPr>
              <w:spacing w:after="0"/>
              <w:rPr>
                <w:sz w:val="16"/>
                <w:szCs w:val="16"/>
                <w:color w:val="auto"/>
              </w:rPr>
            </w:pPr>
          </w:p>
        </w:tc>
        <w:tc>
          <w:tcPr>
            <w:tcW w:w="354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rPr>
              <w:t>2.00%; payable semiannually on April 1 and</w:t>
            </w: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Notes</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October 1</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21.9029</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$45.66</w:t>
            </w:r>
          </w:p>
        </w:tc>
        <w:tc>
          <w:tcPr>
            <w:tcW w:w="10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2029</w:t>
            </w:r>
          </w:p>
        </w:tc>
        <w:tc>
          <w:tcPr>
            <w:tcW w:w="0" w:type="dxa"/>
            <w:vAlign w:val="bottom"/>
          </w:tcPr>
          <w:p>
            <w:pPr>
              <w:spacing w:after="0"/>
              <w:rPr>
                <w:sz w:val="1"/>
                <w:szCs w:val="1"/>
                <w:color w:val="auto"/>
              </w:rPr>
            </w:pPr>
          </w:p>
        </w:tc>
      </w:tr>
      <w:tr>
        <w:trPr>
          <w:trHeight w:val="184"/>
        </w:trPr>
        <w:tc>
          <w:tcPr>
            <w:tcW w:w="1660" w:type="dxa"/>
            <w:vAlign w:val="bottom"/>
            <w:shd w:val="clear" w:color="auto" w:fill="CCEEFF"/>
          </w:tcPr>
          <w:p>
            <w:pPr>
              <w:spacing w:after="0"/>
              <w:rPr>
                <w:sz w:val="16"/>
                <w:szCs w:val="16"/>
                <w:color w:val="auto"/>
              </w:rPr>
            </w:pPr>
          </w:p>
        </w:tc>
        <w:tc>
          <w:tcPr>
            <w:tcW w:w="3540" w:type="dxa"/>
            <w:vAlign w:val="bottom"/>
            <w:gridSpan w:val="2"/>
            <w:shd w:val="clear" w:color="auto" w:fill="CCEEFF"/>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rPr>
              <w:t>1.00%; payable semiannually on May 15 and</w:t>
            </w:r>
          </w:p>
        </w:tc>
        <w:tc>
          <w:tcPr>
            <w:tcW w:w="1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Notes</w:t>
            </w:r>
          </w:p>
        </w:tc>
        <w:tc>
          <w:tcPr>
            <w:tcW w:w="35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November 15</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10.8702</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$91.99</w:t>
            </w:r>
          </w:p>
        </w:tc>
        <w:tc>
          <w:tcPr>
            <w:tcW w:w="100" w:type="dxa"/>
            <w:vAlign w:val="bottom"/>
            <w:shd w:val="clear" w:color="auto" w:fill="CCEEFF"/>
          </w:tcPr>
          <w:p>
            <w:pPr>
              <w:spacing w:after="0"/>
              <w:rPr>
                <w:sz w:val="20"/>
                <w:szCs w:val="20"/>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15, 2030</w:t>
            </w:r>
          </w:p>
        </w:tc>
        <w:tc>
          <w:tcPr>
            <w:tcW w:w="0" w:type="dxa"/>
            <w:vAlign w:val="bottom"/>
          </w:tcPr>
          <w:p>
            <w:pPr>
              <w:spacing w:after="0"/>
              <w:rPr>
                <w:sz w:val="1"/>
                <w:szCs w:val="1"/>
                <w:color w:val="auto"/>
              </w:rPr>
            </w:pPr>
          </w:p>
        </w:tc>
      </w:tr>
      <w:tr>
        <w:trPr>
          <w:trHeight w:val="234"/>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2032 Notes</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12.1215</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$82.50</w:t>
            </w:r>
          </w:p>
        </w:tc>
        <w:tc>
          <w:tcPr>
            <w:tcW w:w="10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15, 2031</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Holders of the Outstanding Notes may convert their Notes at their option any time prior to the close of business on the business day immediately preceding July 1, 2029, in the case of the 2029 Notes; August 15, 2030, in the case of the 2030 Notes; and November 15, 2031, in the case of the 2032 Notes, only under the following circumstances:</w:t>
      </w:r>
    </w:p>
    <w:p>
      <w:pPr>
        <w:spacing w:after="0" w:line="203" w:lineRule="exact"/>
        <w:rPr>
          <w:sz w:val="20"/>
          <w:szCs w:val="20"/>
          <w:color w:val="auto"/>
        </w:rPr>
      </w:pPr>
    </w:p>
    <w:p>
      <w:pPr>
        <w:jc w:val="both"/>
        <w:ind w:firstLine="656"/>
        <w:spacing w:after="0" w:line="258" w:lineRule="auto"/>
        <w:tabs>
          <w:tab w:leader="none" w:pos="91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December 31, 2024, in the case of the 2029 Notes, March 31, 2025, in the case of the 2030 Notes and December 31, 2025, in the case of the 2032 Notes,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applicable conversion price for the respective Notes on each applicable trading day;</w:t>
      </w:r>
    </w:p>
    <w:p>
      <w:pPr>
        <w:spacing w:after="0" w:line="210" w:lineRule="exact"/>
        <w:rPr>
          <w:rFonts w:ascii="Times New Roman" w:cs="Times New Roman" w:eastAsia="Times New Roman" w:hAnsi="Times New Roman"/>
          <w:sz w:val="18"/>
          <w:szCs w:val="18"/>
          <w:color w:val="auto"/>
        </w:rPr>
      </w:pPr>
    </w:p>
    <w:p>
      <w:pPr>
        <w:jc w:val="both"/>
        <w:ind w:firstLine="656"/>
        <w:spacing w:after="0" w:line="266" w:lineRule="auto"/>
        <w:tabs>
          <w:tab w:leader="none" w:pos="90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business-day period after any five consecutive trading-day period in which the trading price per $1,000 principal amount of the applicable series of Notes for each trading day of such five consecutive trading-day period was less than 98% of the product of the last reported sale price of the Company’s common stock and the conversion rate of the respective Notes on each such trading day;</w:t>
      </w:r>
    </w:p>
    <w:p>
      <w:pPr>
        <w:spacing w:after="0" w:line="202" w:lineRule="exact"/>
        <w:rPr>
          <w:rFonts w:ascii="Times New Roman" w:cs="Times New Roman" w:eastAsia="Times New Roman" w:hAnsi="Times New Roman"/>
          <w:sz w:val="18"/>
          <w:szCs w:val="18"/>
          <w:color w:val="auto"/>
        </w:rPr>
      </w:pPr>
    </w:p>
    <w:p>
      <w:pPr>
        <w:ind w:right="20" w:firstLine="656"/>
        <w:spacing w:after="0" w:line="282" w:lineRule="auto"/>
        <w:tabs>
          <w:tab w:leader="none" w:pos="9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or all of the Notes of the applicable series for redemption, at any time prior to the close of business on the second scheduled trading day immediately preceding the redemption date; or</w:t>
      </w:r>
    </w:p>
    <w:p>
      <w:pPr>
        <w:spacing w:after="0" w:line="18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or after July 1, 2029, in the case of the 2029 Notes, August 15, 2030, in the case of the 2030 Notes, and November 15, 2031, in the case of the 2032 Notes, holders of the Outstanding Notes of the applicable series may surrender all or any portion of their Notes of such series for conversion at any time prior to the close of business on the second scheduled trading day immediately preceding the applicable maturity date regardless of the foregoing conditions. Upon conversion, the Company will pay or deliver, as the case may be, either cash, shares of common stock or a combination of cash and shares of common stock, at its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conversion price for each series of Outstanding Notes will be subject to adjustment if certain events occur. In addition, following certain corporate events that may occur prior to the applicable maturity date or following the Company’s issuance of a notice of redemption for a series of Outstanding Notes, the Company may be required to increase the conversion rate for the holder of the Notes of such series who elect to convert such Notes in connection with such corporate event or during the related redemption period in certain circumstances. Additionally, upon the occurrence of a corporate event that constitutes a “fundamental change” pursuant to the applicable Indenture, holders of the applicable series of Outstanding Notes may require the Company to repurchase for cash all or a portion of such Notes at a repurchase price equal to 100% of the principal amount of the Notes of such series to be redeemed plus accrued and unpaid interest (or special interest, if any, in the case of the 2032 Notes) to, but excluding, the fundamental change repurchase date.</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accounted for the issuance of each series of the Notes as a single liability at par as the conversion feature of each series of Notes does not require bifurcation as a derivative under ASC 815 and the Notes were not issued at a substantial premium. Debt issuance costs related to the 2026 Notes, 2029 Notes, 2030 Notes and 2032 Notes totaled $15.7 million, $10.4 million, $11.8 million, and $14.4 million respectively, which are amortized to interest expense under the effective interest method over the contractual term. The effective interest rate of the 2026 Notes, 2029 Notes, 2030 Notes and 2032 Notes is 0.7%, 2.5%, 1.4%, and 0.3% respectively.</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recorded an immaterial amount and $10.7 million of coupon interest expense for the three and nine months ended September 30, 2025, and an immaterial amount and $10.3 million of coupon interest expense for the three and nine months ended September 30, 2026, respectively. The Company recorded an immaterial amount of amortization of debt issuance costs related to the Notes for all periods presented. These amounts were presented within other income, net for the three and nine months ended September 30, 2025 and within interest expense for the three and nine months ended September 30, 2026 in the condensed consolidated statements of operations and comprehensive income. Accrued interest expenses related to the Notes were immaterial as of December 31, 2025 and September 30, 2026.</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components of the Notes as of December 31, 2025 and September 30, 2026:</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15"/>
                <w:szCs w:val="15"/>
                <w:color w:val="auto"/>
              </w:rPr>
            </w:pPr>
          </w:p>
        </w:tc>
        <w:tc>
          <w:tcPr>
            <w:tcW w:w="140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rPr>
              <w:t>Unamortized</w:t>
            </w:r>
          </w:p>
        </w:tc>
        <w:tc>
          <w:tcPr>
            <w:tcW w:w="160" w:type="dxa"/>
            <w:vAlign w:val="bottom"/>
          </w:tcPr>
          <w:p>
            <w:pPr>
              <w:spacing w:after="0"/>
              <w:rPr>
                <w:sz w:val="15"/>
                <w:szCs w:val="15"/>
                <w:color w:val="auto"/>
              </w:rPr>
            </w:pPr>
          </w:p>
        </w:tc>
        <w:tc>
          <w:tcPr>
            <w:tcW w:w="106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rPr>
              <w:t>Net</w:t>
            </w:r>
          </w:p>
        </w:tc>
        <w:tc>
          <w:tcPr>
            <w:tcW w:w="240" w:type="dxa"/>
            <w:vAlign w:val="bottom"/>
          </w:tcPr>
          <w:p>
            <w:pPr>
              <w:spacing w:after="0"/>
              <w:rPr>
                <w:sz w:val="15"/>
                <w:szCs w:val="15"/>
                <w:color w:val="auto"/>
              </w:rPr>
            </w:pPr>
          </w:p>
        </w:tc>
        <w:tc>
          <w:tcPr>
            <w:tcW w:w="1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60" w:type="dxa"/>
            <w:vAlign w:val="bottom"/>
          </w:tcPr>
          <w:p>
            <w:pPr>
              <w:spacing w:after="0"/>
              <w:rPr>
                <w:sz w:val="15"/>
                <w:szCs w:val="15"/>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60" w:type="dxa"/>
            <w:vAlign w:val="bottom"/>
          </w:tcPr>
          <w:p>
            <w:pPr>
              <w:spacing w:after="0"/>
              <w:rPr>
                <w:sz w:val="15"/>
                <w:szCs w:val="15"/>
                <w:color w:val="auto"/>
              </w:rPr>
            </w:pPr>
          </w:p>
        </w:tc>
        <w:tc>
          <w:tcPr>
            <w:tcW w:w="140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rPr>
              <w:t>Unamortized</w:t>
            </w:r>
          </w:p>
        </w:tc>
        <w:tc>
          <w:tcPr>
            <w:tcW w:w="160" w:type="dxa"/>
            <w:vAlign w:val="bottom"/>
          </w:tcPr>
          <w:p>
            <w:pPr>
              <w:spacing w:after="0"/>
              <w:rPr>
                <w:sz w:val="15"/>
                <w:szCs w:val="15"/>
                <w:color w:val="auto"/>
              </w:rPr>
            </w:pPr>
          </w:p>
        </w:tc>
        <w:tc>
          <w:tcPr>
            <w:tcW w:w="108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240" w:type="dxa"/>
            <w:vAlign w:val="bottom"/>
          </w:tcPr>
          <w:p>
            <w:pPr>
              <w:spacing w:after="0"/>
              <w:rPr>
                <w:sz w:val="15"/>
                <w:szCs w:val="15"/>
                <w:color w:val="auto"/>
              </w:rPr>
            </w:pPr>
          </w:p>
        </w:tc>
        <w:tc>
          <w:tcPr>
            <w:tcW w:w="9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rPr>
              <w:t>Debt</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rPr>
              <w:t>Debt</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6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Pr>
          <w:p>
            <w:pPr>
              <w:spacing w:after="0"/>
              <w:rPr>
                <w:sz w:val="19"/>
                <w:szCs w:val="19"/>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164"/>
        </w:trPr>
        <w:tc>
          <w:tcPr>
            <w:tcW w:w="800" w:type="dxa"/>
            <w:vAlign w:val="bottom"/>
            <w:tcBorders>
              <w:top w:val="single" w:sz="8" w:color="CCEEFF"/>
            </w:tcBorders>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63,958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8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566,500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399,089</w:t>
            </w:r>
          </w:p>
        </w:tc>
        <w:tc>
          <w:tcPr>
            <w:tcW w:w="0" w:type="dxa"/>
            <w:vAlign w:val="bottom"/>
          </w:tcPr>
          <w:p>
            <w:pPr>
              <w:spacing w:after="0"/>
              <w:rPr>
                <w:sz w:val="1"/>
                <w:szCs w:val="1"/>
                <w:color w:val="auto"/>
              </w:rPr>
            </w:pPr>
          </w:p>
        </w:tc>
      </w:tr>
      <w:tr>
        <w:trPr>
          <w:trHeight w:val="184"/>
        </w:trPr>
        <w:tc>
          <w:tcPr>
            <w:tcW w:w="8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2030</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490,357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461,614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491,798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371,097</w:t>
            </w:r>
          </w:p>
        </w:tc>
        <w:tc>
          <w:tcPr>
            <w:tcW w:w="0" w:type="dxa"/>
            <w:vAlign w:val="bottom"/>
          </w:tcPr>
          <w:p>
            <w:pPr>
              <w:spacing w:after="0"/>
              <w:rPr>
                <w:sz w:val="1"/>
                <w:szCs w:val="1"/>
                <w:color w:val="auto"/>
              </w:rPr>
            </w:pPr>
          </w:p>
        </w:tc>
      </w:tr>
      <w:tr>
        <w:trPr>
          <w:trHeight w:val="184"/>
        </w:trPr>
        <w:tc>
          <w:tcPr>
            <w:tcW w:w="8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2032</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690,000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676,387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573,687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690,000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(11,959)</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678,041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441,359</w:t>
            </w:r>
          </w:p>
        </w:tc>
        <w:tc>
          <w:tcPr>
            <w:tcW w:w="0" w:type="dxa"/>
            <w:vAlign w:val="bottom"/>
          </w:tcPr>
          <w:p>
            <w:pPr>
              <w:spacing w:after="0"/>
              <w:rPr>
                <w:sz w:val="1"/>
                <w:szCs w:val="1"/>
                <w:color w:val="auto"/>
              </w:rPr>
            </w:pPr>
          </w:p>
        </w:tc>
      </w:tr>
      <w:tr>
        <w:trPr>
          <w:trHeight w:val="248"/>
        </w:trPr>
        <w:tc>
          <w:tcPr>
            <w:tcW w:w="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1,687,794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1,656,396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1,665,759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1,594,683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1,211,545</w:t>
            </w:r>
          </w:p>
        </w:tc>
        <w:tc>
          <w:tcPr>
            <w:tcW w:w="0" w:type="dxa"/>
            <w:vAlign w:val="bottom"/>
          </w:tcPr>
          <w:p>
            <w:pPr>
              <w:spacing w:after="0"/>
              <w:rPr>
                <w:sz w:val="1"/>
                <w:szCs w:val="1"/>
                <w:color w:val="auto"/>
              </w:rPr>
            </w:pPr>
          </w:p>
        </w:tc>
      </w:tr>
      <w:tr>
        <w:trPr>
          <w:trHeight w:val="20"/>
        </w:trPr>
        <w:tc>
          <w:tcPr>
            <w:tcW w:w="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estimated fair value represents Level 2 valuations in the fair value hierarchy and was determined based on the estimated or actual bids and offers of the Notes in an over-the-counter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the 2026 Notes, the 2029 Notes, and the 2032 Notes, the Company entered into separate privately negotiated capped call instruments with certain financial institutions (the “2026 Capped Calls,” with respect to the 2026 Notes, the “2029 Capped Calls,” with respect to the 2029 Notes, the “2032 Capped Calls,” with respect to the 2032 Notes, and the 2026 Capped Calls together with the 2029 Capped Calls and the 2032 Capped Calls, the “Capped Calls”). In August 2026, in connection with the maturity and repayment of the 2026 Notes, the remaining 2026 Capped Calls expired unexercised.</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2029 Capped Calls and 2032 Capped Calls (collectively, the “Outstanding Capped Calls”) are generally expected to reduce the potential dilution to the Company’s common stock upon any conversion of the 2029 Notes and 2032 Notes, as applicable, and/or offset any cash payments the Company is required to make in excess of the principal amount of such converted 2029 Notes and 2032 Notes as the case may be, in the event the market price per share of the Company’s common stock, as measured under the terms of the Outstanding Capped Calls, is greater than the strike price of the Outstanding Capped Calls, with such reduction and/or offset subject to a cap. If, however, the market price per share of the common stock, as measured under the terms of the Outstanding Capped Calls, exceeds the cap price of the Outstanding Capped Calls, there would be dilution and/or there would not be an offset of such potential cash payments, in each case, to the extent that such market price per share of the Company’s common stock exceeds the cap price of the Outstanding Capped Calls.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other key terms for the Capped Calls related to each series of Notes outstanding during the periods presented herein: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2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Initial Strike Price per</w:t>
            </w:r>
          </w:p>
        </w:tc>
        <w:tc>
          <w:tcPr>
            <w:tcW w:w="2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Initial Cap Price per</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700" w:type="dxa"/>
            <w:vAlign w:val="bottom"/>
          </w:tcPr>
          <w:p>
            <w:pPr>
              <w:spacing w:after="0"/>
              <w:rPr>
                <w:sz w:val="16"/>
                <w:szCs w:val="16"/>
                <w:color w:val="auto"/>
              </w:rPr>
            </w:pPr>
          </w:p>
        </w:tc>
        <w:tc>
          <w:tcPr>
            <w:tcW w:w="2160" w:type="dxa"/>
            <w:vAlign w:val="bottom"/>
            <w:gridSpan w:val="2"/>
            <w:vMerge w:val="continue"/>
          </w:tcPr>
          <w:p>
            <w:pPr>
              <w:spacing w:after="0"/>
              <w:rPr>
                <w:sz w:val="16"/>
                <w:szCs w:val="16"/>
                <w:color w:val="auto"/>
              </w:rPr>
            </w:pPr>
          </w:p>
        </w:tc>
        <w:tc>
          <w:tcPr>
            <w:tcW w:w="2160" w:type="dxa"/>
            <w:vAlign w:val="bottom"/>
            <w:gridSpan w:val="2"/>
            <w:vMerge w:val="continue"/>
          </w:tcPr>
          <w:p>
            <w:pPr>
              <w:spacing w:after="0"/>
              <w:rPr>
                <w:sz w:val="16"/>
                <w:szCs w:val="16"/>
                <w:color w:val="auto"/>
              </w:rPr>
            </w:pPr>
          </w:p>
        </w:tc>
        <w:tc>
          <w:tcPr>
            <w:tcW w:w="216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Covered, Subject to Anti-</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21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 Subject to Certain</w:t>
            </w:r>
          </w:p>
        </w:tc>
        <w:tc>
          <w:tcPr>
            <w:tcW w:w="21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 Subject to Certain</w:t>
            </w:r>
          </w:p>
        </w:tc>
        <w:tc>
          <w:tcPr>
            <w:tcW w:w="21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Dilution Adjustments</w:t>
            </w: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Final Expiration Date</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19"/>
                <w:szCs w:val="19"/>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Capped Calls</w:t>
            </w:r>
          </w:p>
        </w:tc>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$285.26</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$400.36</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15, 2026</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Capped Calls</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$45.66</w:t>
            </w:r>
          </w:p>
        </w:tc>
        <w:tc>
          <w:tcPr>
            <w:tcW w:w="10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$70.24</w:t>
            </w:r>
          </w:p>
        </w:tc>
        <w:tc>
          <w:tcPr>
            <w:tcW w:w="10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9.4</w:t>
            </w:r>
          </w:p>
        </w:tc>
        <w:tc>
          <w:tcPr>
            <w:tcW w:w="10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27, 2029</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2032 Capped Calls</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$82.50</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$126.92</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8.4</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15, 2032</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Capped Calls were determined to be freestanding financial instruments that meet the criteria for classification in equity; as such, the Capped Calls were recorded as a reduction of additional paid-in capital within stockholders’ equity. Because the 2026 Capped Calls were classified within stockholders’ equity and were not subject to remeasurement, no gain or loss was recognized upon their expiration</w:t>
      </w:r>
      <w:r>
        <w:rPr>
          <w:rFonts w:ascii="Times New Roman" w:cs="Times New Roman" w:eastAsia="Times New Roman" w:hAnsi="Times New Roman"/>
          <w:sz w:val="18"/>
          <w:szCs w:val="18"/>
          <w:color w:val="0E32E1"/>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9.</w:t>
        <w:tab/>
        <w:t>Stockholders' Equity</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2020, the Company’s amended and restated certificate of incorporation became effective, which authorizes the issuance of 700,000,000 shares of common stock with a par value of $0.0001 per share. Shares of common stock reserved for issuance, on an as-converted basis,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tcPr>
          <w:p>
            <w:pPr>
              <w:spacing w:after="0"/>
              <w:rPr>
                <w:sz w:val="17"/>
                <w:szCs w:val="17"/>
                <w:color w:val="auto"/>
              </w:rPr>
            </w:pPr>
          </w:p>
        </w:tc>
        <w:tc>
          <w:tcPr>
            <w:tcW w:w="218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6980" w:type="dxa"/>
            <w:vAlign w:val="bottom"/>
            <w:tcBorders>
              <w:bottom w:val="single" w:sz="8" w:color="CCEEFF"/>
            </w:tcBorders>
          </w:tcPr>
          <w:p>
            <w:pPr>
              <w:spacing w:after="0"/>
              <w:rPr>
                <w:sz w:val="20"/>
                <w:szCs w:val="20"/>
                <w:color w:val="auto"/>
              </w:rPr>
            </w:pPr>
          </w:p>
        </w:tc>
        <w:tc>
          <w:tcPr>
            <w:tcW w:w="20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0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9,204,983</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7,459,121</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outstanding</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2,276,156</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3,734,289</w:t>
            </w: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PRSUs outstanding</w:t>
            </w:r>
          </w:p>
        </w:tc>
        <w:tc>
          <w:tcPr>
            <w:tcW w:w="2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1,726,737</w:t>
            </w: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future issuance under 2020 plan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10,922,232</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7,166,082</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 under ESPP</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4,140,207</w:t>
            </w:r>
          </w:p>
        </w:tc>
        <w:tc>
          <w:tcPr>
            <w:tcW w:w="100" w:type="dxa"/>
            <w:vAlign w:val="bottom"/>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4,819,127</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26,543,578</w:t>
            </w:r>
          </w:p>
        </w:tc>
        <w:tc>
          <w:tcPr>
            <w:tcW w:w="100" w:type="dxa"/>
            <w:vAlign w:val="bottom"/>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24,905,356</w:t>
            </w:r>
          </w:p>
        </w:tc>
      </w:tr>
      <w:tr>
        <w:trPr>
          <w:trHeight w:val="20"/>
        </w:trPr>
        <w:tc>
          <w:tcPr>
            <w:tcW w:w="69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2022, the Board of Directors authorized the Company to purchase up to $400.0 million of common stock of the Company. The Company may repurchase shares from time to time through open market purchases, in privately negotiated transactions or by other means, including through the use of trading plans intended to qualify under Rule 10b5-1. The repurchase program does not obligate the Company to acquire any particular amount of its common stock, and may be suspended or terminated by the Company at any time at its discretion without prior notice.</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records share repurchases on the settlement date. Repurchased shares are subsequently retired and returned to the status of authorized but unissued. The Company’s policy for share retirements is to allocate the excess between par value and the repurchase price, including costs and fees, to additional paid-in capital. No shares were repurchased during the three months ended September 30, 2026. During the nine months ended September 30, 2026, the Company repurchased, and subsequently retired, 3.2 million shares of common stock for $100.1 million at an average cost of $31.31 per share. As of September 30, 2026, $122.1 million remains available for future purchases of our common stock under the share repurchase program.</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14, 2025, in connection with the commencement of an “at the market” offering program, the Company entered into a Sales Agreement, under which the Company may offer and sell, from time to time, up to an aggregate of $500.0 million of its common stock. The Company will pay a commission of up to 2% of the gross proceeds of shares sold, if any, under the Sales Agreement and intends to use the net proceeds from sales for working capital and general corporate purposes. As of September 30, 2026, no shares were issued under the program.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2020 Equity Incentive Plan authorizes grants of ISOs, NSOs, stock appreciation rights, restricted stock, RSUs, and PRSUs to eligible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jc w:val="center"/>
              <w:ind w:right="251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14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nine months ended September 30, 2026:</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4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20" w:type="dxa"/>
            <w:vAlign w:val="bottom"/>
          </w:tcPr>
          <w:p>
            <w:pPr>
              <w:spacing w:after="0"/>
              <w:rPr>
                <w:sz w:val="24"/>
                <w:szCs w:val="24"/>
                <w:color w:val="auto"/>
              </w:rPr>
            </w:pPr>
          </w:p>
        </w:tc>
        <w:tc>
          <w:tcPr>
            <w:tcW w:w="12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84"/>
        </w:trPr>
        <w:tc>
          <w:tcPr>
            <w:tcW w:w="4960" w:type="dxa"/>
            <w:vAlign w:val="bottom"/>
          </w:tcPr>
          <w:p>
            <w:pPr>
              <w:spacing w:after="0"/>
              <w:rPr>
                <w:sz w:val="16"/>
                <w:szCs w:val="16"/>
                <w:color w:val="auto"/>
              </w:rPr>
            </w:pPr>
          </w:p>
        </w:tc>
        <w:tc>
          <w:tcPr>
            <w:tcW w:w="15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160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96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Exercise Price Per</w:t>
            </w:r>
          </w:p>
        </w:tc>
        <w:tc>
          <w:tcPr>
            <w:tcW w:w="160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220" w:type="dxa"/>
            <w:vAlign w:val="bottom"/>
          </w:tcPr>
          <w:p>
            <w:pPr>
              <w:spacing w:after="0"/>
              <w:rPr>
                <w:sz w:val="15"/>
                <w:szCs w:val="15"/>
                <w:color w:val="auto"/>
              </w:rPr>
            </w:pPr>
          </w:p>
        </w:tc>
        <w:tc>
          <w:tcPr>
            <w:tcW w:w="1280" w:type="dxa"/>
            <w:vAlign w:val="bottom"/>
          </w:tcPr>
          <w:p>
            <w:pPr>
              <w:jc w:val="right"/>
              <w:ind w:right="350"/>
              <w:spacing w:after="0" w:line="176" w:lineRule="exact"/>
              <w:rPr>
                <w:sz w:val="20"/>
                <w:szCs w:val="20"/>
                <w:color w:val="auto"/>
              </w:rPr>
            </w:pPr>
            <w:r>
              <w:rPr>
                <w:rFonts w:ascii="Times New Roman" w:cs="Times New Roman" w:eastAsia="Times New Roman" w:hAnsi="Times New Roman"/>
                <w:sz w:val="18"/>
                <w:szCs w:val="18"/>
                <w:b w:val="1"/>
                <w:bCs w:val="1"/>
                <w:color w:val="auto"/>
              </w:rPr>
              <w:t>Intrinsic</w:t>
            </w:r>
          </w:p>
        </w:tc>
        <w:tc>
          <w:tcPr>
            <w:tcW w:w="0" w:type="dxa"/>
            <w:vAlign w:val="bottom"/>
          </w:tcPr>
          <w:p>
            <w:pPr>
              <w:spacing w:after="0"/>
              <w:rPr>
                <w:sz w:val="1"/>
                <w:szCs w:val="1"/>
                <w:color w:val="auto"/>
              </w:rPr>
            </w:pPr>
          </w:p>
        </w:tc>
      </w:tr>
      <w:tr>
        <w:trPr>
          <w:trHeight w:val="229"/>
        </w:trPr>
        <w:tc>
          <w:tcPr>
            <w:tcW w:w="4960" w:type="dxa"/>
            <w:vAlign w:val="bottom"/>
          </w:tcPr>
          <w:p>
            <w:pPr>
              <w:spacing w:after="0"/>
              <w:rPr>
                <w:sz w:val="19"/>
                <w:szCs w:val="19"/>
                <w:color w:val="auto"/>
              </w:rPr>
            </w:pP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220" w:type="dxa"/>
            <w:vAlign w:val="bottom"/>
          </w:tcPr>
          <w:p>
            <w:pPr>
              <w:spacing w:after="0"/>
              <w:rPr>
                <w:sz w:val="19"/>
                <w:szCs w:val="19"/>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jc w:val="center"/>
              <w:ind w:right="2550"/>
              <w:spacing w:after="0"/>
              <w:rPr>
                <w:sz w:val="20"/>
                <w:szCs w:val="20"/>
                <w:color w:val="auto"/>
              </w:rPr>
            </w:pPr>
            <w:r>
              <w:rPr>
                <w:rFonts w:ascii="Times New Roman" w:cs="Times New Roman" w:eastAsia="Times New Roman" w:hAnsi="Times New Roman"/>
                <w:sz w:val="18"/>
                <w:szCs w:val="18"/>
                <w:color w:val="auto"/>
                <w:w w:val="99"/>
              </w:rPr>
              <w:t>Balances at December 31, 2025</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9,204,983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247,040</w:t>
            </w:r>
          </w:p>
        </w:tc>
        <w:tc>
          <w:tcPr>
            <w:tcW w:w="0" w:type="dxa"/>
            <w:vAlign w:val="bottom"/>
          </w:tcPr>
          <w:p>
            <w:pPr>
              <w:spacing w:after="0"/>
              <w:rPr>
                <w:sz w:val="1"/>
                <w:szCs w:val="1"/>
                <w:color w:val="auto"/>
              </w:rPr>
            </w:pPr>
          </w:p>
        </w:tc>
      </w:tr>
      <w:tr>
        <w:trPr>
          <w:trHeight w:val="223"/>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(1,630,302)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Options cancelled and 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(338,649)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jc w:val="center"/>
              <w:ind w:right="2510"/>
              <w:spacing w:after="0"/>
              <w:rPr>
                <w:sz w:val="20"/>
                <w:szCs w:val="20"/>
                <w:color w:val="auto"/>
              </w:rPr>
            </w:pPr>
            <w:r>
              <w:rPr>
                <w:rFonts w:ascii="Times New Roman" w:cs="Times New Roman" w:eastAsia="Times New Roman" w:hAnsi="Times New Roman"/>
                <w:sz w:val="18"/>
                <w:szCs w:val="18"/>
                <w:color w:val="auto"/>
              </w:rPr>
              <w:t>Balances at September 30, 2026</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7,459,121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59,702</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Options exercisable – September 30, 2026</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58,050</w:t>
            </w:r>
          </w:p>
        </w:tc>
        <w:tc>
          <w:tcPr>
            <w:tcW w:w="0" w:type="dxa"/>
            <w:vAlign w:val="bottom"/>
          </w:tcPr>
          <w:p>
            <w:pPr>
              <w:spacing w:after="0" w:line="20" w:lineRule="exact"/>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1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6,306,208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 vested and expected to vest – September 30, 2026</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7,447,854</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59,699</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awards and the fair value of the Company’s stock as of September 30, 2026. The aggregate intrinsic value of options exercised for the nine months ended September 30, 2025 and 2026 was $78.9 million and $38.1 million, respectively. The weighted-average grant date fair value of options granted during the nine months ended September 30, 2025 and 2026 was $35.71 and $17.04 per share, respectively. The total fair value of options vested for the nine months ended September 30, 2025 and 2026 was $17.0 million and $14.0 million, respectively.</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2026, total unrecognized stock-based compensation expense related to unvested stock options was $22.4 million, which is expected to be recognized over a remaining weighted-average period of 1.4 years.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grants RSUs to employees and non-employees. RSUs vest upon satisfaction of a service-based condition, which is generally satisfied over one to four years. The following table summarizes RSU activity for the nine months ended September 30, 2026:</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22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c>
          <w:tcPr>
            <w:tcW w:w="0" w:type="dxa"/>
            <w:vAlign w:val="bottom"/>
          </w:tcPr>
          <w:p>
            <w:pPr>
              <w:spacing w:after="0"/>
              <w:rPr>
                <w:sz w:val="1"/>
                <w:szCs w:val="1"/>
                <w:color w:val="auto"/>
              </w:rPr>
            </w:pPr>
          </w:p>
        </w:tc>
      </w:tr>
      <w:tr>
        <w:trPr>
          <w:trHeight w:val="243"/>
        </w:trPr>
        <w:tc>
          <w:tcPr>
            <w:tcW w:w="666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Date Fair Value Per Share</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2,276,156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0" w:type="dxa"/>
            <w:vAlign w:val="bottom"/>
          </w:tcPr>
          <w:p>
            <w:pPr>
              <w:spacing w:after="0"/>
              <w:rPr>
                <w:sz w:val="1"/>
                <w:szCs w:val="1"/>
                <w:color w:val="auto"/>
              </w:rPr>
            </w:pPr>
          </w:p>
        </w:tc>
      </w:tr>
      <w:tr>
        <w:trPr>
          <w:trHeight w:val="223"/>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RSUs granted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4,163,106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RSUs vested</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(2,135,063)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RSUs cancelled and forfeited</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(569,910)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September 30, 2026</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3,734,289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2026, total unrecognized stock-based compensation expense related to outstanding unvested RSUs was $82.8 million, which is expected to be recognized over a remaining weighted-average period of 1.2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PRSUs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PRSUs were granted during the three months ended September 30, 2026. During the nine months ended September 30, 2026, the Company granted PRSUs to certain executives. The awards are subject to both performance and service-based vesting conditions and the number of shares that may be earned at the end of the four year performance period is based on applicable market-based performance targets with potential adjustment based on financial performance metrics. The expense is recognized on a straight-line basis over the requisite service period.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PRSU activity for the nine months ended September 30, 2026: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22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c>
          <w:tcPr>
            <w:tcW w:w="0" w:type="dxa"/>
            <w:vAlign w:val="bottom"/>
          </w:tcPr>
          <w:p>
            <w:pPr>
              <w:spacing w:after="0"/>
              <w:rPr>
                <w:sz w:val="1"/>
                <w:szCs w:val="1"/>
                <w:color w:val="auto"/>
              </w:rPr>
            </w:pPr>
          </w:p>
        </w:tc>
      </w:tr>
      <w:tr>
        <w:trPr>
          <w:trHeight w:val="238"/>
        </w:trPr>
        <w:tc>
          <w:tcPr>
            <w:tcW w:w="666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Date Fair Value Per Share</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PRSUs granted</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1,726,737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September 30, 2026</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1,726,737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2026, total unrecognized stock-based compensation expense related to outstanding unvested PRSUs was $82.8 million, which is expected to be recognized over a remaining weighted-average period of 3.4 years.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2020 ESPP</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ESPP provides for consecutive six-month offering periods. The offering periods are scheduled to start on the first trading day on or after February 15 and August 15 of each year. The ESPP permits participants to purchase shares in the amount of 85% of the lower of the fair market value of our shares of common stock on the first trading day of the offering period or on the exercise date. During the nine months ended September 30, 2026, 301,527 shares of common stock were purchased under the ESPP.</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2026, total unrecognized stock-based compensation expense related to the ESPP was immaterial.</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Awards Granted</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determining the fair value of stock-based awards, the Company uses a Black-Scholes option-pricing model for its options granted and ESPP purchase rights and a Monte Carlo simulation model for its PRSUs. The inputs used for estimating the fair values of options, ESPP purchase rights and PRSUs granted during the period include:</w:t>
      </w:r>
    </w:p>
    <w:p>
      <w:pPr>
        <w:spacing w:after="0" w:line="20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–The fair value of the Company’s common stock is determined by the closing price, on the date of grant,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which is traded on the Nasdaq Global Select Market.</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period that the Company’s stock options and ESPP purchase rights are expected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We estimate the expected term for stock options based on the simplified method, which is the weighted-average time to vesting and the contractual maturity. For ESPP, the expected term represents the term from the first day of the offering period to the purchase date. For PRSUs, the expected term is the simulation term, the time period from the valuation date to the end of the performance measurement period.</w:t>
      </w:r>
    </w:p>
    <w:p>
      <w:pPr>
        <w:spacing w:after="0" w:line="20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Volatility</w:t>
      </w:r>
      <w:r>
        <w:rPr>
          <w:rFonts w:ascii="Times New Roman" w:cs="Times New Roman" w:eastAsia="Times New Roman" w:hAnsi="Times New Roman"/>
          <w:sz w:val="18"/>
          <w:szCs w:val="18"/>
          <w:color w:val="auto"/>
        </w:rPr>
        <w:t>–The Company estimates the expected volatility for stock options and PRSUs based on the weighted-average historical volatility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common stock and the average volatility for comparable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spacing w:after="0" w:line="266" w:lineRule="auto"/>
        <w:rPr>
          <w:sz w:val="20"/>
          <w:szCs w:val="20"/>
          <w:color w:val="auto"/>
        </w:rPr>
      </w:pPr>
      <w:r>
        <w:rPr>
          <w:rFonts w:ascii="Times New Roman" w:cs="Times New Roman" w:eastAsia="Times New Roman" w:hAnsi="Times New Roman"/>
          <w:sz w:val="18"/>
          <w:szCs w:val="18"/>
          <w:color w:val="auto"/>
        </w:rPr>
        <w:t>publicly-traded companies, over a period equal to the expected term. Previously, expected volatility was based solely on historical volatility of comparable publicly-traded peer companies. For ESPP, the expected volatility is estimated using historical volatility of the Company’s common stock over the expected term.</w:t>
      </w:r>
    </w:p>
    <w:p>
      <w:pPr>
        <w:spacing w:after="0" w:line="201" w:lineRule="exact"/>
        <w:rPr>
          <w:sz w:val="20"/>
          <w:szCs w:val="20"/>
          <w:color w:val="auto"/>
        </w:rPr>
      </w:pPr>
    </w:p>
    <w:p>
      <w:pPr>
        <w:jc w:val="both"/>
        <w:ind w:lef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assumption is based on the U.S. Treasury zero coupon issues in effect at the time of grant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corresponding with the expected term of the award.</w:t>
      </w:r>
    </w:p>
    <w:p>
      <w:pPr>
        <w:spacing w:after="0" w:line="185" w:lineRule="exact"/>
        <w:rPr>
          <w:sz w:val="20"/>
          <w:szCs w:val="20"/>
          <w:color w:val="auto"/>
        </w:rPr>
      </w:pPr>
    </w:p>
    <w:p>
      <w:pPr>
        <w:jc w:val="both"/>
        <w:ind w:lef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–The Company has never paid dividends on its common stock and does not anticipate paying dividends on common stock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 Therefore, the Company uses an expected dividend yield of zero.</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assumptions were used to estimate the fair value of options granted:</w:t>
      </w:r>
    </w:p>
    <w:p>
      <w:pPr>
        <w:spacing w:after="0" w:line="27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2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020" w:type="dxa"/>
            <w:vAlign w:val="bottom"/>
          </w:tcPr>
          <w:p>
            <w:pPr>
              <w:spacing w:after="0"/>
              <w:rPr>
                <w:sz w:val="17"/>
                <w:szCs w:val="17"/>
                <w:color w:val="auto"/>
              </w:rPr>
            </w:pPr>
          </w:p>
        </w:tc>
      </w:tr>
      <w:tr>
        <w:trPr>
          <w:trHeight w:val="238"/>
        </w:trPr>
        <w:tc>
          <w:tcPr>
            <w:tcW w:w="32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20" w:type="dxa"/>
            <w:vAlign w:val="bottom"/>
            <w:tcBorders>
              <w:bottom w:val="single" w:sz="8" w:color="auto"/>
            </w:tcBorders>
          </w:tcPr>
          <w:p>
            <w:pPr>
              <w:spacing w:after="0"/>
              <w:rPr>
                <w:sz w:val="20"/>
                <w:szCs w:val="20"/>
                <w:color w:val="auto"/>
              </w:rPr>
            </w:pPr>
          </w:p>
        </w:tc>
      </w:tr>
      <w:tr>
        <w:trPr>
          <w:trHeight w:val="223"/>
        </w:trPr>
        <w:tc>
          <w:tcPr>
            <w:tcW w:w="328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5.8</w:t>
            </w: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67.40%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66.62%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67.40%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66.62%</w:t>
            </w: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3.96%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4.56%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4.09%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4.56%</w:t>
            </w:r>
          </w:p>
        </w:tc>
      </w:tr>
      <w:tr>
        <w:trPr>
          <w:trHeight w:val="257"/>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0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2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3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assumptions were used to estimate the fair value of ESPP purchase rights: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280" w:type="dxa"/>
            <w:vAlign w:val="bottom"/>
          </w:tcPr>
          <w:p>
            <w:pPr>
              <w:spacing w:after="0"/>
              <w:rPr>
                <w:sz w:val="18"/>
                <w:szCs w:val="18"/>
                <w:color w:val="auto"/>
              </w:rPr>
            </w:pPr>
          </w:p>
        </w:tc>
        <w:tc>
          <w:tcPr>
            <w:tcW w:w="404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80" w:type="dxa"/>
            <w:vAlign w:val="bottom"/>
          </w:tcPr>
          <w:p>
            <w:pPr>
              <w:spacing w:after="0"/>
              <w:rPr>
                <w:sz w:val="18"/>
                <w:szCs w:val="18"/>
                <w:color w:val="auto"/>
              </w:rPr>
            </w:pPr>
          </w:p>
        </w:tc>
        <w:tc>
          <w:tcPr>
            <w:tcW w:w="202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020" w:type="dxa"/>
            <w:vAlign w:val="bottom"/>
          </w:tcPr>
          <w:p>
            <w:pPr>
              <w:spacing w:after="0"/>
              <w:rPr>
                <w:sz w:val="18"/>
                <w:szCs w:val="18"/>
                <w:color w:val="auto"/>
              </w:rPr>
            </w:pPr>
          </w:p>
        </w:tc>
      </w:tr>
      <w:tr>
        <w:trPr>
          <w:trHeight w:val="241"/>
        </w:trPr>
        <w:tc>
          <w:tcPr>
            <w:tcW w:w="3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700" w:type="dxa"/>
            <w:vAlign w:val="bottom"/>
            <w:gridSpan w:val="4"/>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80" w:type="dxa"/>
            <w:vAlign w:val="bottom"/>
          </w:tcPr>
          <w:p>
            <w:pPr>
              <w:spacing w:after="0"/>
              <w:rPr>
                <w:sz w:val="20"/>
                <w:szCs w:val="20"/>
                <w:color w:val="auto"/>
              </w:rPr>
            </w:pPr>
          </w:p>
        </w:tc>
        <w:tc>
          <w:tcPr>
            <w:tcW w:w="202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20" w:type="dxa"/>
            <w:vAlign w:val="bottom"/>
          </w:tcPr>
          <w:p>
            <w:pPr>
              <w:spacing w:after="0"/>
              <w:rPr>
                <w:sz w:val="20"/>
                <w:szCs w:val="20"/>
                <w:color w:val="auto"/>
              </w:rPr>
            </w:pPr>
          </w:p>
        </w:tc>
      </w:tr>
      <w:tr>
        <w:trPr>
          <w:trHeight w:val="225"/>
        </w:trPr>
        <w:tc>
          <w:tcPr>
            <w:tcW w:w="3280" w:type="dxa"/>
            <w:vAlign w:val="bottom"/>
          </w:tcPr>
          <w:p>
            <w:pPr>
              <w:spacing w:after="0"/>
              <w:rPr>
                <w:sz w:val="19"/>
                <w:szCs w:val="19"/>
                <w:color w:val="auto"/>
              </w:rPr>
            </w:pPr>
          </w:p>
        </w:tc>
        <w:tc>
          <w:tcPr>
            <w:tcW w:w="1340" w:type="dxa"/>
            <w:vAlign w:val="bottom"/>
            <w:tcBorders>
              <w:top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0" w:type="dxa"/>
            <w:vAlign w:val="bottom"/>
            <w:tcBorders>
              <w:top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19"/>
                <w:szCs w:val="19"/>
                <w:color w:val="auto"/>
              </w:rPr>
            </w:pPr>
          </w:p>
        </w:tc>
        <w:tc>
          <w:tcPr>
            <w:tcW w:w="19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r>
      <w:tr>
        <w:trPr>
          <w:trHeight w:val="223"/>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340" w:type="dxa"/>
            <w:vAlign w:val="bottom"/>
            <w:tcBorders>
              <w:top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7"/>
              </w:rPr>
              <w:t>0.5</w:t>
            </w:r>
          </w:p>
        </w:tc>
        <w:tc>
          <w:tcPr>
            <w:tcW w:w="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95.30%</w:t>
            </w:r>
          </w:p>
        </w:tc>
        <w:tc>
          <w:tcPr>
            <w:tcW w:w="260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rPr>
              <w:t>63.33%</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99.09%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71.86%</w:t>
            </w: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4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8"/>
              </w:rPr>
              <w:t>4.12%</w:t>
            </w:r>
          </w:p>
        </w:tc>
        <w:tc>
          <w:tcPr>
            <w:tcW w:w="2600" w:type="dxa"/>
            <w:vAlign w:val="bottom"/>
            <w:gridSpan w:val="3"/>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4.34%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3.95%</w:t>
            </w:r>
          </w:p>
        </w:tc>
      </w:tr>
      <w:tr>
        <w:trPr>
          <w:trHeight w:val="234"/>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3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2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3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assumptions were used to estimate the fair value of PRSUs granted for the nine months ended September 30, 2026:</w:t>
      </w:r>
    </w:p>
    <w:p>
      <w:pPr>
        <w:spacing w:after="0" w:line="266" w:lineRule="exact"/>
        <w:rPr>
          <w:sz w:val="20"/>
          <w:szCs w:val="20"/>
          <w:color w:val="auto"/>
        </w:rPr>
      </w:pPr>
    </w:p>
    <w:tbl>
      <w:tblPr>
        <w:tblLayout w:type="fixed"/>
        <w:tblInd w:w="6480" w:type="dxa"/>
        <w:tblCellMar>
          <w:top w:w="0" w:type="dxa"/>
          <w:left w:w="0" w:type="dxa"/>
          <w:bottom w:w="0" w:type="dxa"/>
          <w:right w:w="0" w:type="dxa"/>
        </w:tblCellMar>
      </w:tblPr>
      <w:tr>
        <w:trPr>
          <w:trHeight w:val="207"/>
        </w:trPr>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1"/>
        </w:trPr>
        <w:tc>
          <w:tcPr>
            <w:tcW w:w="2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5"/>
        </w:trPr>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19"/>
                <w:szCs w:val="19"/>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0</wp:posOffset>
            </wp:positionV>
            <wp:extent cx="71323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300"/>
          </w:cols>
          <w:pgMar w:left="260" w:top="175" w:right="339" w:bottom="1440" w:gutter="0" w:footer="0" w:header="0"/>
        </w:sectPr>
      </w:pP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Expected term (in years)</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Expected volatility</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Risk-free interest rate</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Dividend yield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2360" w:type="dxa"/>
            <w:vAlign w:val="bottom"/>
            <w:tcBorders>
              <w:top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4.0</w:t>
            </w:r>
          </w:p>
        </w:tc>
      </w:tr>
      <w:tr>
        <w:trPr>
          <w:trHeight w:val="229"/>
        </w:trPr>
        <w:tc>
          <w:tcPr>
            <w:tcW w:w="23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93.23%</w:t>
            </w: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94.73%</w:t>
            </w:r>
          </w:p>
        </w:tc>
      </w:tr>
      <w:tr>
        <w:trPr>
          <w:trHeight w:val="230"/>
        </w:trPr>
        <w:tc>
          <w:tcPr>
            <w:tcW w:w="23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3.82%</w:t>
            </w:r>
          </w:p>
        </w:tc>
      </w:tr>
      <w:tr>
        <w:trPr>
          <w:trHeight w:val="234"/>
        </w:trPr>
        <w:tc>
          <w:tcPr>
            <w:tcW w:w="23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-4070985</wp:posOffset>
            </wp:positionH>
            <wp:positionV relativeFrom="paragraph">
              <wp:posOffset>-290830</wp:posOffset>
            </wp:positionV>
            <wp:extent cx="7132320"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98" w:lineRule="exact"/>
        <w:rPr>
          <w:sz w:val="20"/>
          <w:szCs w:val="20"/>
          <w:color w:val="auto"/>
        </w:rPr>
      </w:pPr>
    </w:p>
    <w:p>
      <w:pPr>
        <w:sectPr>
          <w:pgSz w:w="11900" w:h="16838" w:orient="portrait"/>
          <w:cols w:equalWidth="0" w:num="2">
            <w:col w:w="5760" w:space="720"/>
            <w:col w:w="4820"/>
          </w:cols>
          <w:pgMar w:left="260" w:top="175"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4"/>
          <w:szCs w:val="14"/>
          <w:color w:val="auto"/>
        </w:rPr>
        <w:t>* No PRSUs were granted during the three months ended September 30, 2026.</w:t>
      </w:r>
    </w:p>
    <w:p>
      <w:pPr>
        <w:spacing w:after="0" w:line="24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6" w:lineRule="exact"/>
        <w:rPr>
          <w:sz w:val="20"/>
          <w:szCs w:val="20"/>
          <w:color w:val="auto"/>
        </w:rPr>
      </w:pPr>
    </w:p>
    <w:p>
      <w:pPr>
        <w:ind w:left="60"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in the following expense categories in its condensed consolidated statements of operations and comprehensive income for employees and non-employees:</w:t>
      </w:r>
    </w:p>
    <w:p>
      <w:pPr>
        <w:sectPr>
          <w:pgSz w:w="11900" w:h="16838" w:orient="portrait"/>
          <w:cols w:equalWidth="0" w:num="1">
            <w:col w:w="11300"/>
          </w:cols>
          <w:pgMar w:left="260" w:top="1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60" w:top="175"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7"/>
                <w:szCs w:val="17"/>
                <w:color w:val="auto"/>
              </w:rPr>
            </w:pPr>
          </w:p>
        </w:tc>
        <w:tc>
          <w:tcPr>
            <w:tcW w:w="262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8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7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r>
      <w:tr>
        <w:trPr>
          <w:trHeight w:val="223"/>
        </w:trPr>
        <w:tc>
          <w:tcPr>
            <w:tcW w:w="47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w:t>
            </w: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operations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w:t>
            </w: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17,243</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18,180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58,140</w:t>
            </w:r>
          </w:p>
        </w:tc>
      </w:tr>
      <w:tr>
        <w:trPr>
          <w:trHeight w:val="230"/>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11,864</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17,325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46,279</w:t>
            </w:r>
          </w:p>
        </w:tc>
      </w:tr>
      <w:tr>
        <w:trPr>
          <w:trHeight w:val="248"/>
        </w:trPr>
        <w:tc>
          <w:tcPr>
            <w:tcW w:w="4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34,155</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39,955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119,232</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left="10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10.</w:t>
        <w:tab/>
        <w:t>Leases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operating leases expire between 2027 and 2037 and are primarily for its corporate office spaces. Certain leases have rent abatement, escalating rent payment provisions, lease renewal options, and tenant allowances. Rent expense is recognized on a straight-line basis over the non-cancelable lease term, except when it is reasonably certain that the renewal option will be exercised.</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June 2026, the Company commenced a new lease for office space with an initial lease term expiring in 2033. Upon lease commencement, the Company recognized an operating lease right-of-use asset of $8.1 million and a corresponding lease liability of $8.0 million.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August 2026, the Company commenced a new lease for office space with an initial lease term expiring in 2037. Upon lease commencement, the Company recognized an operating lease right-of-use asset of $39.8 million and a corresponding lease liability of $39.4 million.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Future minimum lease payments are as follows:</w:t>
            </w:r>
          </w:p>
        </w:tc>
        <w:tc>
          <w:tcPr>
            <w:tcW w:w="3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18"/>
        </w:trPr>
        <w:tc>
          <w:tcPr>
            <w:tcW w:w="9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1"/>
        </w:trPr>
        <w:tc>
          <w:tcPr>
            <w:tcW w:w="9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25"/>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r>
      <w:tr>
        <w:trPr>
          <w:trHeight w:val="230"/>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9,022</w:t>
            </w:r>
          </w:p>
        </w:tc>
      </w:tr>
      <w:tr>
        <w:trPr>
          <w:trHeight w:val="229"/>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10,876</w:t>
            </w:r>
          </w:p>
        </w:tc>
      </w:tr>
      <w:tr>
        <w:trPr>
          <w:trHeight w:val="230"/>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9,575</w:t>
            </w:r>
          </w:p>
        </w:tc>
      </w:tr>
      <w:tr>
        <w:trPr>
          <w:trHeight w:val="230"/>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r>
      <w:tr>
        <w:trPr>
          <w:trHeight w:val="230"/>
        </w:trPr>
        <w:tc>
          <w:tcPr>
            <w:tcW w:w="9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43,024</w:t>
            </w:r>
          </w:p>
        </w:tc>
      </w:tr>
      <w:tr>
        <w:trPr>
          <w:trHeight w:val="223"/>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80,798</w:t>
            </w:r>
          </w:p>
        </w:tc>
      </w:tr>
      <w:tr>
        <w:trPr>
          <w:trHeight w:val="230"/>
        </w:trPr>
        <w:tc>
          <w:tcPr>
            <w:tcW w:w="9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(19,807)</w:t>
            </w:r>
          </w:p>
        </w:tc>
      </w:tr>
      <w:tr>
        <w:trPr>
          <w:trHeight w:val="248"/>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60,991</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had no finance lease expense during the three and nine months ended September 30, 2025 and 2026. The Company’s operating lease expense consists of rent and variable lease payments. Variable lease payments such as common area maintenance and parking fees, were included in operating expenses. Rent expense for the Company’s short-term leases was immaterial during the periods presented. The Company had immaterial sublease income during the three and nine months ended September 30, 2025 and 2026.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Operating lease expense was as follows: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0"/>
        </w:trPr>
        <w:tc>
          <w:tcPr>
            <w:tcW w:w="4300" w:type="dxa"/>
            <w:vAlign w:val="bottom"/>
          </w:tcPr>
          <w:p>
            <w:pPr>
              <w:spacing w:after="0"/>
              <w:rPr>
                <w:sz w:val="24"/>
                <w:szCs w:val="24"/>
                <w:color w:val="auto"/>
              </w:rPr>
            </w:pPr>
          </w:p>
        </w:tc>
        <w:tc>
          <w:tcPr>
            <w:tcW w:w="286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4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3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Borders>
              <w:bottom w:val="single" w:sz="8" w:color="auto"/>
            </w:tcBorders>
          </w:tcPr>
          <w:p>
            <w:pPr>
              <w:spacing w:after="0"/>
              <w:rPr>
                <w:sz w:val="20"/>
                <w:szCs w:val="20"/>
                <w:color w:val="auto"/>
              </w:rPr>
            </w:pPr>
          </w:p>
        </w:tc>
      </w:tr>
      <w:tr>
        <w:trPr>
          <w:trHeight w:val="223"/>
        </w:trPr>
        <w:tc>
          <w:tcPr>
            <w:tcW w:w="43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 expense</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8,926</w:t>
            </w:r>
          </w:p>
        </w:tc>
      </w:tr>
      <w:tr>
        <w:trPr>
          <w:trHeight w:val="234"/>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payments</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20"/>
                <w:szCs w:val="20"/>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8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r>
    </w:tbl>
    <w:p>
      <w:pPr>
        <w:spacing w:after="0" w:line="3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cash flow and non-cash information related to the Company’s operating leases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Pr>
          <w:p>
            <w:pPr>
              <w:spacing w:after="0"/>
              <w:rPr>
                <w:sz w:val="17"/>
                <w:szCs w:val="17"/>
                <w:color w:val="auto"/>
              </w:rPr>
            </w:pPr>
          </w:p>
        </w:tc>
        <w:tc>
          <w:tcPr>
            <w:tcW w:w="280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4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43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Borders>
              <w:bottom w:val="single" w:sz="8" w:color="auto"/>
            </w:tcBorders>
          </w:tcPr>
          <w:p>
            <w:pPr>
              <w:spacing w:after="0"/>
              <w:rPr>
                <w:sz w:val="20"/>
                <w:szCs w:val="20"/>
                <w:color w:val="auto"/>
              </w:rPr>
            </w:pPr>
          </w:p>
        </w:tc>
      </w:tr>
      <w:tr>
        <w:trPr>
          <w:trHeight w:val="225"/>
        </w:trPr>
        <w:tc>
          <w:tcPr>
            <w:tcW w:w="43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155"/>
        </w:trPr>
        <w:tc>
          <w:tcPr>
            <w:tcW w:w="43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10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24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11,039</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9,045</w:t>
            </w:r>
          </w:p>
        </w:tc>
      </w:tr>
      <w:tr>
        <w:trPr>
          <w:trHeight w:val="234"/>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capitalized</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39,818</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47,930</w:t>
            </w:r>
          </w:p>
        </w:tc>
      </w:tr>
    </w:tbl>
    <w:p>
      <w:pPr>
        <w:spacing w:after="0" w:line="3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operating leases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tcPr>
          <w:p>
            <w:pPr>
              <w:spacing w:after="0"/>
              <w:rPr>
                <w:sz w:val="18"/>
                <w:szCs w:val="18"/>
                <w:color w:val="auto"/>
              </w:rPr>
            </w:pPr>
          </w:p>
        </w:tc>
        <w:tc>
          <w:tcPr>
            <w:tcW w:w="218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1"/>
        </w:trPr>
        <w:tc>
          <w:tcPr>
            <w:tcW w:w="6980" w:type="dxa"/>
            <w:vAlign w:val="bottom"/>
            <w:tcBorders>
              <w:bottom w:val="single" w:sz="8" w:color="CCEEFF"/>
            </w:tcBorders>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r>
      <w:tr>
        <w:trPr>
          <w:trHeight w:val="225"/>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8.55</w:t>
            </w: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7.13%</w:t>
            </w:r>
          </w:p>
        </w:tc>
        <w:tc>
          <w:tcPr>
            <w:tcW w:w="10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6.30%</w:t>
            </w:r>
          </w:p>
        </w:tc>
      </w:tr>
    </w:tbl>
    <w:p>
      <w:pPr>
        <w:spacing w:after="0" w:line="200" w:lineRule="exact"/>
        <w:rPr>
          <w:sz w:val="20"/>
          <w:szCs w:val="20"/>
          <w:color w:val="auto"/>
        </w:rPr>
      </w:pPr>
    </w:p>
    <w:p>
      <w:pPr>
        <w:spacing w:after="0" w:line="313" w:lineRule="exact"/>
        <w:rPr>
          <w:sz w:val="20"/>
          <w:szCs w:val="20"/>
          <w:color w:val="auto"/>
        </w:rPr>
      </w:pPr>
    </w:p>
    <w:p>
      <w:pPr>
        <w:ind w:left="10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loan purchase obligations under the Company’s loan agreements with certain lending partners. These lending partners retain ownership of the loans facilitated through Upstart’s platform for three days or longer (the “holding period”) after origination, as required under the respective agreements. The Company has committed to purchase the loans at the conclusion of the required holding period. As of December 31, 2025 and September 30, 2026, the total loan purchase commitment included outstanding principal balance of $116.9 million and $152.5 million, respectively.</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commitments to fund future advances on HELOCs. As of December 31, 2025 and September 30, 2026, these commitments were $18.0 million and $21.2 million, respectively, however, since these commitments could expire without being drawn upon, the total commitment amounts do not necessarily represent future cash requirements.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The Company discloses material contingencies when it believes a loss is not probable but reasonably possible and may voluntarily provide information on additional contingencies.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subject to, and it is presently involved in, various litigation and legal proceedings arising from the ordinary course of business activities, the outcome of which the Company cannot reasonably determine. Other than the class actions and derivative actions described below, the Company does not believe that it is presently a party to any litigation of which the outcome would individually, or taken together, have a material adverse effect on our business, operating results, cash flows, or financial condition. As of December 31, 2025 and September 30, 2026, immaterial loss contingencies were recorded in connection with legal proceedings.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vendors, directors, officers and other parties with respect to certain matters.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adverse effect on the Company’s condensed consolidated financial statements.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Repurchases</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terms of our agreements with lending partners and institutional investors, as well as in agreements with investors in securitizations and pass-through certificate transactions, the Company may, in certain circumstances, become obligated to repurchase loans from or indemnify such lending partners and institutional investors. Generally, these circumstances include the occurrence of verifiable identity theft, the failure of sold loans to meet the terms of certain loan-level representations and warranties that speak as of the time of origination or sale, the failure to comply with other contractual terms with lending partners and institutional investors, or a violation of the applicable federal, state, or local lending laws. For certain loan sales, the Company may also become obligated to repurchase the loans if a borrower defaults shortly after origination or sale. In the event of a repurchase, the Company would experience a loss if the contractual repurchase price of the loan exceeds its fair value on repurchase date.</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maximum potential amount of future payments associated with any repurchase or indemnification obligation is the outstanding balances of the loans held by lending partners and institutional investors, which as of December 31, 2025 and September 30, 2026, was $14,290.4 million and $18,572.7 million, respectively. Actual payments made relating to the Company’s repurchase and indemnification obligations were immaterial and $25.7 million for the three months ended September 30, 2025 and 2026, respectively, and immaterial and $61.4 million for the nine months ended September 30, 2025 and 2026, respectively.</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have material contingent liabilities related to future loan repurchase obligations as of December 31, 2025 and September 30, 2026. These amounts are included in accrued expenses and other liabilities on the Company’s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Legal</w:t>
      </w:r>
    </w:p>
    <w:p>
      <w:pPr>
        <w:spacing w:after="0" w:line="2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July 26, 2022, a lawsuit was filed in United States District Court, Southern District of Ohio, captioned Crain v. Upstart Holdings, Inc. et al., Case No. 2:22-cv-02935-ALM-EPD (S.D. Ohio) against the Company, the Company’s then-Chief Executive Officer, and then-Chief Financial Officer, alleging that the defendants made false and/or misleading statements or omissions about the Company’s business, operations, and prospects in violation of Section 10(b) of the Exchange Act, and Rule 10b-5 promulgated thereunder, as well as Section 20(a) of the Exchange Act. The Crain lawsuit claims unspecified damages and legal fees. On August 16, 2022, the court appointed a lead plaintiff and approved lead counsel in the Crain action. On December 5, 2022, the lead plaintiff filed a consolidated amended complaint, which names the same defendants as the previous complaint, along with two Company executives, as well as Third Point LLC and its CEO and Third Point Ventures LLC and its managing partner (also a former Upstart board member). The consolidated amended complaint brings the same claims as the previous complaint but adds a claim under Section 20A of the Exchange Act. On February 24, 2023, the defendants filed motions to dismiss the consolidated amended complaint. On September 29, 2023, the Court issued an order, granting in part and denying in part the Upstart defendants’ motion, and granting the motion filed by Third Point LLC and its CEO and Third Point Ventures LLC. On November 7, 2023, the Upstart defendants filed a motion for reconsideration, which the Court denied on August 5, 2024. On February 2, 2024, Lead Plaintiff, Universal-Investment-Gesellschaft mbH, and plaintiffs, Kathy Brooks and Kevin Crain, filed a motion for an order to certify this matter, now captioned In re Upstart Holdings Securities Litigation, as a class action, appoint themselves as class representatives, and approve their selection of Motley Rice LLC and Robbins Geller Rudman &amp; Dowd LLP as co-class counsel, which motion the Court granted on March 27, 2025. On December 6, 2024, plaintiffs filed a motion for leave to file a first amended complaint, which motion the Court granted on September 29, 2025. The first amended complaint adds back as defendants Third Point LLC and its CEO and Third Point Ventures LLC. On November 14, 2025, Third Point LLC, its CEO, Third Point Ventures LLC, and its managing partner moved to dismiss the claims asserted against them in the first amended complaint, which motion the Court granted in part and denied in part on September 30, 2026. The Company believes the remaining claims against it in the action are without merit and intends to defend itself vigorously.</w:t>
      </w:r>
    </w:p>
    <w:p>
      <w:pPr>
        <w:spacing w:after="0" w:line="21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28, 2022, a derivative lawsuit was filed in United States District Court, Southern District of Ohio, captioned OConnor v. Huber et al., Case No. 2:22-cv-02961-EAS-KAJ (S.D. Ohio). The OConnor action includes allegations similar to those in the Crain complaint, and names as defendants each of the Company’s then-current board members and its then-Chief Financial Officer. The Company is named as a nominal defendant. The OConnor action includes claims for violation of Section 10(b) of the Exchange Act and Rule 10b-5 promulgated thereunder, breach of fiduciary duty, aiding and abetting breach of fiduciary duty, unjust enrichment, and waste of corporate assets. The OConnor action seeks unspecified monetary damages and an accounting from the individual defendants. The OConnor action also seeks unspecified corporate governance and internal procedure modifications, punitive damages, and legal fees.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7, 2022, a second derivative lawsuit was filed in United States District Court, Southern District of Ohio, captioned Chung v. Huber et al., No. 2:22-cv-03620-MHW-CMV (S.D. Ohio). The Chung action includes allegations similar to those in the OConnor complaint, and names as defendants each of the Company’s then-current board members, a former board member, and its then-Chief Financial Officer. The Company is named as a nominal defendant. The Chung action includes claims for violation of Section 10(b), 14(a), and 21D of the Exchange Act, breach of fiduciary duties, unjust enrichment, abuse of control, gross mismanagement, and waste of corporate assets. The Chung action seeks unspecified monetary damages, restitution, and attorney’s fees and costs from the individual defendants. It also seeks corporate governance and internal procedure modifications.</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12, 2022, in response to a joint motion by the parties, the Court consolidated the OConnor and Chung matters, appointed co-lead counsel, and stayed the consolidated case until resolution of the related securities class action. On April 24, 2024, the plaintiffs in the consolidated action filed an amended complaint. The amended complaint includes allegations similar to those in the initial complaint in the OConnor action, and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same defendants as the initial complaint, along with an additional Company executive and another former board member. The amended complaint brings the same claims as the initial complaint in the OConnor action but adds claims under Section 14(a) of the Exchange Act and Rule 14a-9 promulgated thereunder, for contribution under Sections 10(b) and 21D of the Exchange Act, and for abuse of control and gross mismanagement. The amended complaint seeks similar relief to that sought in the initial complaint in the OConnor action. The matter remains stayed until resolution of the class action.</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3, 2023, a third derivative lawsuit was filed, in the United States District Court, District of Delaware, captioned Hsu v. Girouard, et al., 1:23-cv-00132-UNA (D. Del.). The Hsu action includes allegations similar to those in the consolidated derivative matter pending in Ohio, and names as defendants each of the Company’s then-current board members, a former board member, and its then-Chief Financial Officer. The Company is named as a nominal defendant. The Hsu action includes claims for violation of Section 14(a) of the Exchange Act as well as breach of fiduciary duties, and seeks unspecified monetary damages, restitution, and attorney’s fees and costs from the individual defendants. It also seeks corporate governance and internal procedure modifications. On February 16, 2023, in response to a joint stipulation and proposed order submitted by the parties, the Court stayed the Hsu action until resolution of the related securities class action.</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8, 2023, a fourth derivative lawsuit was filed, in the United States District Court, District of Delaware, captioned Sornchai et al. v. Girouard, et al., 1:23-cv-00253-MN (D. Del.). The Sornchai action includes allegations similar to those in the consolidated derivative matter pending in Ohio, and names as defendants each of the Company’s then-current board members, a former board member, its then-Chief Financial Officer, and a Company executive. The Company is named as a nominal defendant. The Sornchai action includes claims for violations of Sections 10(b), 14(a) and 21D of the Exchange Act, breach of fiduciary duties, breach of fiduciary duty through misappropriation of material non-public information, and unjust enrichment, and seeks unspecified monetary damages, restitution, and attorney’s fees and costs from the individual defendants. It also seeks corporate governance and internal procedure modifications. On March 24, 2023, in response to a joint stipulation and proposed order submitted by the parties, the Court stayed the Sornchai action until resolution of the related securities class action.</w:t>
      </w:r>
    </w:p>
    <w:p>
      <w:pPr>
        <w:spacing w:after="0" w:line="2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April 5, 2023, a fifth derivative lawsuit was filed, in the Court of Chancery of the State of Delaware, captioned Okhai v. Girouard, et al., C.A. No. 2023-0401-BWD (Del. Ch.). The Okhai action includes allegations similar to those in the consolidated derivative matter pending in Ohio, and names as defendants the Company’s then-current board members, two former board members, its then-Chief Financial Officer, and two then-current or former Company executives, as well as Third Point LLC and Third Point Ventures LLC. The Okhai action includes claims for breach of fiduciary duty, aiding and abetting such alleged breaches, and unjust enrichment, and seeks equitable and/or injunctive relief, restitution, and attorney’s fees and costs from the individual defendants. On August 3, 2023, in response to a motion to stay by the defendants in the Okhai action, the Court stayed the Okhai action until resolution of the motion to dismiss in the related securities class action. Following the issuance of the September 29, 2023 order on the motion to dismiss in the related securities class action, on November 16, 2023, in response to a joint stipulation and proposed order submitted by the parties, the Court stayed the Okhai action until resolution of the motion for reconsideration of the September 29, 2023 order on the motion to dismiss in the related securities class action. Following denial of the motion for reconsideration in the related securities class action, the parties in the Okhai action finished briefing and argued the defendants’ motion to continue the stay. On October 24, 2024, the Court continued the stay until February 1, 2025. On January 31, 2025, the parties submitted to the Court a proposed schedule for briefing Defendants’ motion to continue the stay. On April 11, 2025, in response to a joint stipulation and proposed order submitted by the parties, the Court ordered that the case remain stayed pending plaintiffs filing a consolidated amended complaint on or before May 7, 2025, after which Defendants filed a renewed motion to stay. Subsequent developments are discussed below.</w:t>
      </w:r>
    </w:p>
    <w:p>
      <w:pPr>
        <w:spacing w:after="0" w:line="22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13, 2023, a sixth derivative lawsuit was filed, in the Court of Chancery of the State of Delaware, captioned Romanyshyn v. Girouard, et al., C.A. No. 2023-1029-BWD (Del. Ch.). The Romanyshyn action includes allegations similar to those in the consolidated derivative matter pending in Ohio, and names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defendants current and former directors and Company executives, as well as Third Point LLC and its CEO, and Third Point Ventures LLC. The Romanyshyn action includes claims for breach of fiduciary duty, and seeks unspecified monetary damages, restitution, and attorney’s fees and costs from the individual defendants. It also seeks corporate governance and internal procedure modifications. On November 3, 2023, in response to a joint stipulation and proposed order submitted by the parties, the Court stayed the Romanyshyn action pending the outcome of the motion to stay in the related Okhai derivative action. Subsequent developments are discussed below.</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24, 2023, a seventh derivative lawsuit was filed, in the Court of Chancery of the State of Delaware, captioned Agarwal v. Girouard, et al., C.A. No. 2023-1075-BWD (Del. Ch.). The Agarwal action includes allegations similar to those in the consolidated derivative matter pending in Ohio, and names as defendants current and former directors and Company executives, as well as Third Point LLC and its CEO, and Third Point Ventures LLC. The Agarwal action includes claims for breach of fiduciary duty, and seeks unspecified monetary damages, restitution, and attorney’s fees and costs from the individual defendants. It also seeks corporate governance and internal procedure modifications. On November 3, 2023, in response to a joint stipulation and proposed order submitted by the parties, the Court stayed the Agarwal action pending the outcome of the motion to stay in the related Okhai derivative action. Subsequent developments are discussed below.</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22, 2024, in response to a joint stipulation and proposed order submitted by the parties, the Court consolidated the Okhai, Romanyshyn, and Agarwal matters under the consolidated caption In re Upstart Holdings, Inc. Derivative Litigation, Consolidated C.A. No. 2023-0401-BWD and appointed co-lead plaintiffs and co-lead counsel. On May 7, 2025, the plaintiffs in the consolidated action filed a consolidated amended complaint. The consolidated amended complaint names as plaintiffs Evan Levitan and Charlie Romanyshyn and removes plaintiffs Okhai and Agarwal. The consolidated amended complaint includes allegations similar to those in the initial Okhai complaint and names the same defendants as the initial Okhai complaint, along with the CEO of Third Point LLC. The consolidated amended complaint brings the same claims as the initial Okhai complaint and seeks similar relief. On June 4, 2025, Defendants filed a renewed motion to stay, which motion the Court granted on August 25, 2025.</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Given the uncertainty of litigation described above, the preliminary stage of the cases, and the legal standards that must be met for, among other things, class certification and success on the merits, the Company cannot estimate the reasonably possible loss or range of loss that may result from these actions.</w:t>
      </w:r>
    </w:p>
    <w:p>
      <w:pPr>
        <w:spacing w:after="0" w:line="200" w:lineRule="exact"/>
        <w:rPr>
          <w:sz w:val="20"/>
          <w:szCs w:val="20"/>
          <w:color w:val="auto"/>
        </w:rPr>
      </w:pPr>
    </w:p>
    <w:p>
      <w:pPr>
        <w:spacing w:after="0" w:line="242" w:lineRule="exact"/>
        <w:rPr>
          <w:sz w:val="20"/>
          <w:szCs w:val="20"/>
          <w:color w:val="auto"/>
        </w:rPr>
      </w:pPr>
    </w:p>
    <w:p>
      <w:pPr>
        <w:ind w:left="10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effective tax rates for the three and nine months ended September 30, 2025 and 2026,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8"/>
                <w:szCs w:val="18"/>
                <w:color w:val="auto"/>
              </w:rPr>
            </w:pPr>
          </w:p>
        </w:tc>
        <w:tc>
          <w:tcPr>
            <w:tcW w:w="3140" w:type="dxa"/>
            <w:vAlign w:val="bottom"/>
            <w:gridSpan w:val="4"/>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4"/>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660" w:type="dxa"/>
            <w:vAlign w:val="bottom"/>
          </w:tcPr>
          <w:p>
            <w:pPr>
              <w:spacing w:after="0"/>
              <w:rPr>
                <w:sz w:val="18"/>
                <w:szCs w:val="18"/>
                <w:color w:val="auto"/>
              </w:rPr>
            </w:pPr>
          </w:p>
        </w:tc>
      </w:tr>
      <w:tr>
        <w:trPr>
          <w:trHeight w:val="238"/>
        </w:trPr>
        <w:tc>
          <w:tcPr>
            <w:tcW w:w="386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60" w:type="dxa"/>
            <w:vAlign w:val="bottom"/>
            <w:tcBorders>
              <w:bottom w:val="single" w:sz="8" w:color="auto"/>
            </w:tcBorders>
          </w:tcPr>
          <w:p>
            <w:pPr>
              <w:spacing w:after="0"/>
              <w:rPr>
                <w:sz w:val="20"/>
                <w:szCs w:val="20"/>
                <w:color w:val="auto"/>
              </w:rPr>
            </w:pPr>
          </w:p>
        </w:tc>
      </w:tr>
      <w:tr>
        <w:trPr>
          <w:trHeight w:val="223"/>
        </w:trPr>
        <w:tc>
          <w:tcPr>
            <w:tcW w:w="386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bottom w:val="single" w:sz="8" w:color="auto"/>
            </w:tcBorders>
          </w:tcPr>
          <w:p>
            <w:pPr>
              <w:spacing w:after="0"/>
              <w:rPr>
                <w:sz w:val="19"/>
                <w:szCs w:val="19"/>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1,363</w:t>
            </w:r>
          </w:p>
        </w:tc>
      </w:tr>
      <w:tr>
        <w:trPr>
          <w:trHeight w:val="23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0.39 %</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0.57 %</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2.85 %</w:t>
            </w:r>
          </w:p>
        </w:tc>
      </w:tr>
    </w:tbl>
    <w:p>
      <w:pPr>
        <w:spacing w:after="0" w:line="3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tax provision and the resulting effective tax rate for interim periods are determined based upon its estimated annual effective tax rate adjusted for the effect of discrete items arising during the period. The increase in the Company’s effective tax rate for the three and nine months ended September 30, 2026, compared to the same periods in 2025, was primarily driven by an increase in the Company’s state tax liabilities, despite maintaining a full valuation allowance. The effective tax rate differs from the U.S. statutory tax rate primarily due to the valuation allowance recorded against the Company’s deferred tax assets, as management has determined that it is more likely than not that some or all of these deferred tax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0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13.</w:t>
        <w:tab/>
        <w:t>Net Income Per Share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Basic net income per common share is based on the weighted-average common shares outstanding during the relevant period. Diluted net income per share is based on the weighted-average common shares outstanding during the relevant period, adjusted for the dilutive effect of share-based awards and convertible debt.</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periods in which the Company reports net losses, basic and diluted net loss per share are the same because potentially dilutive common shares are not assumed to have been issued if their effect is anti-dilutive.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7"/>
                <w:szCs w:val="17"/>
                <w:color w:val="auto"/>
              </w:rPr>
            </w:pPr>
          </w:p>
        </w:tc>
        <w:tc>
          <w:tcPr>
            <w:tcW w:w="294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5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31,805</w:t>
            </w:r>
          </w:p>
        </w:tc>
        <w:tc>
          <w:tcPr>
            <w:tcW w:w="8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34,965</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46,471</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Add: Dilutive effect of convertible senior notes, net</w:t>
            </w:r>
            <w:r>
              <w:rPr>
                <w:rFonts w:ascii="Times New Roman" w:cs="Times New Roman" w:eastAsia="Times New Roman" w:hAnsi="Times New Roman"/>
                <w:sz w:val="23"/>
                <w:szCs w:val="23"/>
                <w:color w:val="auto"/>
                <w:vertAlign w:val="superscript"/>
              </w:rPr>
              <w:t>(1)(3)</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(6,664)</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 diluted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25,141</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29,380</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48,076</w:t>
            </w: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5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Weighted-average common shares outstanding used to</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calculate net income per share, basic</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96,682,774</w:t>
            </w:r>
          </w:p>
        </w:tc>
        <w:tc>
          <w:tcPr>
            <w:tcW w:w="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97,998,632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95,503,380</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97,162,308</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 RSUs, and ESPP</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8,046,066</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4,168,054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8,039,386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4,302,387</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Convertible senior notes</w:t>
            </w:r>
            <w:r>
              <w:rPr>
                <w:rFonts w:ascii="Times New Roman" w:cs="Times New Roman" w:eastAsia="Times New Roman" w:hAnsi="Times New Roman"/>
                <w:sz w:val="23"/>
                <w:szCs w:val="23"/>
                <w:color w:val="auto"/>
                <w:vertAlign w:val="superscript"/>
              </w:rPr>
              <w:t>(2)(3)</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4,995,829</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23,244,561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2,378,819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8,363,835</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effect of dilutive securities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13,041,895</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27,412,615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10,418,205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12,666,222</w:t>
            </w:r>
          </w:p>
        </w:tc>
        <w:tc>
          <w:tcPr>
            <w:tcW w:w="0" w:type="dxa"/>
            <w:vAlign w:val="bottom"/>
          </w:tcPr>
          <w:p>
            <w:pPr>
              <w:spacing w:after="0"/>
              <w:rPr>
                <w:sz w:val="1"/>
                <w:szCs w:val="1"/>
                <w:color w:val="auto"/>
              </w:rPr>
            </w:pPr>
          </w:p>
        </w:tc>
      </w:tr>
      <w:tr>
        <w:trPr>
          <w:trHeight w:val="164"/>
        </w:trPr>
        <w:tc>
          <w:tcPr>
            <w:tcW w:w="456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Weighted-average common shares outstanding used to</w:t>
            </w:r>
          </w:p>
        </w:tc>
        <w:tc>
          <w:tcPr>
            <w:tcW w:w="3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109,724,669</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125,411,247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105,921,585</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109,828,530</w:t>
            </w:r>
          </w:p>
        </w:tc>
        <w:tc>
          <w:tcPr>
            <w:tcW w:w="0" w:type="dxa"/>
            <w:vAlign w:val="bottom"/>
          </w:tcPr>
          <w:p>
            <w:pPr>
              <w:spacing w:after="0"/>
              <w:rPr>
                <w:sz w:val="1"/>
                <w:szCs w:val="1"/>
                <w:color w:val="auto"/>
              </w:rPr>
            </w:pPr>
          </w:p>
        </w:tc>
      </w:tr>
      <w:tr>
        <w:trPr>
          <w:trHeight w:val="207"/>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calculate net income per share, diluted</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basic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8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diluted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7" w:lineRule="exact"/>
        <w:rPr>
          <w:sz w:val="20"/>
          <w:szCs w:val="20"/>
          <w:color w:val="auto"/>
        </w:rPr>
      </w:pPr>
    </w:p>
    <w:p>
      <w:pPr>
        <w:ind w:left="500" w:right="140" w:hanging="492"/>
        <w:spacing w:after="0" w:line="264" w:lineRule="auto"/>
        <w:tabs>
          <w:tab w:leader="none" w:pos="49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net income attributable to common stockholders reflects adjustments to reverse interest expense and any gains on extinguishment of debt, net of tax, associated with convertible senior notes whose assumed conversion was dilutive under the if-converted method.</w:t>
      </w:r>
    </w:p>
    <w:p>
      <w:pPr>
        <w:ind w:left="480" w:hanging="472"/>
        <w:spacing w:after="0"/>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weighted-average incremental shares issuable upon assumed conversion of dilutive convertible senior notes under the if-converted method.</w:t>
      </w:r>
    </w:p>
    <w:p>
      <w:pPr>
        <w:spacing w:after="0" w:line="14" w:lineRule="exact"/>
        <w:rPr>
          <w:rFonts w:ascii="Times New Roman" w:cs="Times New Roman" w:eastAsia="Times New Roman" w:hAnsi="Times New Roman"/>
          <w:sz w:val="14"/>
          <w:szCs w:val="14"/>
          <w:color w:val="auto"/>
        </w:rPr>
      </w:pPr>
    </w:p>
    <w:p>
      <w:pPr>
        <w:ind w:left="500" w:right="200" w:hanging="492"/>
        <w:spacing w:after="0" w:line="283" w:lineRule="auto"/>
        <w:tabs>
          <w:tab w:leader="none" w:pos="49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September 30, 2026, the 2029, 2030, and 2032 Notes were dilutive. For the nine months ended September 30, 2026, only the 2032 Notes were dilutive. For the three and nine months ended September 30, 2025, the 2026 and 2032 Notes were 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891"/>
        <w:spacing w:after="0" w:line="282" w:lineRule="auto"/>
        <w:rPr>
          <w:sz w:val="20"/>
          <w:szCs w:val="20"/>
          <w:color w:val="auto"/>
        </w:rPr>
      </w:pPr>
      <w:r>
        <w:rPr>
          <w:rFonts w:ascii="Times New Roman" w:cs="Times New Roman" w:eastAsia="Times New Roman" w:hAnsi="Times New Roman"/>
          <w:sz w:val="18"/>
          <w:szCs w:val="18"/>
          <w:color w:val="auto"/>
        </w:rPr>
        <w:t>The following securities were excluded from the computation of diluted net income per share for the periods presented, due to their anti-dilutive effect: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33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3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4560" w:type="dxa"/>
            <w:vAlign w:val="bottom"/>
          </w:tcPr>
          <w:p>
            <w:pPr>
              <w:spacing w:after="0"/>
              <w:rPr>
                <w:sz w:val="20"/>
                <w:szCs w:val="20"/>
                <w:color w:val="auto"/>
              </w:rPr>
            </w:pPr>
          </w:p>
        </w:tc>
        <w:tc>
          <w:tcPr>
            <w:tcW w:w="2240" w:type="dxa"/>
            <w:vAlign w:val="bottom"/>
            <w:tcBorders>
              <w:bottom w:val="single" w:sz="8" w:color="auto"/>
            </w:tcBorders>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Borders>
              <w:bottom w:val="single" w:sz="8" w:color="auto"/>
            </w:tcBorders>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40" w:type="dxa"/>
            <w:vAlign w:val="bottom"/>
            <w:tcBorders>
              <w:bottom w:val="single" w:sz="8" w:color="auto"/>
            </w:tcBorders>
          </w:tcPr>
          <w:p>
            <w:pPr>
              <w:spacing w:after="0"/>
              <w:rPr>
                <w:sz w:val="20"/>
                <w:szCs w:val="20"/>
                <w:color w:val="auto"/>
              </w:rPr>
            </w:pPr>
          </w:p>
        </w:tc>
      </w:tr>
      <w:tr>
        <w:trPr>
          <w:trHeight w:val="223"/>
        </w:trPr>
        <w:tc>
          <w:tcPr>
            <w:tcW w:w="456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1,250,222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2,411,912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1,398,669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2,420,597</w:t>
            </w: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256,118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1,138,195</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1,970,324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4,190,649</w:t>
            </w: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PRSUs</w:t>
            </w:r>
          </w:p>
        </w:tc>
        <w:tc>
          <w:tcPr>
            <w:tcW w:w="224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1,726,737</w:t>
            </w:r>
          </w:p>
        </w:tc>
        <w:tc>
          <w:tcPr>
            <w:tcW w:w="100" w:type="dxa"/>
            <w:vAlign w:val="bottom"/>
            <w:shd w:val="clear" w:color="auto" w:fill="CCEEFF"/>
          </w:tcPr>
          <w:p>
            <w:pPr>
              <w:spacing w:after="0"/>
              <w:rPr>
                <w:sz w:val="19"/>
                <w:szCs w:val="19"/>
                <w:color w:val="auto"/>
              </w:rPr>
            </w:pPr>
          </w:p>
        </w:tc>
        <w:tc>
          <w:tcPr>
            <w:tcW w:w="226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1,726,737</w:t>
            </w: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rights committed under the ESPP</w:t>
            </w:r>
          </w:p>
        </w:tc>
        <w:tc>
          <w:tcPr>
            <w:tcW w:w="224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68,965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124,149</w:t>
            </w: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14,880,726</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233,277</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14,880,726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15,114,003</w:t>
            </w:r>
          </w:p>
        </w:tc>
      </w:tr>
      <w:tr>
        <w:trPr>
          <w:trHeight w:val="223"/>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16,387,066</w:t>
            </w:r>
          </w:p>
        </w:tc>
        <w:tc>
          <w:tcPr>
            <w:tcW w:w="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5,510,121</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18,318,684</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23,576,135</w:t>
            </w:r>
          </w:p>
        </w:tc>
      </w:tr>
      <w:tr>
        <w:trPr>
          <w:trHeight w:val="20"/>
        </w:trPr>
        <w:tc>
          <w:tcPr>
            <w:tcW w:w="45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5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The Company’s organization and management structure is designed to support development of different lending product offerings, which are grouped into three operating segments - Unsecured Lending</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(personal loans, small dollar loans, and unsecured revolving credit lines), Auto Lending (auto refinance loans, auto retail loans, and auto secured personal loans), and Other (HELOCs and other). These operating segments are separately managed and evaluated by the CODM, the Company’s Chief Executive Officer, who allocates resources and assesses performance at this level. The Company has determined that only one operating segment, Unsecured Lending, meets the definition of a reportable segment.</w:t>
      </w:r>
    </w:p>
    <w:p>
      <w:pPr>
        <w:spacing w:after="0" w:line="2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generates all its revenue in the U.S. and a majority is earned in exchange for the use of the Company’s platform and for borrower referrals as well as for loan servicing activities provided to its lending partners and institutional investors. Refer to “</w:t>
      </w:r>
      <w:r>
        <w:rPr>
          <w:rFonts w:ascii="Times New Roman" w:cs="Times New Roman" w:eastAsia="Times New Roman" w:hAnsi="Times New Roman"/>
          <w:sz w:val="18"/>
          <w:szCs w:val="18"/>
          <w:i w:val="1"/>
          <w:iCs w:val="1"/>
          <w:color w:val="auto"/>
        </w:rPr>
        <w:t>Note 2. Revenue”</w:t>
      </w:r>
      <w:r>
        <w:rPr>
          <w:rFonts w:ascii="Times New Roman" w:cs="Times New Roman" w:eastAsia="Times New Roman" w:hAnsi="Times New Roman"/>
          <w:sz w:val="18"/>
          <w:szCs w:val="18"/>
          <w:color w:val="auto"/>
        </w:rPr>
        <w:t xml:space="preserve"> for further information related to the Company's disaggregation of revenue from fees by type of service.</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Contribution Profit is the primary measure of segment profit and loss reviewed by the CODM to assess business performance and strategy, prepare the Company’s annual operating budget and financial forecasts, and communicate with the Company’s Board of Directors concerning the Company’s financial performance. The significant segment expenses regularly reviewed by the CODM in evaluating Contribution Profit include borrower acquisition costs and borrower verification and servicing costs. To derive Contribution Profit, the Company subtracts the sum of borrower acquisition costs as well as borrower verification and servicing costs from revenue from fees, net.</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financial information, including Contribution Profit, for the Company’s Unsecured Lending segment: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80" w:type="dxa"/>
            <w:vAlign w:val="bottom"/>
          </w:tcPr>
          <w:p>
            <w:pPr>
              <w:spacing w:after="0"/>
              <w:rPr>
                <w:sz w:val="18"/>
                <w:szCs w:val="18"/>
                <w:color w:val="auto"/>
              </w:rPr>
            </w:pPr>
          </w:p>
        </w:tc>
        <w:tc>
          <w:tcPr>
            <w:tcW w:w="298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44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r>
      <w:tr>
        <w:trPr>
          <w:trHeight w:val="239"/>
        </w:trPr>
        <w:tc>
          <w:tcPr>
            <w:tcW w:w="4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7"/>
        </w:trPr>
        <w:tc>
          <w:tcPr>
            <w:tcW w:w="4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442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Unsecured Lending</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fees, net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253,192</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329,939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672,254</w:t>
            </w:r>
          </w:p>
        </w:tc>
        <w:tc>
          <w:tcPr>
            <w:tcW w:w="8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921,634</w:t>
            </w:r>
          </w:p>
        </w:tc>
      </w:tr>
      <w:tr>
        <w:trPr>
          <w:trHeight w:val="230"/>
        </w:trPr>
        <w:tc>
          <w:tcPr>
            <w:tcW w:w="44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Borrower acquisition costs</w:t>
            </w:r>
            <w:r>
              <w:rPr>
                <w:rFonts w:ascii="Times New Roman" w:cs="Times New Roman" w:eastAsia="Times New Roman" w:hAnsi="Times New Roman"/>
                <w:sz w:val="23"/>
                <w:szCs w:val="23"/>
                <w:color w:val="auto"/>
                <w:vertAlign w:val="superscript"/>
              </w:rPr>
              <w:t>(2)</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(61,771)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(76,280)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(164,161)</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(241,371)</w:t>
            </w:r>
          </w:p>
        </w:tc>
      </w:tr>
      <w:tr>
        <w:trPr>
          <w:trHeight w:val="229"/>
        </w:trPr>
        <w:tc>
          <w:tcPr>
            <w:tcW w:w="442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Borrower verification and servicing costs</w:t>
            </w:r>
            <w:r>
              <w:rPr>
                <w:rFonts w:ascii="Times New Roman" w:cs="Times New Roman" w:eastAsia="Times New Roman" w:hAnsi="Times New Roman"/>
                <w:sz w:val="23"/>
                <w:szCs w:val="23"/>
                <w:color w:val="auto"/>
                <w:vertAlign w:val="superscript"/>
              </w:rPr>
              <w:t>(3)</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(34,445)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(41,522)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(96,085)</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99"/>
              </w:rPr>
              <w:t>(118,924)</w:t>
            </w: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Profit for Unsecured Lending</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156,976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212,137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412,008</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561,339</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w:t>
      </w:r>
    </w:p>
    <w:p>
      <w:pPr>
        <w:spacing w:after="0" w:line="21" w:lineRule="exact"/>
        <w:rPr>
          <w:sz w:val="20"/>
          <w:szCs w:val="20"/>
          <w:color w:val="auto"/>
        </w:rPr>
      </w:pPr>
    </w:p>
    <w:p>
      <w:pPr>
        <w:ind w:left="500" w:hanging="492"/>
        <w:spacing w:after="0" w:line="259" w:lineRule="auto"/>
        <w:tabs>
          <w:tab w:leader="none" w:pos="49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in the second quarter of 2026, the Company renamed its Personal Lending operating segment to Unsecured Lending. The name change was administrative in nature and had no impact to the segment results or the Company’s condensed consolidated financial statements.</w:t>
      </w:r>
    </w:p>
    <w:p>
      <w:pPr>
        <w:jc w:val="both"/>
        <w:ind w:left="500" w:hanging="492"/>
        <w:spacing w:after="0" w:line="256" w:lineRule="auto"/>
        <w:tabs>
          <w:tab w:leader="none" w:pos="49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acquisition costs consist of the Company’s sales and marketing expenses adjusted to exclude costs not directly attributable to attracting a new borrower, such as payroll-related expenses for the Company’s business development and marketing teams, as well as other operational, brand awareness and marketing activities. These costs do not include reorganization expenses.</w:t>
      </w:r>
    </w:p>
    <w:p>
      <w:pPr>
        <w:spacing w:after="0" w:line="1" w:lineRule="exact"/>
        <w:rPr>
          <w:rFonts w:ascii="Times New Roman" w:cs="Times New Roman" w:eastAsia="Times New Roman" w:hAnsi="Times New Roman"/>
          <w:sz w:val="14"/>
          <w:szCs w:val="14"/>
          <w:color w:val="auto"/>
        </w:rPr>
      </w:pPr>
    </w:p>
    <w:p>
      <w:pPr>
        <w:jc w:val="both"/>
        <w:ind w:left="500" w:hanging="492"/>
        <w:spacing w:after="0" w:line="270" w:lineRule="auto"/>
        <w:tabs>
          <w:tab w:leader="none" w:pos="49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the Company’s customer operations team whose work is not directly attributable to onboarding and servicing loans. These costs do not include reorganization expenses.</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reconciliation of total Contribution Profit to Net income before income taxes: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7"/>
                <w:szCs w:val="17"/>
                <w:color w:val="auto"/>
              </w:rPr>
            </w:pPr>
          </w:p>
        </w:tc>
        <w:tc>
          <w:tcPr>
            <w:tcW w:w="288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47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r>
      <w:tr>
        <w:trPr>
          <w:trHeight w:val="239"/>
        </w:trPr>
        <w:tc>
          <w:tcPr>
            <w:tcW w:w="4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7"/>
        </w:trPr>
        <w:tc>
          <w:tcPr>
            <w:tcW w:w="4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Contribution Profit - Unsecured Lending</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156,976</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412,008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561,339</w:t>
            </w: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Reconciling items: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7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Contribution Profit/(Loss) - Other Segments</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(12,964)</w:t>
            </w:r>
          </w:p>
        </w:tc>
      </w:tr>
      <w:tr>
        <w:trPr>
          <w:trHeight w:val="229"/>
        </w:trPr>
        <w:tc>
          <w:tcPr>
            <w:tcW w:w="47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Sales and marketing, net of borrower acquisition costs</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(35,309)</w:t>
            </w:r>
          </w:p>
        </w:tc>
      </w:tr>
      <w:tr>
        <w:trPr>
          <w:trHeight w:val="176"/>
        </w:trPr>
        <w:tc>
          <w:tcPr>
            <w:tcW w:w="47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Customer operations, net of borrower verification and</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4720" w:type="dxa"/>
            <w:vAlign w:val="bottom"/>
            <w:shd w:val="clear" w:color="auto" w:fill="CCEEFF"/>
          </w:tcPr>
          <w:p>
            <w:pPr>
              <w:ind w:left="240"/>
              <w:spacing w:after="0" w:line="243" w:lineRule="exact"/>
              <w:rPr>
                <w:sz w:val="20"/>
                <w:szCs w:val="20"/>
                <w:color w:val="auto"/>
              </w:rPr>
            </w:pPr>
            <w:r>
              <w:rPr>
                <w:rFonts w:ascii="Times New Roman" w:cs="Times New Roman" w:eastAsia="Times New Roman" w:hAnsi="Times New Roman"/>
                <w:sz w:val="18"/>
                <w:szCs w:val="18"/>
                <w:color w:val="auto"/>
              </w:rPr>
              <w:t>servicing costs</w:t>
            </w:r>
            <w:r>
              <w:rPr>
                <w:rFonts w:ascii="Times New Roman" w:cs="Times New Roman" w:eastAsia="Times New Roman" w:hAnsi="Times New Roman"/>
                <w:sz w:val="23"/>
                <w:szCs w:val="23"/>
                <w:color w:val="auto"/>
                <w:vertAlign w:val="superscript"/>
              </w:rPr>
              <w:t>(3)</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(18,826)</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(24,754)</w:t>
            </w:r>
          </w:p>
        </w:tc>
      </w:tr>
      <w:tr>
        <w:trPr>
          <w:trHeight w:val="230"/>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(190,689)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(266,624)</w:t>
            </w:r>
          </w:p>
        </w:tc>
      </w:tr>
      <w:tr>
        <w:trPr>
          <w:trHeight w:val="229"/>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(185,910)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(232,900)</w:t>
            </w:r>
          </w:p>
        </w:tc>
      </w:tr>
      <w:tr>
        <w:trPr>
          <w:trHeight w:val="176"/>
        </w:trPr>
        <w:tc>
          <w:tcPr>
            <w:tcW w:w="47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Interest income, interest expense, and fair value</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adjustments, net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18,566</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62,976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54,332</w:t>
            </w:r>
          </w:p>
        </w:tc>
      </w:tr>
      <w:tr>
        <w:trPr>
          <w:trHeight w:val="230"/>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w:t>
            </w:r>
          </w:p>
        </w:tc>
      </w:tr>
      <w:tr>
        <w:trPr>
          <w:trHeight w:val="229"/>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47,834</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480" w:hanging="472"/>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Auto Lending and Other operating segments, which did not meet the separate reporting or aggregation criteria under GAAP.</w:t>
      </w:r>
    </w:p>
    <w:p>
      <w:pPr>
        <w:spacing w:after="0" w:line="11" w:lineRule="exact"/>
        <w:rPr>
          <w:rFonts w:ascii="Times New Roman" w:cs="Times New Roman" w:eastAsia="Times New Roman" w:hAnsi="Times New Roman"/>
          <w:sz w:val="14"/>
          <w:szCs w:val="14"/>
          <w:color w:val="auto"/>
        </w:rPr>
      </w:pPr>
    </w:p>
    <w:p>
      <w:pPr>
        <w:jc w:val="both"/>
        <w:ind w:left="500" w:hanging="492"/>
        <w:spacing w:after="0" w:line="257" w:lineRule="auto"/>
        <w:tabs>
          <w:tab w:leader="none" w:pos="49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acquisition costs were $67.3 million and $91.2 million for the three months ended September 30, 2025 and 2026, respectively, and were $176.8 million and $285.7 million for the nine months ended September 30, 2025 and 2026, respectively. Borrower acquisition costs consist of the Company’s sales and marketing expenses adjusted to exclude costs not directly attributable to attracting a new borrower, such as payroll-related expenses for the Company’s business development and marketing teams, as well as other operational, brand awareness and marketing activities. These costs do not include reorganization expenses.</w:t>
      </w:r>
    </w:p>
    <w:p>
      <w:pPr>
        <w:spacing w:after="0" w:line="2" w:lineRule="exact"/>
        <w:rPr>
          <w:rFonts w:ascii="Times New Roman" w:cs="Times New Roman" w:eastAsia="Times New Roman" w:hAnsi="Times New Roman"/>
          <w:sz w:val="14"/>
          <w:szCs w:val="14"/>
          <w:color w:val="auto"/>
        </w:rPr>
      </w:pPr>
    </w:p>
    <w:p>
      <w:pPr>
        <w:jc w:val="both"/>
        <w:ind w:left="500" w:hanging="492"/>
        <w:spacing w:after="0" w:line="267" w:lineRule="auto"/>
        <w:tabs>
          <w:tab w:leader="none" w:pos="49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verification and servicing costs were $43.9 million and $54.9 million for the three months ended September 30, 2025 and 2026, respectively, and were $117.7 million and $155.0 million for the nine months ended September 30, 2025 and 2026,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the Company’s customer operations team whose work is not directly attributable to onboarding and servicing loans. These costs do not include reorganization expenses.</w:t>
      </w: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CODM does not evaluate operating segments using asset information and, accordingly, the Company does not report asset information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15.</w:t>
        <w:tab/>
        <w:t>Subsequent Events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evaluated events that have occurred through the filing date of this Quarterly Report on Form 10-Q. Based on its evaluation, other than any items recorded or disclosed within the condensed consolidated financial statements and related notes, including as discussed below, the Company has determined no subsequent events were required to be recognized or disclosed.</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Corporate Revolving Credit Facility</w:t>
      </w:r>
    </w:p>
    <w:p>
      <w:pPr>
        <w:spacing w:after="0" w:line="254"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On October 16, 2026, Upstart Network, Inc. (the “Borrower”), a wholly-owned subsidiary of the Company, entered into a credit agreement providing for a senior secured revolving credit facility with an aggregate principal amount of up to $200.0 million (the “Revolver”). Proceeds of the Revolver will be used for general corporate purposes and to provide additional financing flexibility during the initial capitalization of Upstart Bank, N.A. (“Upstart Bank”). The timing and opening of Upstart Bank remain subject to required regulatory approvals.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Revolver matures on October 15, 2027, unless terminated earlier, including 45 days after Upstart Bank’s initial capitalization. Outstanding borrowings must be repaid with proceeds from certain affiliate loan sales to Upstart Bank, upon which the Revolver will terminate. Borrowings bear interest at Term SOFR plus a margin ranging from 2.75% to 3.25%, with an initial margin of 3.00%. The Revolver is guaranteed by the Company and certain subsidiaries and secured by substantially all assets of the Borrower and certain subsidiaries, excluding Upstart Bank’s equity interests and assets. The Revolver also includes covenants that require the Company and its subsidiaries that are pledging assets as collateral to maintain (i) minimum liquidity of not less than $100.0 million, (ii) the sum of consolidated eligible assets, plus liquidity in excess of $100.0 million, of not less than $300.0 million in the aggregate, and (iii) a maximum consolidated secured gross leverage ratio of not more than 2.50 to 1.00. The occurrence of an event of default under the Revolver could result in all loans and other obligations under the Revolver becoming immediately due and payable and the Revolver being terminated.</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October 20, 2026, the Borrower borrowed $175.0 million under the Revolver.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condensed consolidated financial statements and related notes thereto included elsewhere in this Quarterly Report on Form 10-Q. This discussion contains forward-looking statements that involve risks and uncertainties. Factors that could cause or contribute to such differences include those identified below and those discussed in the section titled “Risk Factors” and other parts of this Quarterly Report on Form 10-Q. Our historical results are not necessarily indicative of the results that may be expected for any period in the future.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Upstart is the leading AI lending marketplace. We aim to radically reduce the cost and complexity of borrowing for all Americans by using our proprietary AI models to remake the entire lending process. Upstart’s marketplace supports both unsecured and secured loans. Unsecured loans include personal loans, small dollar loans, and our new unsecured revolving credit product, Cash Line. Secured loans include auto loans – including retail, refinance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and auto secured personal loans – and HELOCs. Long-term, our vision is to become the always-on, everything-store for credit, where we can automatically approve borrowers at the right prices – instantly and effortlessly.</w:t>
      </w:r>
    </w:p>
    <w:p>
      <w:pPr>
        <w:spacing w:after="0" w:line="2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platform applies AI to more accurately quantify the true risk of a loan, a capability we refer to as “risk separation.” This differentiated approach to underwriting has generally led to higher approvals and lower interest rates relative to traditional lending practices, with more predictable returns to our capital partners including banks and credit unions (collectively our “lending partners”) and institutional investors. With this as the foundation, we’ve added layers of automation, macroeconomic calibration, and personalization that can support increasing scale and greater business resilience over time.</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Beyond core underwriting, we apply our proprietary AI models to other areas of our business, such as income and identity verification, fraud detection, and identifying loan stacking behavior, among others. The result is an exceptional digital-first experience with significant levels of automation. For example, during the nine months ended September 30, 2026, 91% of loans on our platform were fully automated, with no human intervention by Upstart. Consumer acquisition is another area where we apply our AI, making these activities increasingly efficient. Consumers primarily access Upstart-powered loans through Upstart.com and, for automotive retail in particular, through auto dealerships that use Upstart’s Auto Finance software.</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dynamic marketplace allows us to serve borrowers across the credit spectrum. Loans issued through our marketplace are purchased by our network of institutional investors, retained or purchased by our lending partners, or in certain instances, held on our balance sheet. Out of the total principal of loans facilitated on our marketplace during the nine months ended September 30, 2026, 64% were purchased by institutional investors, 30% were retained or purchased by our lending partners, and 6% were held on our balance sheet as of September 30, 2026. Investors may also invest in securities collateralized by Upstart-powered loans through our pass-through and securitization programs.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Institutional investors play an important role in our lending marketplace by providing capital for higher risk loans that may not be economically feasible for traditional banks and credit unions to hold. Today, more than 50% of the loan funding on our platform is through committed capital and other co-investment arrangements with institutional investors and lending partners, which provide valuable stability and resilience on the funding side of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22631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0" w:hanging="92"/>
        <w:spacing w:after="0"/>
        <w:tabs>
          <w:tab w:leader="none" w:pos="100"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Beginning in the second quarter of 2026, auto refinance loans are no longer offered on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retain certain loans on our balance sheet for R&amp;D purposes, including to test and evaluate our AI models for newer products and to aid in price discovery. As of September 30, 2026, 51% of loans held on our balance sheet were for R&amp;D purposes, primarily related to our seasoned auto refinance, auto retail loans and HELOCs, as well as newer products including small dollar loans and auto secured personal loans. As products develop and achieve market fit, we no longer consider them as R&amp;D. For example, beginning in the quarter ended June 30, 2026, newly originated auto refinance, auto retail loans and HELOCs were no longer classified as R&amp;D.</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also retain loans on our balance sheet for purposes unrelated to product development, including to bridge the timing between origination and sales of loans.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Credit Performance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consider credit performance of Upstart-powered loans to be one of the most important measures of the effectiveness of our AI models. Credit performance is influenced by multiple factors, including certain macroeconomic conditions that are not predicted by our AI models, and affects our business in three fundamental ways.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First, credit performance impacts the value of our assets and liabilities as well as our results of operations. For example, changes in credit performance affect the fair value of the loans held on our balance sheet, as well as the related adjustments and interest income recognized in our results of operations. Actual credit performance of the loans sold to third parties and changes in expected credit losses relative to our initial estimates at the time of origination or sale also affect the fair value of beneficial interests associated with our committed capital and other co-investment arrangements. For additional information on the impact of credit risk, including the impact to the fair value of our loans and beneficial interests, refer to Part I, Item 3, </w:t>
      </w:r>
      <w:r>
        <w:rPr>
          <w:rFonts w:ascii="Times New Roman" w:cs="Times New Roman" w:eastAsia="Times New Roman" w:hAnsi="Times New Roman"/>
          <w:sz w:val="18"/>
          <w:szCs w:val="18"/>
          <w:i w:val="1"/>
          <w:iCs w:val="1"/>
          <w:color w:val="auto"/>
        </w:rPr>
        <w:t xml:space="preserve">“Quantitative and Qualitative Disclosures About Market Risk” </w:t>
      </w:r>
      <w:r>
        <w:rPr>
          <w:rFonts w:ascii="Times New Roman" w:cs="Times New Roman" w:eastAsia="Times New Roman" w:hAnsi="Times New Roman"/>
          <w:sz w:val="18"/>
          <w:szCs w:val="18"/>
          <w:color w:val="auto"/>
        </w:rPr>
        <w:t>of this Quarterly Report on Form 10-Q.</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Second, our expectations for future credit performance inform the interest rates offered to borrowers on our marketplace and affect the number of loans we can approve on competitive terms. Because we have historically limited the maximum annual percentage rates offered on Upstart-powered loans, changes in expected credit losses can affect the number of loan offers we make and terms we offer. We use the UMI, discussed below under “</w:t>
      </w:r>
      <w:r>
        <w:rPr>
          <w:rFonts w:ascii="Times New Roman" w:cs="Times New Roman" w:eastAsia="Times New Roman" w:hAnsi="Times New Roman"/>
          <w:sz w:val="18"/>
          <w:szCs w:val="18"/>
          <w:i w:val="1"/>
          <w:iCs w:val="1"/>
          <w:color w:val="auto"/>
        </w:rPr>
        <w:t>Impact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Macroeconomic Environment</w:t>
      </w:r>
      <w:r>
        <w:rPr>
          <w:rFonts w:ascii="Times New Roman" w:cs="Times New Roman" w:eastAsia="Times New Roman" w:hAnsi="Times New Roman"/>
          <w:sz w:val="18"/>
          <w:szCs w:val="18"/>
          <w:color w:val="auto"/>
        </w:rPr>
        <w:t>,” to quantify the macroeconomic component of this risk.</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Third, the returns earned by our lending partners and institutional investors on Upstart-powered loans may affect their willingness to continue to provide capital to our marketplace. Capital providers generally evaluate these returns relative to alternative investment opportunities. As of September 30, 2026, an equal investment across the 12 recent quarterly vintages of Upstart-powered personal loans would have generated an average return, net of servicing fees, of approximately 660 basis points above yield on two-year U.S. Treasury securities, prevailing at each vintage’s origination. Each individual vintage exceeded the comparable Treasury yield by approximately 500 basis points or more, net of servicing fees.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Impact of Macroeconomic Environment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impacting credit performance, the macroeconomic environment has a direct and indirect impact on our business, financial condition, and results of operations. In an economic downturn, we believe consumer lending will generally contract. Lending partners and institutional investors will generally require higher rates of return, which in turn increases the interest rates offered to borrowers, leading to lower borrower demand. Macroeconomic factors can also cause fluctuations of available capital in our lending marketplace due to shifts in the risk preferences of our lending partners and institutional investors. We expect these dynamics would generally invert in an economic upswing.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respond to macroeconomic changes and provide relevant and up-to-date information to our lending partners, we introduced a new metric, the UMI, in 2023. As of September 30, 2026, UMI remained elevated, measured at approximately 1.50, meaning that current macroeconomic conditions contributed an incremental risk of approximately 50% to the repayment performance of an Upstart-powered unsecured personal loan, compared to the baseline measurement of 1.0. Subsequent to September 30, 2026, UMI increased to approximately 1.53, indicating an incremental increase in macroeconomic risk.</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Operating and Non-GAAP Financial Metrics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focus on several key operating and Non-GAAP financial metrics to measure the performance of our business and help determine strategic direction. The following presents our key operating and financial metrics: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8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17"/>
                <w:szCs w:val="17"/>
                <w:color w:val="auto"/>
              </w:rPr>
            </w:pPr>
          </w:p>
        </w:tc>
        <w:tc>
          <w:tcPr>
            <w:tcW w:w="298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44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r>
      <w:tr>
        <w:trPr>
          <w:trHeight w:val="239"/>
        </w:trPr>
        <w:tc>
          <w:tcPr>
            <w:tcW w:w="4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7"/>
        </w:trPr>
        <w:tc>
          <w:tcPr>
            <w:tcW w:w="4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Originations, Dollars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2,854,296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4,117,800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7,808,302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11,790,116</w:t>
            </w:r>
          </w:p>
        </w:tc>
      </w:tr>
      <w:tr>
        <w:trPr>
          <w:trHeight w:val="229"/>
        </w:trPr>
        <w:tc>
          <w:tcPr>
            <w:tcW w:w="4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Originations, Number of Loans</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428,056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574,089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1,041,361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1,557,459</w:t>
            </w:r>
          </w:p>
        </w:tc>
      </w:tr>
      <w:tr>
        <w:trPr>
          <w:trHeight w:val="229"/>
        </w:trPr>
        <w:tc>
          <w:tcPr>
            <w:tcW w:w="4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Conversion Rate</w:t>
            </w:r>
            <w:r>
              <w:rPr>
                <w:rFonts w:ascii="Times New Roman" w:cs="Times New Roman" w:eastAsia="Times New Roman" w:hAnsi="Times New Roman"/>
                <w:sz w:val="23"/>
                <w:szCs w:val="23"/>
                <w:color w:val="auto"/>
                <w:vertAlign w:val="superscript"/>
              </w:rPr>
              <w:t>(2)</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Loans Fully Automated</w:t>
            </w:r>
          </w:p>
        </w:tc>
        <w:tc>
          <w:tcPr>
            <w:tcW w:w="38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r>
      <w:tr>
        <w:trPr>
          <w:trHeight w:val="270"/>
        </w:trPr>
        <w:tc>
          <w:tcPr>
            <w:tcW w:w="44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29"/>
        </w:trPr>
        <w:tc>
          <w:tcPr>
            <w:tcW w:w="4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Contribution Profit</w:t>
            </w:r>
            <w:r>
              <w:rPr>
                <w:rFonts w:ascii="Times New Roman" w:cs="Times New Roman" w:eastAsia="Times New Roman" w:hAnsi="Times New Roman"/>
                <w:sz w:val="23"/>
                <w:szCs w:val="23"/>
                <w:color w:val="auto"/>
                <w:vertAlign w:val="superscript"/>
              </w:rPr>
              <w:t>(3)</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147,406</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217,970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390,321</w:t>
            </w:r>
          </w:p>
        </w:tc>
        <w:tc>
          <w:tcPr>
            <w:tcW w:w="8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548,375</w:t>
            </w:r>
          </w:p>
        </w:tc>
      </w:tr>
      <w:tr>
        <w:trPr>
          <w:trHeight w:val="230"/>
        </w:trPr>
        <w:tc>
          <w:tcPr>
            <w:tcW w:w="44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i w:val="1"/>
                <w:iCs w:val="1"/>
                <w:color w:val="auto"/>
              </w:rPr>
              <w:t>Contribution Margin</w:t>
            </w:r>
            <w:r>
              <w:rPr>
                <w:rFonts w:ascii="Times New Roman" w:cs="Times New Roman" w:eastAsia="Times New Roman" w:hAnsi="Times New Roman"/>
                <w:sz w:val="23"/>
                <w:szCs w:val="23"/>
                <w:i w:val="1"/>
                <w:iCs w:val="1"/>
                <w:color w:val="auto"/>
                <w:vertAlign w:val="superscript"/>
              </w:rPr>
              <w:t>(3)</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44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(3)</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71,162</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89,332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166,792</w:t>
            </w:r>
          </w:p>
        </w:tc>
        <w:tc>
          <w:tcPr>
            <w:tcW w:w="8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206,706</w:t>
            </w:r>
          </w:p>
        </w:tc>
      </w:tr>
      <w:tr>
        <w:trPr>
          <w:trHeight w:val="229"/>
        </w:trPr>
        <w:tc>
          <w:tcPr>
            <w:tcW w:w="44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i w:val="1"/>
                <w:iCs w:val="1"/>
                <w:color w:val="auto"/>
              </w:rPr>
              <w:t>Adjusted EBITDA Margin</w:t>
            </w:r>
            <w:r>
              <w:rPr>
                <w:rFonts w:ascii="Times New Roman" w:cs="Times New Roman" w:eastAsia="Times New Roman" w:hAnsi="Times New Roman"/>
                <w:sz w:val="23"/>
                <w:szCs w:val="23"/>
                <w:i w:val="1"/>
                <w:iCs w:val="1"/>
                <w:color w:val="auto"/>
                <w:vertAlign w:val="superscript"/>
              </w:rPr>
              <w:t>(3)</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w:t>
      </w:r>
    </w:p>
    <w:p>
      <w:pPr>
        <w:spacing w:after="0" w:line="7" w:lineRule="exact"/>
        <w:rPr>
          <w:sz w:val="20"/>
          <w:szCs w:val="20"/>
          <w:color w:val="auto"/>
        </w:rPr>
      </w:pPr>
    </w:p>
    <w:p>
      <w:pPr>
        <w:ind w:left="480" w:hanging="472"/>
        <w:spacing w:after="0"/>
        <w:tabs>
          <w:tab w:leader="none" w:pos="4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Originations, Number of Loans, is shown in ones for the periods presented.</w:t>
      </w:r>
    </w:p>
    <w:p>
      <w:pPr>
        <w:spacing w:after="0" w:line="11" w:lineRule="exact"/>
        <w:rPr>
          <w:rFonts w:ascii="Times New Roman" w:cs="Times New Roman" w:eastAsia="Times New Roman" w:hAnsi="Times New Roman"/>
          <w:sz w:val="14"/>
          <w:szCs w:val="14"/>
          <w:color w:val="auto"/>
        </w:rPr>
      </w:pPr>
    </w:p>
    <w:p>
      <w:pPr>
        <w:jc w:val="both"/>
        <w:ind w:left="500" w:hanging="492"/>
        <w:spacing w:after="0" w:line="254" w:lineRule="auto"/>
        <w:tabs>
          <w:tab w:leader="none" w:pos="49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in the fourth quarter of 2025, we revised the definition and underlying calculation methodology of Conversion Rate. Prior period figures have been recast to conform to the new definition and methodology. For additional information regarding this change, see “Key Operating and Non-GAAP Financial Metrics” in our Annual Report on Form 10-K for the year ended December 31, 2025.</w:t>
      </w:r>
    </w:p>
    <w:p>
      <w:pPr>
        <w:spacing w:after="0" w:line="1" w:lineRule="exact"/>
        <w:rPr>
          <w:rFonts w:ascii="Times New Roman" w:cs="Times New Roman" w:eastAsia="Times New Roman" w:hAnsi="Times New Roman"/>
          <w:sz w:val="14"/>
          <w:szCs w:val="14"/>
          <w:color w:val="auto"/>
        </w:rPr>
      </w:pPr>
    </w:p>
    <w:p>
      <w:pPr>
        <w:ind w:left="500" w:hanging="492"/>
        <w:spacing w:after="0" w:line="283" w:lineRule="auto"/>
        <w:tabs>
          <w:tab w:leader="none" w:pos="49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non-GAAP financial measure. See the section titled “</w:t>
      </w:r>
      <w:r>
        <w:rPr>
          <w:rFonts w:ascii="Times New Roman" w:cs="Times New Roman" w:eastAsia="Times New Roman" w:hAnsi="Times New Roman"/>
          <w:sz w:val="14"/>
          <w:szCs w:val="14"/>
          <w:i w:val="1"/>
          <w:iCs w:val="1"/>
          <w:color w:val="auto"/>
        </w:rPr>
        <w:t>Management’s Discussion and Analysis of Financial Condition and Results of Operations—Reconciliation of Non-GAAP Financial Measures</w:t>
      </w:r>
      <w:r>
        <w:rPr>
          <w:rFonts w:ascii="Times New Roman" w:cs="Times New Roman" w:eastAsia="Times New Roman" w:hAnsi="Times New Roman"/>
          <w:sz w:val="14"/>
          <w:szCs w:val="14"/>
          <w:color w:val="auto"/>
        </w:rPr>
        <w:t>” for further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Originations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Beginning in the second quarter of 2026, we refer to the metrics “Transaction Volume, Dollars” and “Transaction Volume, Number of Loans” as “Originations, Dollars” and “Originations, Number of Loans,” respectively, to reflect management’s internal terminology. We define Originations, Dollars as the aggregate of: (i) the total principal of loan originations for personal loans, small dollar loans, and auto loans, (ii) committed amounts for HELOCs, and (iii) drawn amounts for unsecured revolving credit lines (Cash Line), in each case facilitated on our marketplace during the periods presented. We define Originations, Number of Loans as the total number of such originations, commitments, and draws, as applicable, facilitated on our marketplace during the periods presented. We believe these metrics are good proxies for our overall scale and reach as a marketplace.</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Cash Line, we count each draw, rather than the establishment of the credit line, because draws represent the customer’s use of the product and more closely reflect the marketplace activity from which we generate ongoing fees.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Originations are driven by improvements in our AI models and technology, including our ability to streamline and automate the loan application and origination process. Originations can also be driven by several other factors, including borrower acceptance rates and their sensitivity to the interest rates offered through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platform. Originations are dependent on the availability of platform funding which is influenced by factors such as volatility in the capital markets and macroeconomic conditions.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Originations, Dollars increased 44% in the three months ended September 30, 2026 compared to the same period of 2025, and increased 51% in the nine months ended September 30, 2026 compared to the same period of 2025. Originations, Number of Loans increased 34% and 50% in the three and nine months ended September 30, 2026 compared to the same period of 2025, respectively. These increases were primarily due to model improvements, product initiatives, and increased traffic across our marketing channels. The increase in Originations, Number of Loans was lower than the increase in Originations, Dollars due to the increase in average loan size, primarily reflecting a higher proportion of auto loans and HELOCs and a lower proportion of small dollar loans in the origination mix.</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Rate</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define Conversion Rate as the Originations, Number of Loans in a period divided by the total number of rate inquiries received that we estimate to be legitimate, which we record when a borrower actively requests a loan offer on our platform. We track this metric to understand the impact of improvements to the efficiency of our borrower funnel on our overall growth. Cash Line is excluded because those borrowers may make multiple draws after the line has been initially approved, and those subsequent draws do not represent additional conversions.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Historically, our Conversion Rate has benefited from improvements to our technology, which have made our evaluation of risk more accurate and our verification process more automated, or from the addition of capital partners that have made our offers more competitive. However, our Conversion Rate can be impacted by a variety of internal factors such as changes in the amount of platform and referral fees we charge, changes in the rate of returns we target for our lending partners and institutional investors, or changes in products we offer or borrower segments we serve. External factors such as shifts in macroeconomic conditions, including interest rate changes, also impact our Conversion Rate. Our ability to continue to improve our Conversion Rate depends in part on our ability to continue to improve our AI models and Percentage of Loans Fully Automated and the mix of marketing channels in any given period.</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Conversion Rate decreased to 18.6% and 18.9% in the three and nine months ended September 30, 2026, respectively, from 19.4% in both the three and nine months ended September 30, 2025, primarily driven by our continued expansion into broader borrower segments, which increased application volumes at a faster rate than originations as we maintained disciplined underwriting.</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regularly evaluate the key operating metrics we use to help investors assess our business and periodically consider whether they continue to provide meaningful insight into our operating performance. As part of this evaluation, we have determined that Conversion Rate, which we have disclosed as an indicator of the efficiency of our borrower funnel dating back to our initial public offering, no longer meaningfully reflects the performance of our business, including our revenue and operating results.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determination reflects the evolution of our business, including the expansion of our product portfolio. Accordingly, we plan to continue reporting Conversion Rate in our Forms 10-Q and 10-K through the remainder of fiscal year 2026 as a transition period, and we do not intend to report this metric beginning with our Quarterly Report on Form 10-Q for the quarter ending March 31, 2027.</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our products and services continue to evolve, we expect to continue evaluating our key operating metrics disclosures to ensure they remain aligned with how management assesses the business. We may determine to modify, add to, or eliminate certain of our current key operating metrics in future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Percentage of Loans Fully Automated</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driver of our Contribution Margin and operating efficiency is the Percentage of Loans Fully Automated, which is defined as the total number of loans in a given period originated end-to-end with no human involvement required by the Company divided by the Originations, Number of Loans in the same period. Cash Line is excluded because those borrowers may make multiple draws after the line has been initially approved, and those subsequent draws do not represent additional automation. Under this definition, “originated end-to-end” means (i) from initial rate request to final funding for personal loans, including small dollar loans, and (ii) from initial rate request to loan approval for auto loans and HELOCs, due to certain jurisdictions’ local requirements and external dependencies that require human action prior to funding.</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been successful in increasing the level of loan automation on the platform over the years while simultaneously holding fraud rates at very low levels. We believe this growth has been driven in part by our ability to streamline and automate the loan application and origination process on our platform. As we expand our loan offerings, however, this percentage may fluctuate from period to period depending on the loan offering mix and other factors.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Percentage of Loans Fully Automated decreased to 90% for the three months ended September 30, 2026 from 91% for the same period in 2025, and remained unchanged at 91% for the nine months ended September 30, 2025 and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 Profit and Contribution Margin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use Contribution Profit and Contribution Margin as part of our overall assessment of performance, including the preparation of our annual operating budget and quarterly forecasts, to evaluate the effectiveness of our business strategies, and to communicate with our Board of Directors concerning our financial performance. We believe Contribution Profit and Contribution Margin are useful to investors for year-to-year comparisons of our business and in evaluating and understanding our operating results and ability to scale. Contribution Profit and Contribution Margin are also useful to investors because our management uses Contribution Profit and Contribution Margin, in conjunction with financial measures prepared in accordance with GAAP, to evaluate our operating results and financial performance and the effectiveness of our strategies.</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Contribution Profit and Contribution Margin have limitations as analytical tools, and should not be considered in isolation or as a substitute for analysis of our results as reported under GAAP. Contribution Profit and Contribution Margin are not GAAP financial measures of, nor do they imply, profitability. Even if our revenue exceeds variable expenses over time, we may not be able to achieve or maintain profitability, and the relationship of revenue to variable expenses is not necessarily indicative of future performance. Contribution Profit and Contribution Margin reflect all expenses that we consider to be variable, which may involve some judgment and discretion around what costs vary directly with loan volume. Other companies that present contribution profit and contribution margin may calculate it differently and, therefore, similarly titled measures presented by other companies may not be directly comparable to ours.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derive Contribution Profit, we subtract the sum of borrower acquisition costs as well as borrower verification and servicing costs from revenue from fees, net. To calculate Contribution Margin we divide Contribution Profit by revenue from fees, net. Contribution Profit and Contribution Margin may fluctuate between periods due to various factors, including changes in the product mix of loans originated on our platform and marketing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calculation of Contribution Profit and Contribution Margin:</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7"/>
                <w:szCs w:val="17"/>
                <w:color w:val="auto"/>
              </w:rPr>
            </w:pPr>
          </w:p>
        </w:tc>
        <w:tc>
          <w:tcPr>
            <w:tcW w:w="312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4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fees, net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258,539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364,030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684,791</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989,112</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Borrower acquisition costs</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(67,262)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(91,197)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(176,759)</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(285,738)</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Borrower verification and servicing costs</w:t>
            </w:r>
            <w:r>
              <w:rPr>
                <w:rFonts w:ascii="Times New Roman" w:cs="Times New Roman" w:eastAsia="Times New Roman" w:hAnsi="Times New Roman"/>
                <w:sz w:val="23"/>
                <w:szCs w:val="23"/>
                <w:color w:val="auto"/>
                <w:vertAlign w:val="superscript"/>
              </w:rPr>
              <w:t>(2)</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(43,871)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(54,863)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(117,711)</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(154,999)</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direct expenses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(111,133)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(146,060)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(294,470)</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(440,737)</w:t>
            </w:r>
          </w:p>
        </w:tc>
        <w:tc>
          <w:tcPr>
            <w:tcW w:w="0" w:type="dxa"/>
            <w:vAlign w:val="bottom"/>
          </w:tcPr>
          <w:p>
            <w:pPr>
              <w:spacing w:after="0"/>
              <w:rPr>
                <w:sz w:val="1"/>
                <w:szCs w:val="1"/>
                <w:color w:val="auto"/>
              </w:rPr>
            </w:pPr>
          </w:p>
        </w:tc>
      </w:tr>
      <w:tr>
        <w:trPr>
          <w:trHeight w:val="248"/>
        </w:trPr>
        <w:tc>
          <w:tcPr>
            <w:tcW w:w="4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Contribution Profit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147,406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217,970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390,321</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548,375</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i w:val="1"/>
                <w:iCs w:val="1"/>
                <w:color w:val="auto"/>
              </w:rPr>
              <w:t>Contribution Margin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9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_______</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00" w:hanging="492"/>
        <w:spacing w:after="0" w:line="249" w:lineRule="auto"/>
        <w:tabs>
          <w:tab w:leader="none" w:pos="49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w:t>
      </w:r>
    </w:p>
    <w:p>
      <w:pPr>
        <w:jc w:val="both"/>
        <w:ind w:left="500" w:hanging="492"/>
        <w:spacing w:after="0" w:line="272" w:lineRule="auto"/>
        <w:tabs>
          <w:tab w:leader="none" w:pos="49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w:t>
      </w:r>
    </w:p>
    <w:p>
      <w:pPr>
        <w:spacing w:after="0" w:line="212"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Operations—Reconciliation of Non-GAAP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Measures</w:t>
      </w:r>
      <w:r>
        <w:rPr>
          <w:rFonts w:ascii="Times New Roman" w:cs="Times New Roman" w:eastAsia="Times New Roman" w:hAnsi="Times New Roman"/>
          <w:sz w:val="18"/>
          <w:szCs w:val="18"/>
          <w:color w:val="auto"/>
        </w:rPr>
        <w:t>” for a reconciliation of income from operations to Contribution Profit.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Adjusted EBITDA and Adjusted EBITDA Margin are useful for investors to use in comparing our financial performance with the performance of other companies for the following reasons:</w:t>
      </w:r>
    </w:p>
    <w:p>
      <w:pPr>
        <w:spacing w:after="0" w:line="54" w:lineRule="exact"/>
        <w:rPr>
          <w:sz w:val="20"/>
          <w:szCs w:val="20"/>
          <w:color w:val="auto"/>
        </w:rPr>
      </w:pPr>
    </w:p>
    <w:p>
      <w:pPr>
        <w:jc w:val="both"/>
        <w:ind w:left="980" w:hanging="324"/>
        <w:spacing w:after="0" w:line="250"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are widely used by investors and securities analysts to measure a company’s operating performance without regard to items such as depreciation, and interest expense, that can vary substantially from company to company depending upon their financing and capital structures, and the method by which assets were acquired; and</w:t>
      </w:r>
    </w:p>
    <w:p>
      <w:pPr>
        <w:spacing w:after="0" w:line="82"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eliminate the impact of certain items such as stock-based compensation expense and certain payroll tax expense, expense on convertible notes, gain on debt extinguishment, net gain on lease modification and reorganization expenses, as applicable, that may obscure trends in the underlying performance of our business; and</w:t>
      </w:r>
    </w:p>
    <w:p>
      <w:pPr>
        <w:spacing w:after="0" w:line="82" w:lineRule="exact"/>
        <w:rPr>
          <w:rFonts w:ascii="Times New Roman" w:cs="Times New Roman" w:eastAsia="Times New Roman" w:hAnsi="Times New Roman"/>
          <w:sz w:val="18"/>
          <w:szCs w:val="18"/>
          <w:color w:val="auto"/>
        </w:rPr>
      </w:pPr>
    </w:p>
    <w:p>
      <w:pPr>
        <w:ind w:left="980" w:hanging="324"/>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provide consistency and comparability with our past financial performance, and facilitate comparisons with other companies, many of which use similar non-GAAP financial measures to supplement their GAAP results.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calculate Adjusted EBITDA as net income (loss) adjusted to exclude stock-based compensation expense and certain payroll tax expenses, depreciation and amortization, expense on convertible notes, provision for income taxes, gain on debt extinguishment, net gain on lease modification and reorganization expenses, as applicable. We calculate Adjusted EBITDA Margin as Adjusted EBITDA divided by total revenue. Adjusted EBITDA and Adjusted EBITDA Margin include interest expense from warehouse and risk retention facilities which is incurred in the course of earning corresponding</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interest income. See 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Operations—Reconciliation of Non-GAAP Financial Measures</w:t>
      </w:r>
      <w:r>
        <w:rPr>
          <w:rFonts w:ascii="Times New Roman" w:cs="Times New Roman" w:eastAsia="Times New Roman" w:hAnsi="Times New Roman"/>
          <w:sz w:val="18"/>
          <w:szCs w:val="18"/>
          <w:color w:val="auto"/>
        </w:rPr>
        <w:t>” for a reconciliation of net income (loss) to Adjusted EBITDA and Adjusted EBITDA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Fees, Net</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Platform and Referral Fees, Net</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charge our lending partners platform fees in exchange for usage of our AI lending marketplace, which includes collection of loan application data, underwriting of credit risk, verification and fraud detection, and the delivery of electronic loan offers and associated documentation. We also charge referral fees to our lending partners in exchange for the referral of borrowers from Upstart.com. Referral fees are charged to lending partners on a per borrower basis upon origination of a loan. These fees are charged net of any fees the lending partner charges Upstart. Upstart pays these lending partners a one-time loan premium fee upon completion of the minimum holding periods. Upstart also pays certain lending partners monthly loan trailing fees based on the amount and timing of principal and interest payments made by borrowers of the underlying loans.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recognize subscription fees in relation to contracts with auto dealers for the use of Upstart Auto Finance software, a cloud-based solution that facilitates dealership operations and enables them to provide consumers with access to Upstart-powered auto loans. In addition, we recognize origination fees charged to our borrowers on HELOCs that we originate. Refer to “</w:t>
      </w:r>
      <w:r>
        <w:rPr>
          <w:rFonts w:ascii="Times New Roman" w:cs="Times New Roman" w:eastAsia="Times New Roman" w:hAnsi="Times New Roman"/>
          <w:sz w:val="18"/>
          <w:szCs w:val="18"/>
          <w:i w:val="1"/>
          <w:iCs w:val="1"/>
          <w:color w:val="auto"/>
        </w:rPr>
        <w:t>Note 2. Revenue</w:t>
      </w:r>
      <w:r>
        <w:rPr>
          <w:rFonts w:ascii="Times New Roman" w:cs="Times New Roman" w:eastAsia="Times New Roman" w:hAnsi="Times New Roman"/>
          <w:sz w:val="18"/>
          <w:szCs w:val="18"/>
          <w:color w:val="auto"/>
        </w:rPr>
        <w:t>” in Part I, Item 1 of this Quarterly Report on Form 10-Q for more information.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Servicing and Other Fees, Net</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Servicing fees are calculated as a percentage of outstanding principal and are charged monthly to lending partners and institutional investors, including securitization trusts and pass-through entities, that hold loans facilitated through our marketplace. These fees compensate us for servicing activities performed throughout the loan term, including collection, processing and reconciliations of payments received, institutional investor reporting and borrower customer support. Servicing fees are recorded net of any gains, losses or changes to fair value recognized in the underlying servicing rights and obligations, which are carried as assets and liabilities on our condensed consolidated balance sheets. Upstart currently acts as servicer for substantially all outstanding loans facilitated through our marketplace. Borrower payment collections for loans that are more than 30 days past due or charged off may be outsourced to third-party collection agencies. Upstart charges lending partners and institutional investors for collection agency fees related to their outstanding loan portfolio. Upstart also receives certain ancillary fees on a per transaction basis inclusive of late payment fees and ACH fail fees.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Loan Sales Fees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charge our third-party loan purchasers fees for facilitating certain forward-flow loan sales. These fees are recognized as part of the sales proceeds received and represent the difference between the net assets received and the par value of the loans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Fair Value Adjustments, Net</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Interest income, interest expense, and fair value adjustments, net is comprised of interest income, interest expense and net changes in the fair value of financial instruments held on our condensed consolidated balance sheets as part of our ongoing operating activities, excluding loan servicing assets and liabilities. Interest income, interest expense, and fair value adjustments, net includes realized gain or loss on the sale of loans. For the three and nine months ended September 30, 2026, interest income, interest expense, and fair value adjustments, net also includes coupon interest expense and amortization of debt issuance costs related to our convertible senior notes and dividend income earned on certain cash accounts, which were previously included in other income, net. Refer to </w:t>
      </w:r>
      <w:r>
        <w:rPr>
          <w:rFonts w:ascii="Times New Roman" w:cs="Times New Roman" w:eastAsia="Times New Roman" w:hAnsi="Times New Roman"/>
          <w:sz w:val="18"/>
          <w:szCs w:val="18"/>
          <w:i w:val="1"/>
          <w:iCs w:val="1"/>
          <w:color w:val="auto"/>
        </w:rPr>
        <w:t>“Note 1. Description of Business and Significant Accounting Policies”</w:t>
      </w:r>
      <w:r>
        <w:rPr>
          <w:rFonts w:ascii="Times New Roman" w:cs="Times New Roman" w:eastAsia="Times New Roman" w:hAnsi="Times New Roman"/>
          <w:sz w:val="18"/>
          <w:szCs w:val="18"/>
          <w:color w:val="auto"/>
        </w:rPr>
        <w:t xml:space="preserve"> in Part I, Item 1 of this Quarterly Report on Form 10-Q for additional information. Interest income, interest expense, and fair value adjustments, net can fluctuate based on the fair value of financial instruments held on our condensed consolidated balance sheets. This amount has historically been a small percentage of our total revenue, and we do not manage our business with a focus on growing this component of revenue.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Sales and marketing expenses primarily consist of costs incurred across various advertising channels, including expenses for partnerships with third 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These costs are recognized in the period incurred. We expect that our sales and marketing expenses will generally fluctuate as a percentage of our total revenue from period to period and may increase as we hire additional sales and marketing personnel, increase our marketing activities and build greater brand awareness.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Operations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Customer operations expenses include payroll and other personnel-related expenses, including stock-based compensation expense, for personnel engaged in borrower onboarding, loan servicing, customer support and other operational teams. These costs also include systems, third-party services and tools we use as part of loan servicing, information verification, fraud detection and payment processing activities. These costs are recognized in the period incurred. We expect that our customer operations expenses will generally fluctuate as a percentage of our total revenue from period to period, and may increase in absolute dollars as we expand our portfolio.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and Product Development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Engineering and product development expenses primarily consist of payroll and other personnel-related expenses, including stock-based compensation expense, for the engineering and product development teams as well as the costs of systems and tools used by these teams. These costs are recognized in the period incurred. We expect that our engineering and product development expenses will generally fluctuate as a percentage of our total revenue from period to period, and may increase in absolute dollars as we expand our engineering and product development team to continue to improve our AI models and develop new products and product enhancements.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Administrative and Other</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administrative and other expenses consist primarily of payroll and other personnel-related expenses, including stock-based compensation expense, for legal and compliance, finance and accounting, human resources and facilities teams, as well as depreciation and amortization of property, equipment, software, and intangibles, professional services fees, facilities and travel expenses. These costs are recognized in the period incurred. We expect to increase the size of our general and administrative function to support the further growth of our business. As a result, we expect that our general, administrative and other expenses will increase in absolute dollars but may fluctuate as a percentage of our total revenue from period to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Other income, net primarily consists of dividend income earned on certain restricted cash balances. For the three and nine months ended September 30, 2025, other income, net included dividend income earned on all unrestricted cash and cash equivalents and restricted cash balances, as well as expense on convertible notes, comprised of coupon interest expense and amortization of debt issuance costs related to our convertible senior notes. For the three and nine months ended September 30, 2026, dividend income earned on certain cash accounts and expense on convertible notes are presented within interest income, interest expense, and fair value adjustments, net. Refer to </w:t>
      </w:r>
      <w:r>
        <w:rPr>
          <w:rFonts w:ascii="Times New Roman" w:cs="Times New Roman" w:eastAsia="Times New Roman" w:hAnsi="Times New Roman"/>
          <w:sz w:val="18"/>
          <w:szCs w:val="18"/>
          <w:i w:val="1"/>
          <w:iCs w:val="1"/>
          <w:color w:val="auto"/>
        </w:rPr>
        <w:t>“Note 1. Description of Business and Significant Accounting Policies”</w:t>
      </w:r>
      <w:r>
        <w:rPr>
          <w:rFonts w:ascii="Times New Roman" w:cs="Times New Roman" w:eastAsia="Times New Roman" w:hAnsi="Times New Roman"/>
          <w:sz w:val="18"/>
          <w:szCs w:val="18"/>
          <w:color w:val="auto"/>
        </w:rPr>
        <w:t xml:space="preserve"> in Part I, Item 1 of this Quarterly Report on Form 10-Q for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Debt Extinguishment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August 2021, we issued $661.3 million in aggregate principal amount of 0.25% convertible senior notes due 2026 (the “2026 Notes”). Gain on debt extinguishment consists of the gain recognized from the repurchase of a portion of the outstanding 2026 Notes during the third quarter of 2025. Refer to </w:t>
      </w:r>
      <w:r>
        <w:rPr>
          <w:rFonts w:ascii="Times New Roman" w:cs="Times New Roman" w:eastAsia="Times New Roman" w:hAnsi="Times New Roman"/>
          <w:sz w:val="18"/>
          <w:szCs w:val="18"/>
          <w:i w:val="1"/>
          <w:iCs w:val="1"/>
          <w:color w:val="auto"/>
        </w:rPr>
        <w:t>“Note 8. Borrowings”</w:t>
      </w:r>
      <w:r>
        <w:rPr>
          <w:rFonts w:ascii="Times New Roman" w:cs="Times New Roman" w:eastAsia="Times New Roman" w:hAnsi="Times New Roman"/>
          <w:sz w:val="18"/>
          <w:szCs w:val="18"/>
          <w:color w:val="auto"/>
        </w:rPr>
        <w:t xml:space="preserve"> in Part I, Item 1 of this Quarterly Report on Form 10-Q for further details on our Notes.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Results of Operations</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798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historical condensed consolidated statements of operations data:</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46"/>
        </w:trPr>
        <w:tc>
          <w:tcPr>
            <w:tcW w:w="4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24"/>
                <w:szCs w:val="24"/>
                <w:color w:val="auto"/>
              </w:rPr>
            </w:pPr>
          </w:p>
        </w:tc>
        <w:tc>
          <w:tcPr>
            <w:tcW w:w="290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4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r>
      <w:tr>
        <w:trPr>
          <w:trHeight w:val="239"/>
        </w:trPr>
        <w:tc>
          <w:tcPr>
            <w:tcW w:w="4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7"/>
        </w:trPr>
        <w:tc>
          <w:tcPr>
            <w:tcW w:w="4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fees,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258,539</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364,030</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684,791</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989,112</w:t>
            </w:r>
          </w:p>
        </w:tc>
      </w:tr>
      <w:tr>
        <w:trPr>
          <w:trHeight w:val="175"/>
        </w:trPr>
        <w:tc>
          <w:tcPr>
            <w:tcW w:w="46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Interest income, interest expense, and fair value</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net:</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0"/>
        </w:trPr>
        <w:tc>
          <w:tcPr>
            <w:tcW w:w="4640" w:type="dxa"/>
            <w:vAlign w:val="bottom"/>
          </w:tcPr>
          <w:p>
            <w:pPr>
              <w:ind w:left="560"/>
              <w:spacing w:after="0" w:line="230" w:lineRule="exact"/>
              <w:rPr>
                <w:sz w:val="20"/>
                <w:szCs w:val="20"/>
                <w:color w:val="auto"/>
              </w:rPr>
            </w:pPr>
            <w:r>
              <w:rPr>
                <w:rFonts w:ascii="Times New Roman" w:cs="Times New Roman" w:eastAsia="Times New Roman" w:hAnsi="Times New Roman"/>
                <w:sz w:val="18"/>
                <w:szCs w:val="18"/>
                <w:color w:val="auto"/>
              </w:rPr>
              <w:t>Interest income</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143,394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169,673</w:t>
            </w:r>
          </w:p>
        </w:tc>
      </w:tr>
      <w:tr>
        <w:trPr>
          <w:trHeight w:val="230"/>
        </w:trPr>
        <w:tc>
          <w:tcPr>
            <w:tcW w:w="4640" w:type="dxa"/>
            <w:vAlign w:val="bottom"/>
            <w:shd w:val="clear" w:color="auto" w:fill="CCEEFF"/>
          </w:tcPr>
          <w:p>
            <w:pPr>
              <w:ind w:left="560"/>
              <w:spacing w:after="0" w:line="230"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(23,586)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(35,780)</w:t>
            </w:r>
          </w:p>
        </w:tc>
      </w:tr>
      <w:tr>
        <w:trPr>
          <w:trHeight w:val="229"/>
        </w:trPr>
        <w:tc>
          <w:tcPr>
            <w:tcW w:w="46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Fair value and other adjustments, net</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(56,832)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(79,561)</w:t>
            </w:r>
          </w:p>
        </w:tc>
      </w:tr>
      <w:tr>
        <w:trPr>
          <w:trHeight w:val="155"/>
        </w:trPr>
        <w:tc>
          <w:tcPr>
            <w:tcW w:w="4640" w:type="dxa"/>
            <w:vAlign w:val="bottom"/>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Total interest income, interest expense, and fair value</w:t>
            </w:r>
          </w:p>
        </w:tc>
        <w:tc>
          <w:tcPr>
            <w:tcW w:w="1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243"/>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net</w:t>
            </w:r>
          </w:p>
        </w:tc>
        <w:tc>
          <w:tcPr>
            <w:tcW w:w="1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18,566</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6,492</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62,976</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54,332</w:t>
            </w:r>
          </w:p>
        </w:tc>
      </w:tr>
      <w:tr>
        <w:trPr>
          <w:trHeight w:val="223"/>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277,105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370,522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747,767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1,043,444</w:t>
            </w:r>
          </w:p>
        </w:tc>
      </w:tr>
      <w:tr>
        <w:trPr>
          <w:trHeight w:val="210"/>
        </w:trPr>
        <w:tc>
          <w:tcPr>
            <w:tcW w:w="46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78,844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102,080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210,919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321,047</w:t>
            </w:r>
          </w:p>
        </w:tc>
      </w:tr>
      <w:tr>
        <w:trPr>
          <w:trHeight w:val="230"/>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operations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136,537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179,753</w:t>
            </w:r>
          </w:p>
        </w:tc>
      </w:tr>
      <w:tr>
        <w:trPr>
          <w:trHeight w:val="230"/>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92,652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190,689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266,624</w:t>
            </w:r>
          </w:p>
        </w:tc>
      </w:tr>
      <w:tr>
        <w:trPr>
          <w:trHeight w:val="230"/>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185,910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232,900</w:t>
            </w:r>
          </w:p>
        </w:tc>
      </w:tr>
      <w:tr>
        <w:trPr>
          <w:trHeight w:val="223"/>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253,439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724,055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1,000,324</w:t>
            </w: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43,120</w:t>
            </w: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w:t>
            </w: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31,929</w:t>
            </w: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37,243</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35,167</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47,834</w:t>
            </w: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36,578</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46,471</w:t>
            </w:r>
          </w:p>
        </w:tc>
      </w:tr>
      <w:tr>
        <w:trPr>
          <w:trHeight w:val="20"/>
        </w:trPr>
        <w:tc>
          <w:tcPr>
            <w:tcW w:w="4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21" w:lineRule="exact"/>
        <w:rPr>
          <w:sz w:val="20"/>
          <w:szCs w:val="20"/>
          <w:color w:val="auto"/>
        </w:rPr>
      </w:pPr>
    </w:p>
    <w:p>
      <w:pPr>
        <w:jc w:val="both"/>
        <w:ind w:left="500" w:hanging="492"/>
        <w:spacing w:after="0" w:line="254" w:lineRule="auto"/>
        <w:tabs>
          <w:tab w:leader="none" w:pos="49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the three and nine months ended September 30, 2026, interest income and interest expense include dividend income earned on certain cash accounts and expense on convertible notes, respectively, which were previously included in other income, net. Refer to </w:t>
      </w:r>
      <w:r>
        <w:rPr>
          <w:rFonts w:ascii="Times New Roman" w:cs="Times New Roman" w:eastAsia="Times New Roman" w:hAnsi="Times New Roman"/>
          <w:sz w:val="14"/>
          <w:szCs w:val="14"/>
          <w:i w:val="1"/>
          <w:iCs w:val="1"/>
          <w:color w:val="auto"/>
        </w:rPr>
        <w:t>“Note 1. Description of Business and Significant Accounting Policies”</w:t>
      </w:r>
      <w:r>
        <w:rPr>
          <w:rFonts w:ascii="Times New Roman" w:cs="Times New Roman" w:eastAsia="Times New Roman" w:hAnsi="Times New Roman"/>
          <w:sz w:val="14"/>
          <w:szCs w:val="14"/>
          <w:color w:val="auto"/>
        </w:rPr>
        <w:t xml:space="preserve"> in Part I, Item 1 of this Quarterly Report on Form 10-Q for additional information.</w:t>
      </w:r>
    </w:p>
    <w:p>
      <w:pPr>
        <w:spacing w:after="0" w:line="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stock-based compensation expense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266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60" w:type="dxa"/>
            <w:vAlign w:val="bottom"/>
            <w:gridSpan w:val="5"/>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6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r>
      <w:tr>
        <w:trPr>
          <w:trHeight w:val="223"/>
        </w:trPr>
        <w:tc>
          <w:tcPr>
            <w:tcW w:w="46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operations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w:t>
            </w:r>
          </w:p>
        </w:tc>
      </w:tr>
      <w:tr>
        <w:trPr>
          <w:trHeight w:val="27"/>
        </w:trPr>
        <w:tc>
          <w:tcPr>
            <w:tcW w:w="4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18,180</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58,140</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11,864</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17,325</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46,279</w:t>
            </w:r>
          </w:p>
        </w:tc>
      </w:tr>
      <w:tr>
        <w:trPr>
          <w:trHeight w:val="27"/>
        </w:trPr>
        <w:tc>
          <w:tcPr>
            <w:tcW w:w="46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8"/>
        </w:trPr>
        <w:tc>
          <w:tcPr>
            <w:tcW w:w="4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39,955</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119,232</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Fees,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revenue from fees, net in the periods shown: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3"/>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0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3"/>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vMerge w:val="continue"/>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vMerge w:val="continue"/>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55"/>
        </w:trPr>
        <w:tc>
          <w:tcPr>
            <w:tcW w:w="20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Platform and referral</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fees,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216,882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283,139</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570,702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791,823</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221,121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175"/>
        </w:trPr>
        <w:tc>
          <w:tcPr>
            <w:tcW w:w="2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Servicing and other fees,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29"/>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sales fees</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56"/>
        </w:trPr>
        <w:tc>
          <w:tcPr>
            <w:tcW w:w="2020" w:type="dxa"/>
            <w:vAlign w:val="bottom"/>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revenue from</w:t>
            </w:r>
          </w:p>
        </w:tc>
        <w:tc>
          <w:tcPr>
            <w:tcW w:w="24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258,539</w:t>
            </w:r>
          </w:p>
        </w:tc>
        <w:tc>
          <w:tcPr>
            <w:tcW w:w="100" w:type="dxa"/>
            <w:vAlign w:val="bottom"/>
          </w:tcPr>
          <w:p>
            <w:pPr>
              <w:spacing w:after="0"/>
              <w:rPr>
                <w:sz w:val="13"/>
                <w:szCs w:val="13"/>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364,030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684,791</w:t>
            </w:r>
          </w:p>
        </w:tc>
        <w:tc>
          <w:tcPr>
            <w:tcW w:w="100" w:type="dxa"/>
            <w:vAlign w:val="bottom"/>
          </w:tcPr>
          <w:p>
            <w:pPr>
              <w:spacing w:after="0"/>
              <w:rPr>
                <w:sz w:val="13"/>
                <w:szCs w:val="13"/>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989,112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fees, net</w:t>
            </w:r>
          </w:p>
        </w:tc>
        <w:tc>
          <w:tcPr>
            <w:tcW w:w="24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Revenue from fees, net increased $105.5 million, or 41%, in the three months ended September 30, 2026, compared to the same period in 2025, which included an increase of $66.3 million in revenue from platform and referral fees, net, an increase of $28.2 million in servicing and other fees, net, and an increase of $11.1 million in loan sales fees. The increase in platform and referral fees, net was primarily driven by a 44% increase in Originations, Dollars from $2,854.3 million in the three months ended September 30, 2025 to $4,117.8 million in the same period in 2026, partially offset by higher loan premium fees and loan trailing fees. The increase in servicing and other fees, net was primarily driven by an increase in the outstanding principal of serviced loans, an increase in net gain on servicing rights upon loan sales, as well as an increase in borrower fees. The increase in loan sales fees was driven by increased volumes of forward-flow sales subject to these fees, which are recognized as part of the sales proceeds received during the three months ended September 30, 2026.</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Revenue from fees, net increased $304.3 million, or 44%, in the nine months ended September 30, 2026, compared to the same period in 2025, which included an increase of $221.1 million in revenue from platform and referral fees, net, an increase of $59.6 million in servicing and other fees, net, and an increase of $23.6 million in loan sales fees. The increase in platform and referral fees, net was primarily driven by a 51% increase in the Originations, Dollars from $7,808.3 million in the nine months ended September 30, 2025 to $11,790.1 million in the same period in 2026, partially offset by higher loan premium fees and loan trailing fees. The increase in servicing and other fees, net was primarily driven by an increase in outstanding principal of serviced loans, an increase in net gain on servicing rights upon loan sales, as well as an increase in borrower fees. The increase in loan</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9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sales fees was driven by increased volumes of forward-flow sales subject to these fees, which are recognized as part of the sales proceeds received during the nine months ended September 30,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Fair Value Adjustments, Net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vMerge w:val="continue"/>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vMerge w:val="continue"/>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20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Operating entities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53,327</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129,941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162,968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75"/>
        </w:trPr>
        <w:tc>
          <w:tcPr>
            <w:tcW w:w="20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Fair value adjustments,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Consolidated</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securitization entities:</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175"/>
        </w:trPr>
        <w:tc>
          <w:tcPr>
            <w:tcW w:w="20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Fair value adjustments,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Company:</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75"/>
        </w:trPr>
        <w:tc>
          <w:tcPr>
            <w:tcW w:w="20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Fair value adjustments,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(29,843)</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(7,347)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(56,832)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(79,561)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(22,729)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55"/>
        </w:trPr>
        <w:tc>
          <w:tcPr>
            <w:tcW w:w="20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interest income,</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interest expense, and fair</w:t>
            </w: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18,566</w:t>
            </w:r>
          </w:p>
        </w:tc>
        <w:tc>
          <w:tcPr>
            <w:tcW w:w="8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62,976</w:t>
            </w:r>
          </w:p>
        </w:tc>
        <w:tc>
          <w:tcPr>
            <w:tcW w:w="10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value adjustments, net</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480" w:hanging="472"/>
        <w:spacing w:after="0"/>
        <w:tabs>
          <w:tab w:leader="none" w:pos="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balances recognized by entities participating in ongoing operating activities of the Company, excluding entities associated with the UPST 2023-2 consolidated securitization.</w:t>
      </w:r>
    </w:p>
    <w:p>
      <w:pPr>
        <w:spacing w:after="0" w:line="23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Interest income, interest expense, and fair value adjustments, net decreased $12.1 million, or 65% in the three months ended September 30, 2026, compared to the same period in 2025. The decrease was driven by a $7.3 million increase in unfavorable fair value adjustments, a $4.1 million increase in interest expense, and a $0.6 million decrease in interest income. The increase in unfavorable fair value adjustments is attributable to an $11.3 million increase in unrealized losses and loan charge-offs, and a $2.9 million increase in realized losses on loan sales during the three months ended September 30, 2026 compared to the same period in 2025, partially offset by a $6.9 million decrease in fair value and realized losses on beneficial interests. The increase in interest expense was due to $5.0 million expense on convertible senior notes incurred during the three months ended September 30, 2026, which was previously included in other income, net, partially offset by a $0.7 million decrease in interest expense recognized by consolidated securitization entities due to lower payable to securitization note holders during the period, and a $0.2 million net decrease in interest expense on borrowing facilities and loans recognized by operating entities. The decrease in interest income was primarily due to the decrease in the balance of loans held on the condensed consolidated balance sheets, as well as a decrease in the balance of loans held in the consolidated securitization during the period, partially offset by dividend income earned on certain cash accounts during the three months ended September 30, 2026, which was previously included in other income, net, and an increase in balance of notes receivable and residual certificates held on the condensed consolidated balance sheets by operating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Interest income, interest expense, and fair value adjustments, net decreased $8.6 million, or 14% in the nine months ended September 30, 2026, compared to the same period in 2025. The decrease was driven by a $22.7 million increase in unfavorable fair value adjustments and a $12.2 million increase in interest expense, partially offset by a $26.3 million increase in interest income. The increase in unfavorable fair value adjustments is attributable to an $18.1 million increase in realized losses on loan sales, a $4.9 million increase in unrealized losses and loan charge-offs, partially offset by a $0.3 million decrease in fair value and realized losses on beneficial interests during the nine months ended September 30, 2026 compared to the same period in 2025. The increase in interest expense was primarily due to $15.2 million expense on convertible senior notes incurred during the nine months ended September 30, 2026, which was previously included in other income, net, partially offset by a $2.0 million decrease in interest expense recognized by consolidated securitization entities due to lower payable to securitization note holders during the period, and a $0.8 million net decrease in interest expense on borrowing facilities and loans recognized by operating entities. The increase in interest income was primarily due to the dividend income earned on certain cash accounts during the nine months ended September 30, 2026, which was previously included in other income, net, as well as the increase in balances of notes receivable and residual certificates held on the condensed consolidated balance sheets by operating entities, partially offset by a decrease in the balance of loans held in the consolidated securitization during the period.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24"/>
                <w:szCs w:val="24"/>
                <w:color w:val="auto"/>
              </w:rPr>
            </w:pPr>
          </w:p>
        </w:tc>
        <w:tc>
          <w:tcPr>
            <w:tcW w:w="1120" w:type="dxa"/>
            <w:vAlign w:val="bottom"/>
            <w:gridSpan w:val="3"/>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00" w:type="dxa"/>
            <w:vAlign w:val="bottom"/>
          </w:tcPr>
          <w:p>
            <w:pPr>
              <w:spacing w:after="0"/>
              <w:rPr>
                <w:sz w:val="24"/>
                <w:szCs w:val="24"/>
                <w:color w:val="auto"/>
              </w:rPr>
            </w:pPr>
          </w:p>
        </w:tc>
        <w:tc>
          <w:tcPr>
            <w:tcW w:w="1180" w:type="dxa"/>
            <w:vAlign w:val="bottom"/>
            <w:gridSpan w:val="3"/>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40" w:type="dxa"/>
            <w:vAlign w:val="bottom"/>
          </w:tcPr>
          <w:p>
            <w:pPr>
              <w:spacing w:after="0"/>
              <w:rPr>
                <w:sz w:val="21"/>
                <w:szCs w:val="21"/>
                <w:color w:val="auto"/>
              </w:rPr>
            </w:pPr>
          </w:p>
        </w:tc>
        <w:tc>
          <w:tcPr>
            <w:tcW w:w="1120" w:type="dxa"/>
            <w:vAlign w:val="bottom"/>
            <w:gridSpan w:val="3"/>
            <w:vMerge w:val="continue"/>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1"/>
                <w:szCs w:val="21"/>
                <w:color w:val="auto"/>
              </w:rPr>
            </w:pPr>
          </w:p>
        </w:tc>
        <w:tc>
          <w:tcPr>
            <w:tcW w:w="1180" w:type="dxa"/>
            <w:vAlign w:val="bottom"/>
            <w:gridSpan w:val="3"/>
            <w:vMerge w:val="continue"/>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78,844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102,080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210,919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321,047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110,128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36"/>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31 %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$23.2 million, or 29%, in the three months ended September 30, 2026 compared to the same period in 2025, which was driven primarily by a $23.9 million increase in advertising and borrower acquisition costs, partially offset by a $0.6 million decrease in payroll and other personnel-related expenses. As a percentage of total revenue, sales and marketing expenses remained unchanged at 28%.</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by $110.1 million, or 52%, in the nine months ended September 30, 2026 compared to the same period in 2025, which was driven primarily by a $109.0 million increase in advertising and borrower acquisition costs and a $1.7 million increase in payroll and other personnel-related expenses, partially offset by a $0.6 million decrease in marketing operation expenses. As a percentage of total revenue, sales and marketing expenses increased from 28% to 31%.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Operations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24"/>
                <w:szCs w:val="24"/>
                <w:color w:val="auto"/>
              </w:rPr>
            </w:pPr>
          </w:p>
        </w:tc>
        <w:tc>
          <w:tcPr>
            <w:tcW w:w="104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40" w:type="dxa"/>
            <w:vAlign w:val="bottom"/>
          </w:tcPr>
          <w:p>
            <w:pPr>
              <w:spacing w:after="0"/>
              <w:rPr>
                <w:sz w:val="24"/>
                <w:szCs w:val="24"/>
                <w:color w:val="auto"/>
              </w:rPr>
            </w:pPr>
          </w:p>
        </w:tc>
        <w:tc>
          <w:tcPr>
            <w:tcW w:w="1060" w:type="dxa"/>
            <w:vAlign w:val="bottom"/>
            <w:gridSpan w:val="3"/>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1"/>
                <w:szCs w:val="21"/>
                <w:color w:val="auto"/>
              </w:rPr>
            </w:pPr>
          </w:p>
        </w:tc>
        <w:tc>
          <w:tcPr>
            <w:tcW w:w="1040" w:type="dxa"/>
            <w:vAlign w:val="bottom"/>
            <w:gridSpan w:val="3"/>
            <w:vMerge w:val="continue"/>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4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1060" w:type="dxa"/>
            <w:vAlign w:val="bottom"/>
            <w:gridSpan w:val="3"/>
            <w:vMerge w:val="continue"/>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9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operations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49,790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63,339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136,537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179,753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43,216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6"/>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jc w:val="both"/>
        <w:ind w:firstLine="551"/>
        <w:spacing w:after="0" w:line="266" w:lineRule="auto"/>
        <w:rPr>
          <w:sz w:val="20"/>
          <w:szCs w:val="20"/>
          <w:color w:val="auto"/>
        </w:rPr>
      </w:pPr>
      <w:r>
        <w:rPr>
          <w:rFonts w:ascii="Times New Roman" w:cs="Times New Roman" w:eastAsia="Times New Roman" w:hAnsi="Times New Roman"/>
          <w:sz w:val="18"/>
          <w:szCs w:val="18"/>
          <w:color w:val="auto"/>
        </w:rPr>
        <w:t>Customer operations expenses increased by $13.5 million, or 27%, in the three months ended September 30, 2026, compared to the same period in 2025. The increase was primarily due to an $8.1 million increase in information verification expenses and systems expenses, a $4.0 million increase in servicing expenses, and a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million increase in payroll and other personnel-related expenses. As a percentage of total revenue, customer operations expenses decreased from 18% to 17%.</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Customer operations expenses increased by $43.2 million, or 32%, in the nine months ended September 30, 2026, compared to the same period in 2025. The increase was primarily due to a $25.2 million increase in information verification expenses and systems expenses, a $9.7 million increase in servicing expenses, and a $7.9 million increase in payroll and other personnel-related expenses. As a percentage of total revenue, customer operations expenses decreased from 18% to 17%.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and Product Development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7"/>
                <w:szCs w:val="17"/>
                <w:color w:val="auto"/>
              </w:rPr>
            </w:pPr>
          </w:p>
        </w:tc>
        <w:tc>
          <w:tcPr>
            <w:tcW w:w="1020" w:type="dxa"/>
            <w:vAlign w:val="bottom"/>
            <w:gridSpan w:val="3"/>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80" w:type="dxa"/>
            <w:vAlign w:val="bottom"/>
          </w:tcPr>
          <w:p>
            <w:pPr>
              <w:spacing w:after="0"/>
              <w:rPr>
                <w:sz w:val="17"/>
                <w:szCs w:val="17"/>
                <w:color w:val="auto"/>
              </w:rPr>
            </w:pPr>
          </w:p>
        </w:tc>
        <w:tc>
          <w:tcPr>
            <w:tcW w:w="1040" w:type="dxa"/>
            <w:vAlign w:val="bottom"/>
            <w:gridSpan w:val="3"/>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4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21"/>
                <w:szCs w:val="21"/>
                <w:color w:val="auto"/>
              </w:rPr>
            </w:pPr>
          </w:p>
        </w:tc>
        <w:tc>
          <w:tcPr>
            <w:tcW w:w="1020" w:type="dxa"/>
            <w:vAlign w:val="bottom"/>
            <w:gridSpan w:val="3"/>
            <w:vMerge w:val="continue"/>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8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21"/>
                <w:szCs w:val="21"/>
                <w:color w:val="auto"/>
              </w:rPr>
            </w:pPr>
          </w:p>
        </w:tc>
        <w:tc>
          <w:tcPr>
            <w:tcW w:w="1040" w:type="dxa"/>
            <w:vAlign w:val="bottom"/>
            <w:gridSpan w:val="3"/>
            <w:vMerge w:val="continue"/>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56"/>
        </w:trPr>
        <w:tc>
          <w:tcPr>
            <w:tcW w:w="20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Engineering and product</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64,026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92,652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28,626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190,689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266,624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75,935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6"/>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Engineering and product development expenses increased by $28.6 million, or 45%, for the three months ended September 30, 2026, compared to the same period in 2025. The increase was primarily due to a $14.4 million increase in other engineering operating expenses driven by data and infrastructure costs and a $14.2 million increase in payroll and other personnel-related expenses consistent with the increase in headcount. As a percentage of total revenue, engineering and product development expenses increased from 23% to 25%.</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Engineering and product development expenses increased by $75.9 million, or 40%, for the nine months ended September 30, 2026, compared to the same period in 2025. The increase was primarily due to a $41.8 million increase in payroll and other personnel-related expenses consistent with the increase in headcount and a $34.1 million increase in other engineering operating expenses driven by data and infrastructure costs. As a percentage of total revenue, engineering and product development expenses remained unchanged at 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Administrative, and Other</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11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80" w:type="dxa"/>
            <w:vAlign w:val="bottom"/>
          </w:tcPr>
          <w:p>
            <w:pPr>
              <w:spacing w:after="0"/>
              <w:rPr>
                <w:sz w:val="18"/>
                <w:szCs w:val="18"/>
                <w:color w:val="auto"/>
              </w:rPr>
            </w:pPr>
          </w:p>
        </w:tc>
        <w:tc>
          <w:tcPr>
            <w:tcW w:w="10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0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1"/>
                <w:szCs w:val="21"/>
                <w:color w:val="auto"/>
              </w:rPr>
            </w:pPr>
          </w:p>
        </w:tc>
        <w:tc>
          <w:tcPr>
            <w:tcW w:w="1100" w:type="dxa"/>
            <w:vAlign w:val="bottom"/>
            <w:gridSpan w:val="3"/>
            <w:vMerge w:val="continue"/>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4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21"/>
                <w:szCs w:val="21"/>
                <w:color w:val="auto"/>
              </w:rPr>
            </w:pPr>
          </w:p>
        </w:tc>
        <w:tc>
          <w:tcPr>
            <w:tcW w:w="1080" w:type="dxa"/>
            <w:vAlign w:val="bottom"/>
            <w:gridSpan w:val="3"/>
            <w:vMerge w:val="continue"/>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55"/>
        </w:trPr>
        <w:tc>
          <w:tcPr>
            <w:tcW w:w="20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General, administrative,</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other</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60,779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76,452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15,673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26 %  $</w:t>
            </w:r>
          </w:p>
        </w:tc>
        <w:tc>
          <w:tcPr>
            <w:tcW w:w="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185,910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232,900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46,990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21 %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administrative, and other expenses increased by $15.7 million, or 26%, in the three months ended September 30, 2026, compared to the same period in 2025. The increase was primarily due to an $11.6 million increase in payroll and other personnel-related expenses consistent with the increase in headcount, a $2.4 million increase in professional fees and a $1.2 million increase in office and administrative operating related expenses. As a percentage of total revenue, general, administrative, and other expenses decreased from 22% to 21%.</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administrative, and other expenses increased by $47.0 million, or 25%, in the nine months ended September 30, 2026, compared to the same period in 2025. The increase was primarily due to a $37.1 million increase in payroll and other personnel-related expenses consistent with the increase in headcount, a $6.3 million increase in professional fees, and a $3.2 million increase in office and administrative operating related expenses. As a percentage of total revenue, general, administrative, and other expenses decreased from 25% to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24"/>
                <w:szCs w:val="24"/>
                <w:color w:val="auto"/>
              </w:rPr>
            </w:pPr>
          </w:p>
        </w:tc>
        <w:tc>
          <w:tcPr>
            <w:tcW w:w="1140" w:type="dxa"/>
            <w:vAlign w:val="bottom"/>
            <w:gridSpan w:val="3"/>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80" w:type="dxa"/>
            <w:vAlign w:val="bottom"/>
          </w:tcPr>
          <w:p>
            <w:pPr>
              <w:spacing w:after="0"/>
              <w:rPr>
                <w:sz w:val="24"/>
                <w:szCs w:val="24"/>
                <w:color w:val="auto"/>
              </w:rPr>
            </w:pPr>
          </w:p>
        </w:tc>
        <w:tc>
          <w:tcPr>
            <w:tcW w:w="1140" w:type="dxa"/>
            <w:vAlign w:val="bottom"/>
            <w:gridSpan w:val="3"/>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1"/>
                <w:szCs w:val="21"/>
                <w:color w:val="auto"/>
              </w:rPr>
            </w:pPr>
          </w:p>
        </w:tc>
        <w:tc>
          <w:tcPr>
            <w:tcW w:w="1140" w:type="dxa"/>
            <w:vAlign w:val="bottom"/>
            <w:gridSpan w:val="3"/>
            <w:vMerge w:val="continue"/>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21"/>
                <w:szCs w:val="21"/>
                <w:color w:val="auto"/>
              </w:rPr>
            </w:pPr>
          </w:p>
        </w:tc>
        <w:tc>
          <w:tcPr>
            <w:tcW w:w="1140" w:type="dxa"/>
            <w:vAlign w:val="bottom"/>
            <w:gridSpan w:val="3"/>
            <w:vMerge w:val="continue"/>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4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three months ended September 30, 2026, other income, net increased by $0.2 million, or 22%, compared to the same period in 2025. The increase was primarily driven by dividend income earned on certain cash accounts and expense on convertible notes, which were included within other income, net, for the three months ended September 30, 2025 compared to interest income and interest expense, for the three months ended September 30, 2026. Excluding the impact of this change, other income, net remained relatively consistent for the periods presented.</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nine months ended September 30, 2026, other income, net increased by $0.5 million, or 12%, compared to the same period in 2025. The increase was primarily driven by dividend income earned on certain cash accounts and expense on convertible notes, which were included within other income, net, for the nine months ended September 30, 2025 compared to interest income and interest expense, for the nine months ended September 30, 2026. Excluding the impact of this change, other income, net remained relatively consistent for the periods presented.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Debt Extinguishment</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64"/>
        </w:trPr>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gridSpan w:val="6"/>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65"/>
        </w:trPr>
        <w:tc>
          <w:tcPr>
            <w:tcW w:w="2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80" w:type="dxa"/>
            <w:vAlign w:val="bottom"/>
            <w:gridSpan w:val="6"/>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8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4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8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20" w:type="dxa"/>
            <w:vAlign w:val="bottom"/>
          </w:tcPr>
          <w:p>
            <w:pPr>
              <w:spacing w:after="0"/>
              <w:rPr>
                <w:sz w:val="23"/>
                <w:szCs w:val="23"/>
                <w:color w:val="auto"/>
              </w:rPr>
            </w:pPr>
          </w:p>
        </w:tc>
      </w:tr>
      <w:tr>
        <w:trPr>
          <w:trHeight w:val="264"/>
        </w:trPr>
        <w:tc>
          <w:tcPr>
            <w:tcW w:w="20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55"/>
        </w:trPr>
        <w:tc>
          <w:tcPr>
            <w:tcW w:w="20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Gain on debt</w:t>
            </w: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243"/>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extinguishment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(7,246)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(7,246)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3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three and nine months ended September 30, 2026, gain on debt extinguishment decreased by $7.2 million, or 100%, compared to the same periods in 2025. The decrease was due to a gain recognized on the repurchase of a portion of our 2026 Notes in 2025, with no gain on debt extinguishment recognized in 2026.</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supplement our condensed consolidated financial statements prepared and presented in accordance with GAAP, we use the non-GAAP financial measures of Contribution Profit, Contribution Margin, Adjusted EBITDA, and Adjusted EBITDA Margin to provide investors with additional information about our financial performance and to enhance the overall understanding of our past performance and future prospects. We are presenting these non-GAAP financial measures because we believe they provide an additional tool for investors to use in comparing our core financial performance over multiple years with the performance of other companies.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However, 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condensed consolidated financial statements prepared and presented in accordance with GAAP.</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particular, some of the limitations with respect to Adjusted EBITDA and Adjusted EBITDA Margin are as follows:</w:t>
      </w:r>
    </w:p>
    <w:p>
      <w:pPr>
        <w:spacing w:after="0" w:line="117" w:lineRule="exact"/>
        <w:rPr>
          <w:sz w:val="20"/>
          <w:szCs w:val="20"/>
          <w:color w:val="auto"/>
        </w:rPr>
      </w:pPr>
    </w:p>
    <w:p>
      <w:pPr>
        <w:jc w:val="both"/>
        <w:ind w:left="980" w:hanging="324"/>
        <w:spacing w:after="0" w:line="258"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expense is a non-cash charge, the assets being depreciated may have to be replaced in the future, and Adjusted EBITDA and Adjusted EBITDA Margin do not reflect cash capital expenditure requirements for such replacements or for new capital expenditure requirements;</w:t>
      </w:r>
    </w:p>
    <w:p>
      <w:pPr>
        <w:spacing w:after="0" w:line="61" w:lineRule="exact"/>
        <w:rPr>
          <w:rFonts w:ascii="Times New Roman" w:cs="Times New Roman" w:eastAsia="Times New Roman" w:hAnsi="Times New Roman"/>
          <w:sz w:val="18"/>
          <w:szCs w:val="18"/>
          <w:color w:val="auto"/>
        </w:rPr>
      </w:pPr>
    </w:p>
    <w:p>
      <w:pPr>
        <w:jc w:val="both"/>
        <w:ind w:left="980" w:hanging="324"/>
        <w:spacing w:after="0" w:line="246"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exclude stock-based compensation expense and certain employer payroll taxes on employee stock transactions. Stock-based compensation expense has been, and will continue to be for the foreseeable future, a significant recurring expense for our business and an important part of our compensation strategy. The amount of employer payroll tax-related expense on employee stock transactions is dependent on our stock price and other factors that are beyond our control and do not correlate to the operation of the business;</w:t>
      </w:r>
    </w:p>
    <w:p>
      <w:pPr>
        <w:spacing w:after="0" w:line="86"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 and</w:t>
      </w:r>
    </w:p>
    <w:p>
      <w:pPr>
        <w:spacing w:after="0" w:line="82"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and other items that we exclude in our calculation of Adjusted EBITDA and Adjusted EBITDA Margin may differ from the expenses and other items, if any, that other companies may exclude from adjusted EBITDA and adjusted EBITDA margin when they report their operating results.</w:t>
      </w:r>
    </w:p>
    <w:p>
      <w:pPr>
        <w:spacing w:after="0" w:line="2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address these limitations, we provide a reconciliation of Contribution Profit, Contribution Margin, Adjusted EBITDA, and Adjusted EBITDA Margin to income (loss) from operations and net income (loss). We encourage investors and others to review our financial information in its entirety, not to rely on any single financial measure and to view Contribution Profit, Contribution Margin, Adjusted EBITDA, and Adjusted EBITDA Margin in conjunction with their respective related GAAP financial measures.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 Profit and Contribution Margin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income from operations to Contribution Profit and Contribution Margin. We define Operating Margin as our income from operations divided by revenue from fees, net.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20"/>
                <w:szCs w:val="20"/>
                <w:color w:val="auto"/>
              </w:rPr>
            </w:pPr>
          </w:p>
        </w:tc>
        <w:tc>
          <w:tcPr>
            <w:tcW w:w="310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4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fees, net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258,539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364,030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684,791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989,112</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23,666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35,999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23,712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43,120</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176"/>
        </w:trPr>
        <w:tc>
          <w:tcPr>
            <w:tcW w:w="4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Sales and marketing, net of borrower acquisition</w:t>
            </w: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costs</w:t>
            </w:r>
            <w:r>
              <w:rPr>
                <w:rFonts w:ascii="Times New Roman" w:cs="Times New Roman" w:eastAsia="Times New Roman" w:hAnsi="Times New Roman"/>
                <w:sz w:val="23"/>
                <w:szCs w:val="23"/>
                <w:color w:val="auto"/>
                <w:vertAlign w:val="superscript"/>
              </w:rPr>
              <w:t>(1)</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11,582</w:t>
            </w:r>
          </w:p>
        </w:tc>
        <w:tc>
          <w:tcPr>
            <w:tcW w:w="8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10,883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34,160</w:t>
            </w:r>
          </w:p>
        </w:tc>
        <w:tc>
          <w:tcPr>
            <w:tcW w:w="10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35,309</w:t>
            </w:r>
          </w:p>
        </w:tc>
        <w:tc>
          <w:tcPr>
            <w:tcW w:w="0" w:type="dxa"/>
            <w:vAlign w:val="bottom"/>
          </w:tcPr>
          <w:p>
            <w:pPr>
              <w:spacing w:after="0"/>
              <w:rPr>
                <w:sz w:val="1"/>
                <w:szCs w:val="1"/>
                <w:color w:val="auto"/>
              </w:rPr>
            </w:pPr>
          </w:p>
        </w:tc>
      </w:tr>
      <w:tr>
        <w:trPr>
          <w:trHeight w:val="175"/>
        </w:trPr>
        <w:tc>
          <w:tcPr>
            <w:tcW w:w="4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Customer operations, net of borrower verification and</w:t>
            </w: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servicing costs</w:t>
            </w:r>
            <w:r>
              <w:rPr>
                <w:rFonts w:ascii="Times New Roman" w:cs="Times New Roman" w:eastAsia="Times New Roman" w:hAnsi="Times New Roman"/>
                <w:sz w:val="23"/>
                <w:szCs w:val="23"/>
                <w:color w:val="auto"/>
                <w:vertAlign w:val="superscript"/>
              </w:rPr>
              <w:t>(2)</w:t>
            </w: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5,919</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8,476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18,826</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24,754</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3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64,026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92,652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190,689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266,624</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60,779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76,452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185,910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232,900</w:t>
            </w: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income, interest expense, and fair value</w:t>
            </w: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net</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(18,566)</w:t>
            </w: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(6,492)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(62,976)</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(54,332)</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Contribution Profit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147,406</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217,970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390,321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548,375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i w:val="1"/>
                <w:iCs w:val="1"/>
                <w:color w:val="auto"/>
              </w:rPr>
              <w:t>Contribution Margin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jc w:val="both"/>
        <w:ind w:left="500" w:hanging="492"/>
        <w:spacing w:after="0" w:line="255" w:lineRule="auto"/>
        <w:tabs>
          <w:tab w:leader="none" w:pos="49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acquisition costs were $67.3 million, and $91.2 million for the three months ended September 30, 2025 and 2026, respectively, and were $176.8 million and $285.7 million for the nine months ended September 30, 2025 and 2026, respectively. 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w:t>
      </w:r>
    </w:p>
    <w:p>
      <w:pPr>
        <w:spacing w:after="0" w:line="1" w:lineRule="exact"/>
        <w:rPr>
          <w:rFonts w:ascii="Times New Roman" w:cs="Times New Roman" w:eastAsia="Times New Roman" w:hAnsi="Times New Roman"/>
          <w:sz w:val="14"/>
          <w:szCs w:val="14"/>
          <w:color w:val="auto"/>
        </w:rPr>
      </w:pPr>
    </w:p>
    <w:p>
      <w:pPr>
        <w:jc w:val="both"/>
        <w:ind w:left="500" w:hanging="492"/>
        <w:spacing w:after="0" w:line="268" w:lineRule="auto"/>
        <w:tabs>
          <w:tab w:leader="none" w:pos="49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verification and servicing costs were $43.9 million, and $54.9 million for the three months ended September 30, 2025 and 2026, respectively, and were $117.7 million and $155.0 million for the nine months ended September 30, 2025 and 2026,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income and Net Income Margin to Adjusted EBITDA and Adjusted EBITDA Margin. We define Net Income Margin as net income divided by total revenue.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20"/>
                <w:szCs w:val="20"/>
                <w:color w:val="auto"/>
              </w:rPr>
            </w:pPr>
          </w:p>
        </w:tc>
        <w:tc>
          <w:tcPr>
            <w:tcW w:w="312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277,105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370,522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747,767</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1,043,444</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31,805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36,578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34,965</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46,471</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Net Income Margin</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14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Stock-based compensation and certain payroll tax</w:t>
            </w: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40" w:type="dxa"/>
            <w:vAlign w:val="bottom"/>
            <w:shd w:val="clear" w:color="auto" w:fill="CCEEFF"/>
          </w:tcPr>
          <w:p>
            <w:pPr>
              <w:ind w:left="140"/>
              <w:spacing w:after="0" w:line="237"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35,404</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40,945</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105,681</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122,938</w:t>
            </w:r>
          </w:p>
        </w:tc>
        <w:tc>
          <w:tcPr>
            <w:tcW w:w="0" w:type="dxa"/>
            <w:vAlign w:val="bottom"/>
          </w:tcPr>
          <w:p>
            <w:pPr>
              <w:spacing w:after="0"/>
              <w:rPr>
                <w:sz w:val="1"/>
                <w:szCs w:val="1"/>
                <w:color w:val="auto"/>
              </w:rPr>
            </w:pPr>
          </w:p>
        </w:tc>
      </w:tr>
      <w:tr>
        <w:trPr>
          <w:trHeight w:val="230"/>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6,131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6,119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18,374</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19,103</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expenses</w:t>
            </w: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1,678</w:t>
            </w:r>
          </w:p>
        </w:tc>
        <w:tc>
          <w:tcPr>
            <w:tcW w:w="0" w:type="dxa"/>
            <w:vAlign w:val="bottom"/>
          </w:tcPr>
          <w:p>
            <w:pPr>
              <w:spacing w:after="0"/>
              <w:rPr>
                <w:sz w:val="1"/>
                <w:szCs w:val="1"/>
                <w:color w:val="auto"/>
              </w:rPr>
            </w:pPr>
          </w:p>
        </w:tc>
      </w:tr>
      <w:tr>
        <w:trPr>
          <w:trHeight w:val="230"/>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 on convertible notes</w:t>
            </w:r>
          </w:p>
        </w:tc>
        <w:tc>
          <w:tcPr>
            <w:tcW w:w="3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4,944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5,025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14,816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15,153</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(7,246)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(7,246)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248"/>
        </w:trPr>
        <w:tc>
          <w:tcPr>
            <w:tcW w:w="4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71,162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89,332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166,792</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206,706</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i w:val="1"/>
                <w:iCs w:val="1"/>
                <w:color w:val="auto"/>
              </w:rPr>
              <w:t>Adjusted EBITDA Margin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500" w:hanging="492"/>
        <w:spacing w:after="0" w:line="278" w:lineRule="auto"/>
        <w:tabs>
          <w:tab w:leader="none" w:pos="49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Payroll tax expenses include the employer payroll tax-related expense on employee stock transactions, as the amount is dependent on our stock price and other factors that are beyond our control and do not correlate to the operation of our business.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 and Cash Equivalents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2026, our primary source of liquidity was cash and cash equivalents of $461.5 million. Changes in the balance of cash and cash equivalents are generally a result of working capital fluctuations and the timing of purchases and sales of loans facilitated through our marketplace. To finance purchases of certain loans facilitated through our lending marketplace, we rely on our warehouse credit facilities through special-purpose trusts and corporate cash. We also rely on our risk retention credit facility to finance certain notes receivable retained in our capacity as the risk retention sponsor.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we repurchased 3.2 million shares of common stock for $100.1 million. As of September 30, 2026, $122.1 million remains available for future purchases of our common stock under our share repurchase program. Refer to “</w:t>
      </w:r>
      <w:r>
        <w:rPr>
          <w:rFonts w:ascii="Times New Roman" w:cs="Times New Roman" w:eastAsia="Times New Roman" w:hAnsi="Times New Roman"/>
          <w:sz w:val="18"/>
          <w:szCs w:val="18"/>
          <w:i w:val="1"/>
          <w:iCs w:val="1"/>
          <w:color w:val="auto"/>
        </w:rPr>
        <w:t>Note 9. 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in Part I, Item 1 of this Quarterly Report on Form 10-Q for further details on our share repurchase program.</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entered into an “at the market” offering program pursuant to which we may offer and sell, from time to time, shares of our common stock with an aggregate offering price of up to $500.0 million, as described in the prospectus supplement dated February 14, 2025 filed with the SEC. As of September 30, 2026, no shares were issued under the program.</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convertible senior notes have an aggregate principal balance of $1,621.3 million which matures between 2029 to 2032, unless earlier converted, redeemed, or repurchased in accordance with their terms. Refer to “</w:t>
      </w:r>
      <w:r>
        <w:rPr>
          <w:rFonts w:ascii="Times New Roman" w:cs="Times New Roman" w:eastAsia="Times New Roman" w:hAnsi="Times New Roman"/>
          <w:sz w:val="18"/>
          <w:szCs w:val="18"/>
          <w:i w:val="1"/>
          <w:iCs w:val="1"/>
          <w:color w:val="auto"/>
        </w:rPr>
        <w:t>Note 8. Borrowings</w:t>
      </w:r>
      <w:r>
        <w:rPr>
          <w:rFonts w:ascii="Times New Roman" w:cs="Times New Roman" w:eastAsia="Times New Roman" w:hAnsi="Times New Roman"/>
          <w:sz w:val="18"/>
          <w:szCs w:val="18"/>
          <w:color w:val="auto"/>
        </w:rPr>
        <w:t>” in Part I, Item 1 of this Quarterly Report on Form 10-Q for further details on our Notes.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warehouse credit facilities, which mature between October 2027 and June 2029, allow us to borrow up to an aggregate of $650.0 million. Subsequent to September 30, 2026, Upstart Auto Warehouse Trust 2 was amended to set the scheduled maturity date to March 2027. Our risk retention financing facility, which allows us to borrow up to $200.0 million, has a maturity which aligns with the stated maturities of the underlying securitization notes receivable pledged as collateral, which range from 2033 to 2036. As of September 30, 2026, we have drawn an aggregate of $327.6 million on our warehouse credit facilities and $105.3 million on our risk retention financing facility. Refer to “</w:t>
      </w:r>
      <w:r>
        <w:rPr>
          <w:rFonts w:ascii="Times New Roman" w:cs="Times New Roman" w:eastAsia="Times New Roman" w:hAnsi="Times New Roman"/>
          <w:sz w:val="18"/>
          <w:szCs w:val="18"/>
          <w:i w:val="1"/>
          <w:iCs w:val="1"/>
          <w:color w:val="auto"/>
        </w:rPr>
        <w:t>Note 8. Borrowings</w:t>
      </w:r>
      <w:r>
        <w:rPr>
          <w:rFonts w:ascii="Times New Roman" w:cs="Times New Roman" w:eastAsia="Times New Roman" w:hAnsi="Times New Roman"/>
          <w:sz w:val="18"/>
          <w:szCs w:val="18"/>
          <w:color w:val="auto"/>
        </w:rPr>
        <w:t>” in Part I, Item 1 of this Quarterly Report on Form 10-Q for further details on our borrowings.</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October 2026, we entered into a $200.0 million senior secured revolving credit facility and borrowed $175.0 million under the facility. Refer to “</w:t>
      </w:r>
      <w:r>
        <w:rPr>
          <w:rFonts w:ascii="Times New Roman" w:cs="Times New Roman" w:eastAsia="Times New Roman" w:hAnsi="Times New Roman"/>
          <w:sz w:val="18"/>
          <w:szCs w:val="18"/>
          <w:i w:val="1"/>
          <w:iCs w:val="1"/>
          <w:color w:val="auto"/>
        </w:rPr>
        <w:t>Note 15. Subsequent Events</w:t>
      </w:r>
      <w:r>
        <w:rPr>
          <w:rFonts w:ascii="Times New Roman" w:cs="Times New Roman" w:eastAsia="Times New Roman" w:hAnsi="Times New Roman"/>
          <w:sz w:val="18"/>
          <w:szCs w:val="18"/>
          <w:color w:val="auto"/>
        </w:rPr>
        <w:t>” in Part I, Item 1 of this Quarterly Report on Form 10-Q for further details.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cash requirements related to operating lease agreements are $80.8 million, of which $7.8 million is expected to be paid within the next 12 months. Refer to “</w:t>
      </w:r>
      <w:r>
        <w:rPr>
          <w:rFonts w:ascii="Times New Roman" w:cs="Times New Roman" w:eastAsia="Times New Roman" w:hAnsi="Times New Roman"/>
          <w:sz w:val="18"/>
          <w:szCs w:val="18"/>
          <w:i w:val="1"/>
          <w:iCs w:val="1"/>
          <w:color w:val="auto"/>
        </w:rPr>
        <w:t>Note 10. Leases</w:t>
      </w:r>
      <w:r>
        <w:rPr>
          <w:rFonts w:ascii="Times New Roman" w:cs="Times New Roman" w:eastAsia="Times New Roman" w:hAnsi="Times New Roman"/>
          <w:sz w:val="18"/>
          <w:szCs w:val="18"/>
          <w:color w:val="auto"/>
        </w:rPr>
        <w:t>” in Part I, Item 1 of this Quarterly Report on Form 10-Q for further details on our operating lease obligations.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committed to purchase loans from certain lending partners at the conclusion of the required holding period, which is generally three business days. As of September 30, 2026, the total loan purchase commitment was $152.5 million. The Company also has commitments to fund future advances on HELOCs. As of September 30, 2026, these commitments were $21.2 million; however, since we can limit these commitments under certain conditions or these commitments could expire without being drawn upon, the total commitment amounts do not necessarily represent future cash requirements. See “</w:t>
      </w:r>
      <w:r>
        <w:rPr>
          <w:rFonts w:ascii="Times New Roman" w:cs="Times New Roman" w:eastAsia="Times New Roman" w:hAnsi="Times New Roman"/>
          <w:sz w:val="18"/>
          <w:szCs w:val="18"/>
          <w:i w:val="1"/>
          <w:iCs w:val="1"/>
          <w:color w:val="auto"/>
        </w:rPr>
        <w:t>Note 11. Commitments and Contingencies</w:t>
      </w:r>
      <w:r>
        <w:rPr>
          <w:rFonts w:ascii="Times New Roman" w:cs="Times New Roman" w:eastAsia="Times New Roman" w:hAnsi="Times New Roman"/>
          <w:sz w:val="18"/>
          <w:szCs w:val="18"/>
          <w:color w:val="auto"/>
        </w:rPr>
        <w:t>” in Part I, Item 1 of this Quarterly Report on Form 10-Q for further details on our commitments.</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our committed capital and other co-investment arrangements, we are obligated to put a certain amount of our assets at risk in relation to the credit performance of the underlying loans. The risk in these arrangements is subject to a dollar cap, which represents our maximum exposure to losses under severe, hypothetical circumstances, for which we believe the possibility is remote. As of September 30, 2026, our aggregate maximum exposure to losses was $1,499.1 million. Refer to “</w:t>
      </w:r>
      <w:r>
        <w:rPr>
          <w:rFonts w:ascii="Times New Roman" w:cs="Times New Roman" w:eastAsia="Times New Roman" w:hAnsi="Times New Roman"/>
          <w:sz w:val="18"/>
          <w:szCs w:val="18"/>
          <w:i w:val="1"/>
          <w:iCs w:val="1"/>
          <w:color w:val="auto"/>
        </w:rPr>
        <w:t>Note 4. Beneficial Interests</w:t>
      </w:r>
      <w:r>
        <w:rPr>
          <w:rFonts w:ascii="Times New Roman" w:cs="Times New Roman" w:eastAsia="Times New Roman" w:hAnsi="Times New Roman"/>
          <w:sz w:val="18"/>
          <w:szCs w:val="18"/>
          <w:color w:val="auto"/>
        </w:rPr>
        <w:t>” in Part I, Item 1 of this Quarterly Report on Form 10-Q for further details. Our cash requirements for the next 12 months related to investments in these existing arrangements is estimated to be up to $354.7 million from cash and cash equivalents and up to $26.2 million from restricted cash.</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we believe that our cash and cash equivalents on hand will be sufficient to meet our liquidity needs for at least the next 12 months, our future capital requirements will depend on multiple factors, including our revenue growth, working capital requirements, volume of loan purchases for product development purposes or during market downturns, and our capital expenditures. Additionally, we have repurchased, and may in the future repurchase, shares of our common stock under our share repurchase program. We may decide to raise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capital through the sale of equity, equity-linked or debt securities or other debt financing arrangements.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Further, if we are unable to raise additional capital when our cash and cash equivalents balances and cash generated by operations are insufficient to satisfy liquidity needs, our results of operations and financial condition would be materially and adversely impacted.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during the periods indicated:</w:t>
      </w:r>
    </w:p>
    <w:p>
      <w:pPr>
        <w:spacing w:after="0" w:line="302" w:lineRule="exact"/>
        <w:rPr>
          <w:sz w:val="20"/>
          <w:szCs w:val="20"/>
          <w:color w:val="auto"/>
        </w:rPr>
      </w:pPr>
    </w:p>
    <w:p>
      <w:pPr>
        <w:jc w:val="center"/>
        <w:ind w:left="770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770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22860</wp:posOffset>
            </wp:positionV>
            <wp:extent cx="22371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7"/>
        </w:trPr>
        <w:tc>
          <w:tcPr>
            <w:tcW w:w="7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(256,277)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(289,681)</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80" w:type="dxa"/>
            <w:vAlign w:val="bottom"/>
          </w:tcPr>
          <w:p>
            <w:pPr>
              <w:spacing w:after="0"/>
              <w:rPr>
                <w:sz w:val="19"/>
                <w:szCs w:val="19"/>
                <w:color w:val="auto"/>
              </w:rPr>
            </w:pPr>
          </w:p>
        </w:tc>
        <w:tc>
          <w:tcPr>
            <w:tcW w:w="134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(308,909)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212,144</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425,828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148,993</w:t>
            </w:r>
          </w:p>
        </w:tc>
      </w:tr>
      <w:tr>
        <w:trPr>
          <w:trHeight w:val="223"/>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color w:val="auto"/>
                <w:w w:val="99"/>
              </w:rPr>
              <w:t>(139,358)</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71,456</w:t>
            </w:r>
          </w:p>
        </w:tc>
      </w:tr>
      <w:tr>
        <w:trPr>
          <w:trHeight w:val="21"/>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Operating Activities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main sources of cash provided by operating activities is revenue from fees earned under contracts with lending partners and institutional investors and interest income we receive for loans held on our balance sheet.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main uses of cash in our operating activities include payments to marketing partners, vendor payments, payroll and other personnel-related expenses, payments for facilities, and other general business expenditures.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$289.7 million for the nine months ended September 30, 2026, which consisted of $542.3 million net changes in operating assets and liabilities, adjustments for non-cash items of $206.1 million, and net income of $46.5 million. The increase in non-cash adjustments was primarily related to $119.2 million of stock-based compensation expense, $111.0 million of changes in fair value of loans, and $17.8 million of changes in fair value of servicing assets, partially offset by $37.5 million net gain on loan servicing rights from loan sales. The decrease in net changes in operating assets and liabilities was primarily related to $683.3 million net purchases and originations of loans held-for-sale, partially offset by $163.5 million in principal payments received for loans held-for-sale and loans held in consolidated securitization.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Investing Activities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$212.1 million for the nine months ended September 30, 2026 as a result of $289.8 million of principal payments received for loans held-for-investment and notes receivable, $180.9 million of net proceeds from beneficial interest assets (hybrid instruments), partially offset by $241.9 million of net purchase and origination of loans held-for-investment, and $13.0 million of capitalized software costs.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Financing Activities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$149.0 million for the nine months ended September 30, 2026 primarily due to $259.8 million of net proceeds from borrowings, and $59.1 million change in payables to investors, partially offset by $100.1 million of common stock repurchases and $66.5 million in repayments of the 2026 Notes at their maturity.</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Composition of Balance Sheet Loan Portfolio</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September 30, 2026, we held $940.7 million of loans on our condensed consolidated balance sheet. Of this amount, $429.2 million consisted of non-R&amp;D Loans, the majority of which would otherwise be purchased by third parties. We also held $482.6 million of R&amp;D Loans originated primarily to test and evaluate our AI models for new products and borrower segments and to aid in price discovery. In addition, we held $28.9 million of loans through the consolidated securitization. We will continue to utilize our capital to support R&amp;D activities and, at times, as a funding source for loans during periods of marketplace funding constraints or to bridge the timing between origination and sales of loans. The extent and timing of utilizing our capital as a funding source for loans will largely depend on the availability of capital in our marketplace relative to the demand from qualified borrowers and our business priorities. We plan to sell loans held on our balance sheet to lending partners and institutional investors over time in the form of secondary sales or securitizations and pass through issuances.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engage in activities that are not reflected on our condensed consolidated balance sheets, generally referred to as off-balance sheet arrangements. These activities involve transactions with unconsolidated VIEs, including sale of whole loans, committed capital and other co-investment arrangements, and securitization transactions, which we contractually service. We use these transactions to provide a source of liquidity to finance our business and to diversify our institutional investor base. If we are the retaining sponsor of a securitization transaction, we are required by law to retain at least 5% of the credit risk of the securities issued in these securitizations. We provide additional information regarding transactions with unconsolidated VIEs in “</w:t>
      </w:r>
      <w:r>
        <w:rPr>
          <w:rFonts w:ascii="Times New Roman" w:cs="Times New Roman" w:eastAsia="Times New Roman" w:hAnsi="Times New Roman"/>
          <w:sz w:val="18"/>
          <w:szCs w:val="18"/>
          <w:i w:val="1"/>
          <w:iCs w:val="1"/>
          <w:color w:val="auto"/>
        </w:rPr>
        <w:t>Note 3. Variable Interest Entities</w:t>
      </w:r>
      <w:r>
        <w:rPr>
          <w:rFonts w:ascii="Times New Roman" w:cs="Times New Roman" w:eastAsia="Times New Roman" w:hAnsi="Times New Roman"/>
          <w:sz w:val="18"/>
          <w:szCs w:val="18"/>
          <w:color w:val="auto"/>
        </w:rPr>
        <w:t>” in Part I, Item 1 of this Quarterly Report on Form 10-Q.</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requires us to make judgments,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20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Our critical accounting policies are described in Part II, Item 7, “</w:t>
      </w:r>
      <w:r>
        <w:rPr>
          <w:rFonts w:ascii="Times New Roman" w:cs="Times New Roman" w:eastAsia="Times New Roman" w:hAnsi="Times New Roman"/>
          <w:sz w:val="18"/>
          <w:szCs w:val="18"/>
          <w:i w:val="1"/>
          <w:iCs w:val="1"/>
          <w:color w:val="auto"/>
        </w:rPr>
        <w:t>Critical Accounting Policies and Estimates</w:t>
      </w:r>
      <w:r>
        <w:rPr>
          <w:rFonts w:ascii="Times New Roman" w:cs="Times New Roman" w:eastAsia="Times New Roman" w:hAnsi="Times New Roman"/>
          <w:sz w:val="18"/>
          <w:szCs w:val="18"/>
          <w:color w:val="auto"/>
        </w:rPr>
        <w:t>” in our Annual Report on Form 10-K for the year ended December 31, 2025. There have been no material changes to these policies during the nine months ended September 30,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 Description of Business and Significant Accounting Policies”</w:t>
      </w:r>
      <w:r>
        <w:rPr>
          <w:rFonts w:ascii="Times New Roman" w:cs="Times New Roman" w:eastAsia="Times New Roman" w:hAnsi="Times New Roman"/>
          <w:sz w:val="18"/>
          <w:szCs w:val="18"/>
          <w:color w:val="auto"/>
        </w:rPr>
        <w:t xml:space="preserve"> in Part I, Item 1 of this Quarterly Report on Form 10-Q for recently adopted accounting pronouncements and recently issued accounting pronouncements not yet adopted when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2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which primarily relate to fluctuations in market discount rates, credit risks, and interest rates. We are exposed to market risk directly through loans and securities held on our condensed consolidated balance sheets, access to the securitization markets, institutional investor demand for loans facilitated through our marketplace, and availability of funding under our warehouse credit facilities. Our inability or failure to manage market risks could harm our business, financial condition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Discount Rate Risk</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Discount rate sensitivity refers to the risk of loss to future earnings, values or future cash flows that may result from changes in market discount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rates.</w:t>
      </w:r>
    </w:p>
    <w:p>
      <w:pPr>
        <w:spacing w:after="0" w:line="23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2025 and September 30, 2026, we were exposed to market discount rate risk on $930.8 million and $911.9 million, respectively, of loans held on our condensed consolidated balance sheets, excluding loans held in the consolidated securitization. The fair value of these loans is estimated using a DCF methodology, where the discount rate represents an estimate of the required rate of return by market participants. Changes in the discount rates for loans held on our balance sheet reflect the expected returns of similar financial instruments available in the market and can be caused by changes in the market interest rates, expected loan performance, and other factors. Any gains and losses from discount rate changes are recorded in earnings. A hypothetical 100 basis point and 200 basis point increase in the discount rate would result in a $12.0 million and $23.6 million decrease, respectively, in the fair value of loans as of December 31, 2025 and a $10.7 million and $21.1 million decrease, respectively, as of September 30, 2026.</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2025 and September 30, 2026, we held $53.8 million and $28.9 million, respectively, of loans held in the consolidated securitization which are included in loans, at fair value, on the condensed consolidated balance sheets. The fair value of these loans is determined by the sum of the fair value of the related securitization notes receivable and residual certificates issued as part of the consolidated securitization, and uses the same projected net cash flows as the underlying collateral loan pool. As the Company retained all residual certificates issued by the consolidated securitization, their value is eliminated as part of the consolidation process. A hypothetical 100 basis point and 200 basis point increase in the discount rate does not result in a material impact to the fair value of loans held in consolidated securitization as of December 31, 2025 and September 30, 2026.</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and September 30, 2026, we were exposed to market discount rate risk on payable to securitization note holders of $46.5 million and $25.5 million, respectively. A hypothetical 100 basis point and 200 basis point increase in the discount rate does not result in a material impact to the fair value of payable to securitization note holders as of December 31, 2025 and September 30, 2026.</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2025 and September 30, 2026, we were exposed to market discount rate risk on other financial instruments, including $396.2 million and $613.7 million of beneficial interest assets, respectively. Beneficial interest assets are estimated at fair value using a DCF model, which considers projected defaults, losses and recoveries to project future losses and net cash flows on the underlying loans. We use different discount rates depending on the type of underlying collateral as well as for expected cash flows associated with demonstrated to-date credit performance and those associated with future credit performance. A hypothetical 100 basis point and 200 basis point increase in the discount rate would result in a $4.9 million and $9.7 million decrease, respectively, in the fair value of beneficial interest assets as of December 31, 2025, and a $6.6 million and $13.1 million decrease, respectively, as of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Credit risk refers to the risk of loss of loans arising from individual borrower default due to inability or unwillingness to meet their financial obligations. The fair value of certain financial instruments, including loans, beneficial interests, securitization notes receivable and residual certificates, and payable to securitization note holders on our condensed consolidated balance sheets are dependent on credit performance of the loans. To manage this risk, we monitor borrower payment performance through our lending marketplace and utilize our AI capabilities to price loans in a manner that we believe is reflective of their credit risk.</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values of loans and beneficial interests are estimated based on a DCF model which involves the use of significant unobservable inputs and assumptions. These instruments are sensitive to changes in credit risk.</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and September 30, 2026, we were exposed to credit risk on $930.8 million and $911.9 million, respectively, of loans held on our condensed consolidated balance sheets, excluding loans held in the consolidated securitization. Loans bear fixed interest rates and are carried on our condensed consolidated balance sheets at fair value. As of December 31, 2025, a hypothetical 10% and 20% increase in credit risk would result in a $10.5 million and $20.4 million decrease, and as of September 30, 2026, a hypothetical 10% and 20% increase in credit risk would result in a $8.3 million and $16.2 million decrease in the fair value of loans, respectively.</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2025 and September 30, 2026, we held $53.8 million and $28.9 million, respectively, of loans held in the consolidated securitization which are included in loans, at fair value, on the condensed consolidated balance sheets. The fair value of these loans is determined by the sum of the fair value of the related securitization notes receivable and residual certificates issued by the consolidated entities, and uses the same projected net cash flows as the underlying collateral loan pool. As the Company retained all residual certificates issued by the consolidated securitization, the residual certificates value is eliminated as part of the consolidation process. A hypothetical 10% and 20% increase in the credit risk does not result in a material impact to the fair value of loans held in the consolidated securitization as of December 31, 2025 and September 30, 2026.</w:t>
      </w:r>
    </w:p>
    <w:p>
      <w:pPr>
        <w:spacing w:after="0" w:line="21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also exposed to credit risk through credit risk rate spreads on beneficial interest assets and beneficial interest liabilities held on the condensed consolidated balance sheet of $396.2 million and $5.1 million, respectively, as of December 31, 2025, and $613.7 million and $20.6 million, respectively, as of September 30, 2026. These assets and liabilities are associated with committed capital and other co-investment arrangements with third parties, in which the Company puts certain amounts of assets at risk. See “</w:t>
      </w:r>
      <w:r>
        <w:rPr>
          <w:rFonts w:ascii="Times New Roman" w:cs="Times New Roman" w:eastAsia="Times New Roman" w:hAnsi="Times New Roman"/>
          <w:sz w:val="18"/>
          <w:szCs w:val="18"/>
          <w:i w:val="1"/>
          <w:iCs w:val="1"/>
          <w:color w:val="auto"/>
        </w:rPr>
        <w:t>Note 4. Beneficial Interests</w:t>
      </w:r>
      <w:r>
        <w:rPr>
          <w:rFonts w:ascii="Times New Roman" w:cs="Times New Roman" w:eastAsia="Times New Roman" w:hAnsi="Times New Roman"/>
          <w:sz w:val="18"/>
          <w:szCs w:val="18"/>
          <w:color w:val="auto"/>
        </w:rPr>
        <w:t>” in Part I, Item 1 of this Quarterly Report on Form 10-Q for additional information on maximum exposure to losses from these arrangements. A hypothetical 10% and 20% adverse shock of the credit risk rate on the underlying loan portfolios would result in a $80.1 million and $158.2 million decrease, respectively, in the fair value of beneficial interest assets held on our condensed consolidated balance sheet, and $22.4 million and $44.4 million increase in the fair value of beneficial interest liabilities on our condensed consolidated balance sheet, respectively, as of December 31, 2025. A hypothetical 10% and 20% adverse shock of the credit risk rate on the underlying loan portfolios would result in a $114.8 million and $226.9 million decrease, respectively, in the fair value of beneficial interest assets, and $27.3 million and $53.4 million increase in the fair value of beneficial interest liabilities, respectively, as of September 30, 2026.</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Risk</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risk that arises from our line of credit receivable, beneficial interests, warehouse facilities, and third-party custodians. These activities generally involve an exchange of obligations with unaffiliated lenders or other individuals or entities, referred to in such transactions as “counterparties.” If a counterparty were to default or otherwise fail to perform, we could potentially be exposed to loss if such counterparty were unable to meet its obligations to us. We manage this risk by selecting only counterparties that we believe to be financially strong, spreading the risk among multiple such counterparties, and placing contractual limits on the amount of dependence on any single counterparty.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and September 30, 2026, we held $1,057.0 million and $1,128.5 million, respectively, related to cash, cash equivalents and restricted cash in business checking accounts and interest-bearing deposit accounts as well as money market accounts at various financial institutions in the United States. We are exposed to credit risk in the event of default by these financial institutions to the extent the amount recorded on our condensed consolidated balance sheets exceeds the insured amounts by the FDIC. We reduce credit risk by placing our cash, cash equivalents and restricted cash in reputable institutions.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and September 30, 2026, $191.6 million and $181.0 million, respectively, of the Company’s cash was held by one of our institutional investors in relation to the line of credit receivable and beneficial interest asset. We mitigate our risk exposure through corporate guarantees provided by the investor.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 increase in interest rates typically results in an increase in the rate of return required by lending partners and institutional investors, and therefore leads to a decrease in borrower demand. Higher interest rates also correspond with higher payment obligations for borrowers, which may reduce the ability of individual borrowers to qualify for a loan, or to remain current on their obligations, leading to increased delinquencies, defaults, borrower bankruptcies and charge-offs, and decreasing recoveries, all of which could have a material adverse effect on our business. We expect these outcomes would generally invert in an environment of decreasing interest rates.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increase or decrease in interest rates may also impact our exposure to interest rate risk on our warehouse credit facilities. As of December 31, 2025 and September 30, 2026, we were exposed to interest rate risk on $97.3 million and $327.6 million, respectively, under our warehouse credit facilities, which bear floating interest rates. Changes in interest rates may impact our cost of borrowing.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 Risk</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non-marketable equity securities are subject to a wide variety of market-related risks that could substantially reduce or increase the carrying value of our investments.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non-marketable equity investments are in equity securities of privately-held companies without readily determinable fair values. We elected to account for each such investment using the measurement alternative which is cost less impairment, if any, and adjusted for changes resulting from observable price changes in orderly transactions for an identical or similar investment in the same issuer. The determination of whether an orderly transaction is for an identical or similar investment requires significant management judgment and is inherently complex due to the lack of readily available market data. We consider factors such as differences in the rights and preferences of the investments and the extent to which those differences would affect the fair values of each investment. We also assess our non-marketable equity securities for impairment on a quarterly basis. Our impairment analysis encompasses an assessment of both qualitative and quantitative factors including the investee's financial metrics, market acceptance of the investee's product or technology, general market conditions and liquidity considerations. Adjustments and impairments are recorded in other income, net on the condensed consolidated statements of operations and comprehensive income upon recognition of such adjustments or impairments. As of December 31, 2025 and September 30, 2026, the carrying value of our non-marketable equity securities, which do not have readily determinable fair values totaled $41.3 million and $41.0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234"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and Chief Financial Officer, has evaluated the effectiveness of our disclosure controls and procedures as defined in Rules 13a-15(e) and 15d-15(e) under the Exchange Act. Based on that evaluation, our Chief Executive Officer and Chief Financial Officer have concluded that, as of September 30, 2026, our disclosure controls and procedures were designed and function effectively to provide reasonable assurance that information required to be disclosed by us in reports filed or submitted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Changes in Internal Control over Financial Reporting</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13a-15(d) and 15d-15(d) under the Exchange Act) that occurred during the quarter ended September 30, 2026 that has materially affected, or is reasonably likely to materially affect, our internal control over financial reporting.</w:t>
      </w:r>
    </w:p>
    <w:p>
      <w:pPr>
        <w:spacing w:after="0" w:line="172" w:lineRule="exact"/>
        <w:rPr>
          <w:sz w:val="20"/>
          <w:szCs w:val="20"/>
          <w:color w:val="auto"/>
        </w:rPr>
      </w:pPr>
    </w:p>
    <w:p>
      <w:pPr>
        <w:ind w:left="640" w:hanging="308"/>
        <w:spacing w:after="0"/>
        <w:tabs>
          <w:tab w:leader="none" w:pos="6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Limitations on Effectiveness of Disclosure Controls and Procedures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disclosure controls and procedures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LEGAL PROCEEDINGS</w:t>
      </w:r>
    </w:p>
    <w:p>
      <w:pPr>
        <w:spacing w:after="0" w:line="222"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For a description of our material pending legal proceedings, please see “</w:t>
      </w:r>
      <w:r>
        <w:rPr>
          <w:rFonts w:ascii="Times New Roman" w:cs="Times New Roman" w:eastAsia="Times New Roman" w:hAnsi="Times New Roman"/>
          <w:sz w:val="18"/>
          <w:szCs w:val="18"/>
          <w:i w:val="1"/>
          <w:iCs w:val="1"/>
          <w:color w:val="auto"/>
        </w:rPr>
        <w:t>Note 11. Commitments and Contingencies</w:t>
      </w:r>
      <w:r>
        <w:rPr>
          <w:rFonts w:ascii="Times New Roman" w:cs="Times New Roman" w:eastAsia="Times New Roman" w:hAnsi="Times New Roman"/>
          <w:sz w:val="18"/>
          <w:szCs w:val="18"/>
          <w:color w:val="auto"/>
        </w:rPr>
        <w:t>” in Part I, Item 1 of this Quarterly Report on Form 10-Q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Part II, Item 1A of this Quarterly Report on Form 10-Q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 FACTORS</w:t>
      </w:r>
    </w:p>
    <w:p>
      <w:pPr>
        <w:spacing w:after="0" w:line="23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The risks and uncertainties described below should be carefully considered,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material risks that may affect our business, financial condition or results of operations include, but are not limited to, those relating to the following:</w:t>
      </w:r>
    </w:p>
    <w:p>
      <w:pPr>
        <w:spacing w:after="0" w:line="54"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has been and will continue to be adversely affected by economic conditions and other factors that we cannot control.</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diverse and resilient loan funding to our marketplace from institutional investors or successfully manage risks associated with committed capital and other co-investment arrangements, our growth prospects, business, financial condition and results of operations could be adversely affected.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loan funding and financing arrangements with lending partners, institutional investors, securitization programs, and warehouse credit and risk retention financing facilities expose us to certain risks, and if we fail to successfully manage such risks, our supply of capital may decrease or we may be required to seek more costly or less efficient capital for our marketplace.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continue to improve our AI models or if our AI models are ineffective, including by failing to accurately or timely reflect changes in economic conditions on borrowers’ credit risk, our growth prospects, business, financial condition and results of operations would be adversely affected.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approve a significant number of borrowers for loans through our marketplace, our growth prospects, business, financial condition and results of operations would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number of lending partners account for a significant portion of loan originations and revenue on our marketplace, and our business depends on our ability to retain existing lending partners and attract new ones.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in the past, and we may not be able to sustain or achieve profitability in the future.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risks associated with the loans on our balance sheet, our business, financial condition and results of operations may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results may fluctuate significantly, which could adversely affect our business and the trading price of our common stock.</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the risks associated with the UMI, our credibility, reputation, business, financial condition and results of operations could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brand are important to our success, and failure to maintain, protect and promote our brand may harm our business.</w:t>
      </w:r>
    </w:p>
    <w:p>
      <w:pPr>
        <w:spacing w:after="0" w:line="117" w:lineRule="exact"/>
        <w:rPr>
          <w:rFonts w:ascii="Times New Roman" w:cs="Times New Roman" w:eastAsia="Times New Roman" w:hAnsi="Times New Roman"/>
          <w:sz w:val="18"/>
          <w:szCs w:val="18"/>
          <w:color w:val="auto"/>
        </w:rPr>
      </w:pPr>
    </w:p>
    <w:p>
      <w:pPr>
        <w:ind w:left="660" w:right="292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the risks related to our loan servicing and collections obligations,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right="2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business has historically depended on a single loan product, and shifts in product demand or mix could adversely affect our business.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continuing to introduce and develop new loan products and service offerings, and if these products are not successful or we are unable to manage the related risks, our growth prospects, business, financial condition and results of operations could be adversely affected.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improper access to our or borrowers’ data, or other security incidents may harm our reputation, adversely affect our results of operations and expose us to liability.</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disruption of, or failure in, our technology systems, including our AI lending platform, could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strategic relationships with loan aggregators to attract applicants to our marketplace, and if we cannot maintain effective relationships with loan aggregators or successfully replace their services, our business could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has been and will continue to be adversely affected by economic conditions and other factors that we cannot control.</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Uncertainty, volatility and negative trends in general economic conditions historically have created a difficult operating environment for our industry. Many factors, including factors that are beyond our control, have impacted and will continue to impact our business, financial condition and results of operations by affecting the supply of capital to our marketplace from our lending partners and institutional investors, the demand by borrowers for Upstart-powered loans, and borrowers’ ability and willingness to repay their loans.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Adverse macroeconomic conditions and resulting uncertainty and volatility have had, and may have in the future, a material adverse effect on our business and results of operations. Such conditions can reduce borrower demand, approval and acceptance rates, loan origination volume and loan funding from lending partners and institutional investors, reduce liquidity in the capital markets, increase funding costs, and increase our reliance on our balance sheet. Many borrowers that access our marketplace have poor, limited or no credit history and may be disproportionately affected by inflation, higher interest rates, cost of living pressures, unemployment or recessionary conditions, which can reduce their ability or willingness to borrow or repay loans. During economic downturns, borrowers may prioritize secured obligations over unsecured personal loans or HELOCs, and higher interest rates may further increase payment burdens, leading to higher delinquencies, defaults, charge-offs and lower recoveries. Because our operations are concentrated in U.S. consumer credit, adverse developments affecting the U.S. economy or consumer credit markets could have a disproportionate impact on our business. In addition, changes in fiscal, monetary, regulatory or foreign policy priorities across presidential administrations may contribute to economic volatility and uncertainty. Any sustained decline in borrower approvability, loan acceptance or origination volume, or any increase in delinquencies or defaults beyond our expectations,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we are unable to maintain diverse and resilient loan funding to our marketplace from institutional investors or successfully manage risks associated with committed capital and other co-investment arrangements, our growth prospects, business, financial condition and results of operations could be adversely affected.</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business depends on sourcing and maintaining diverse and resilient sources of capital from institutional investors to our marketplace, including through the purchase of whole loans and interests in loans through pass-through certificates and asset-backed securities. A significant portion of loans transacted on our marketplace are purchased by institutional investors, including private credit funds. The availability and capacity of capital from institutional investors depends on many factors that are outside of our control, such as economic and market conditions, interest rates, liquidity in the capital markets and regulatory requirements or restrictions, which are subject to change. We cannot be sure that the existing capital sources will continue to be available, or any new capital sources will become available, on commercially reasonable terms or at all. Decreased capital from institutional investors has negatively impacted our business in the past, and may negatively impact us in the future. Any sustained decline in investor demand for Upstart-powered loans or securities secured by such loans may adversely affect our financial results.</w:t>
      </w:r>
    </w:p>
    <w:p>
      <w:pPr>
        <w:spacing w:after="0" w:line="2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significant portion of our loan funding from institutional investors comes from committed capital and other co-investment arrangements, which may include downside credit risk protection, subject to certain limits and conditions. Under these arrangements, we may be required to compensate investors if loan credit performance deviates from expectations. We may also be required to compensate investors if committed loan sale volumes are not achieved. If loans do not perform as expected for any reason, including due to changes in borrower behavior or ability to pay, borrower demand declines, or our credit performance expectations are inaccurate, our financial results could be adversely affected, including through unfavorable fair value adjustments. Additionally, if our credit performance expectations are inaccurate compared to the expectations set with our capital partners, those partners may lose confidence in our ability to accurately predict credit performance, which could adversely affect our ability to secure future funding from those partners. We may also experience declines in revenue and loan originations if existing arrangements do not provide funding on agreed terms or if we are unable to secure additional arrangements on commercially reasonable terms or at all. In addition, a portion of the institutional funding for loans facilitated through our marketplace comes from private credit funds. These counterparties are subject to their own liquidity, fundraising and market constraints. Certain of these counterparties may experience investor redemptions, fundraising shortfalls or other constraints on available capital that reduce the capital available for loan purchases. As a result, one or more of these counterparties may be unable to fulfill purchase commitments, seek to renegotiate commercial terms, or fail to renew existing arrangements. Any such reduction in participation could reduce the funding capacity available to our marketplace, increase our funding costs, or constrain our ability to originate loans, which could adversely affect our business, financial condition and results of operations.</w:t>
      </w:r>
    </w:p>
    <w:p>
      <w:pPr>
        <w:spacing w:after="0" w:line="22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Capital arrangements entered into during periods of higher interest rates may become more costly if interest rates decline and the terms of such arrangements remain in place. Despite our efforts, marketplace capital constraints may persist, and we may be required to rely more heavily on our balance sheet, incur higher funding costs or agree to less favorable terms to maintain loan origination volume, which could adversely affect our business, financial condition and results of operations.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loan funding and financing arrangements with lending partners, institutional investors, securitization programs, and warehouse credit and risk retention financing facilities expose us to certain risks, and if we fail to successfully manage such risks, our supply of capital may decrease or we may be required to seek more costly or less efficient capital for our marketplace.</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facilitated securitizations, and may in the future facilitate additional securitizations, of Upstart-powered loans to allow institutional investors, certain lending partners, and/or us to liquidate or finance such loans through the asset-backed securities markets or other capital markets products. In securitization transactions, we sell and convey pools of loans to SPEs, which issue notes or certificates pursuant to indentures and trust agreements. We also finance certain loans on our balance sheet through warehouse credit facilities, including by selling loans to warehouse trust SPEs and borrowing under associated credit facilities. Securities issued by securitization SPEs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borrowings under warehouse facilities are secured by the loan pools owned by the applicable SPEs, and we, our lending partners and/or institutional investors may contribute loans to such SPEs in exchange for cash and/or debt or equity interests.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When we act as sole sponsor of securitizations, we are required under Regulation RR to retain a portion of the credit risk of the underlying loans for a specified period of time. We may finance some or all of these retained interests through risk retention financing facilities. If retained interests decline in value, or if we are unable to finance or refinance retained risk positions on acceptable terms, our liquidity, funding costs and results of operations could be adversely affected. We may also retain subordinated or residual interests beyond minimum risk retention requirements, which are exposed to greater credit risk and may lose value, including becoming worthless. Regulatory requirements applicable to securitizations, including under the Dodd-Frank Act, the Investment Company Act of 1940, and the “Volcker Rule,” as well as changes in state licensing requirements, may limit the type or structure of securitizations we are able to complete, and failure to comply with applicable securitization laws or regulations could restrict our ability to access securitization markets or require us to restructure or discontinue certain financing arrangements.</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Servicing fees generated by our loan servicing activities for loans sold to institutional investors or contributed to asset-based securitizations and pass-through certificate transactions also represent a material portion of our earnings, and investor demand for Upstart-powered loans and related securities may fluctuate based on loan performance, pricing and servicing economics, macroeconomic conditions, investor risk appetite, regulatory or accounting considerations and the availability of funding and liquidity in the capital markets.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our asset-backed securitizations, pass-through certificate transactions, warehouse credit facilities and whole loan sale arrangements, we make representations and warranties concerning the loans transferred. If such representations and warranties are inaccurate and are not timely cured, we may be required to repurchase loans, make payments or provide indemnification to financing parties. Failure to satisfy these obligations could constitute a default or termination event under the applicable agreements and could require us to fund repurchases or make other payments at a time when liquidity may be constrained. If repurchase or payment obligations were to increase, or if we are unable to fund such obligations when required, our liquidity, financial condition and results of operations could be adversely affected, and a high volume of repurchases or payments could harm our reputation as a loan seller and servicer. If securitizations, warehouse facilities or risk retention financing are not available or economical, we may need to seek alternative financing, rely more heavily on our balance sheet or reduce loan originations, which could adversely affect our business, financial condition and liquidity.</w:t>
      </w:r>
    </w:p>
    <w:p>
      <w:pPr>
        <w:spacing w:after="0" w:line="21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also subject to counterparty risk arising from derivative instruments, beneficial interests, warehouse facilities and custodial arrangements, and a counterparty’s failure to perform could result in losses and adversely affect our business, financial condition and results of operations.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we are unable to continue to improve our AI models or if our AI models are ineffective, including by failing to accurately or timely reflect changes in economic conditions on borrowers’ credit risk, our growth prospects, business, financial condition and results of operations would be adversely affected.</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attract borrowers and facilitate loan originations on our marketplace depends in large part on the effectiveness of our AI models in evaluating borrower creditworthiness and pricing loans appropriately. Our overall operating efficiency and margins further depend in part on our ability to maintain a high degree of automation in our application process and achieve incremental improvements in the degree of automation. If our AI models contain errors, rely on inaccurate assumptions or data, or otherwise fail to perform as expected, loans may be sub-optimally priced or incorrectly decisioned, which could result in losses that are higher than expected, reduced borrower demand, and decreased loan originations. Our AI models and related decisioning processes also depend on the availability, accuracy and timeliness of data and other inputs, including information provided by applicants and third-party sources. If the data or inputs used to train, operate, calibrate or monitor our AI models are inaccurate, incomplete, biased or otherwise unreliable, or if our access to key data sources is terminated or interrupted, our models may not perform as expected and our ability to evaluate credit risk or price loans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may make errors in the development, validation, testing, governance, or implementation of our AI models or related tools and processes, and such errors may not be detected prior to deployment. Or, our AI models may not be able to accurately predict borrower behavior or loan performance under all circumstances, particularly during periods of economic uncertainty or rapid changes in macroeconomic conditions.</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Underperformance of Upstart-powered loans relative to expectations may also reduce demand from lending partners and institutional investors, constrain capital and negatively affect our financial results. If our AI models do not accurately or timely reflect changes in economic conditions affecting borrowers’ credit risk, the performance of Upstart-powered loans may be worse than anticipated, which could harm our reputation, erode trust with lending partners and institutional investors, and adversely affect our business, financial condition and results of operations. If model performance deteriorates, our lending partners and investors may change or tighten their underwriting or pricing requirements, reduce demand for Upstart-powered loans, require additional credit enhancement or other structural protections, or impose less favorable terms across our loan funding arrangements, any of which could adversely affect our business.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manage the risks associated with the UMI, our credibility, reputation, business, financial condition and results of operations could be adversely affected.</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UMI is our effort to quantify the level of macroeconomic risk, in terms of the losses or defaults, within Upstart-powered unsecured personal loan portfolios, excluding small dollar loans. As we continue to refine UMI, we have revised previously published values and may further revise current or historical values in the future. Significant changes or revisions to UMI could harm our credibility and reputation with lending partners and institutional investors, which could adversely affect our business. Furthermore, the correlation between UMI and actual macroeconomic risk, including loan losses or defaults, may not be as meaningful or reliable as we expect. If UMI fails to accurately or adequately reflect macroeconomic risk, or is perceived as misaligned or misleading, lending partners and institutional investors may distrust or disregard UMI, which could negatively affect their willingness to use our marketplace or fund loans.</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UMI is based on our analysis of the losses within Upstart-powered unsecured personal loan portfolios, excluding small dollar loans, and is specific to our borrower base, which changes over time. UMI may not be an appropriate indicator of risk for specific loan products, borrower segments or non-Upstart loan portfolios, and it is not intended to measure or predict broader economic conditions, future loan performance, our results of operations or our stock price. Furthermore, UMI may reflect adjustments to data or model outputs that we believe improve accuracy. Investors, lending partners or analysts may misunderstand, misinterpret or misuse UMI for unintended purposes, which could harm our reputation, reduce confidence in our disclosures and impair our ability to attract and retain lending partners and institutional investors. Any failure to manage these risks could adversely affect our ability to maintain diverse and resilient loan funding and harm our business, financial condition and results of operations.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approve a significant number of borrowers for loans through our marketplace, our growth prospects, business, financial condition and results of operations would be adversely affected.</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vast majority of our revenue comes from platform and referral fees and servicing fees on loans facilitated through our marketplace. To increase the number of loans facilitated through our marketplace, we must have an adequate supply of capital from lending partners and institutional investors, and borrowers must satisfy the requirements for approval established by our models and our lending partners.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we continue to improve the accuracy of our AI models, which we believe is key to our long-term success, such improvements may not result in an increase in the number of borrowers approved on our platform. These improvements have led us in the past and may lead us in the future to reevaluate our credit decisioning process, including the risks associated with certain borrowers. Changes in borrower default patterns and credit performance have in the past and could in the future result in fewer borrowers being approved for loans on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our lending partners’ credit requirements and the target returns our lending partners and institutional investors demand in order to provide capital to our marketplace have, and could continue to, negatively impact our ability to extend loan offers with competitive terms or at all to certain borrowers on our marketplace. If we are not able to fill purchase commitments for our institutional investors or maintain a platform meeting the origination requirements of our lending partners, we risk jeopardizing our marketplace.</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Macroeconomic environments fluctuate over time, and the costs and risks associated with consumer borrowing evolve in response to economic conditions. During periods of challenging macroeconomic conditions, including periods of elevated borrowing costs and heightened consumer credit risk, the pool of qualified borrowers may become smaller, and fewer applicants may receive or accept loan offers on our marketplace. Approving more borrowers can also be limited as we have historically limited the maximum annual percentage rates offered on Upstart-powered loans due to regulatory reasons. These factors have adversely affected, and may in the future adversely affect, loan originations on our marketplace and therefore our revenue. If we are not able to maintain or increase loan originations on our marketplace, or attract and retain qualified borrowers, our growth prospects, business, financial condition and results of operations would be adversely affected.</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 limited number of lending partners account for a significant portion of loan originations and revenue on our marketplace, and our business depends on our ability to retain existing lending partners and attract new ones.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success depends in significant part on the continued participation of lending partners in our marketplace, which provide both loan funding and a substantial portion of our revenue. A limited number of lending partners account for a significant portion of loan originations and revenue on our marketplace.</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one or more significant lending partners reduce, suspend or cease their business with us for any reason, or if we are unable to attract and onboard new lending partners to replace or supplement existing relationships, loan origination volume and revenue could decline. Our ability to attract new lending partners may be limited by lengthy or complex onboarding processes, prospective partners’ diligence requirements, or changes in target returns, funding costs or risk tolerance. Prospective lending partners may also be cautious in adopting our platform or in purchasing loans originated on the Upstart platform due to regulatory uncertainty, AI model governance or fair lending compliance considerations, as well as the time, cost and operational changes required to integrate our technology, which can delay onboarding and make the timing and volume of related revenue difficult to predict.</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enter into a separate agreement with each of our lending partners. These agreements are non-exclusive and may contain minimum fee amounts. Lending partners may decide to stop working with us, seek to modify agreement terms in a cost-prohibitive manner when their agreement is up for renewal, or enter into exclusive or more favorable relationships with our competitors. In addition, lending partners may adjust or terminate their business with us based on macroeconomic conditions, funding costs, regulatory requirements, credit performance, internal priorities, competitive dynamics or changes in business strategy. Federal or state regulators may also require lending partners to terminate or limit their business with us, or impose regulatory pressure that constrains their ability or willingness to participate in our marketplace. If we are unable to retain existing lending partners or attract new lending partners on acceptable terms,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incurred net losses in the past, and we may not be able to sustain or achieve profitability in the future.</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Although we have been profitable in certain periods, we have also incurred net losses and may do so again in the future. We have made, and expect to continue to make, significant investments in our business, and we may not be able to increase revenue sufficiently to offset these costs, which could prevent us from achieving or sustaining profitability. These investments include investment in our proprietary AI models, product development, borrower acquisition, platform enhancements and expansion of our loan offerings. Our ability to sustain or achieve profitability in any given period may also be affected by the mix of loan products facilitated through our marketplace and fluctuations in our borrower acquisition costs. Changes in product mix, including the growth of products with lower margins, as well as increases in borrower acquisition costs, may adversely affect our financial results and limit our ability to sustain profitability.</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incurred losses in the past, and may incur losses in the future, due to a variety of factors, including the other risks described in this section, macroeconomic conditions, unforeseen expenses, operational challenges, and delays in executing our business strategies. Any failure to maintain or increase revenue at a pace sufficient to support our investment levels and other operating expenses could adversely affect our ability to achieve or sustain profitability. If we are unable to successfully address these risks and challenges as they arise, our business, financial condition and results of operations could be adversely affected.</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submitted an application for a national bank charter. The application may be delayed, denied, approved, or subject to conditions. Even if we obtain the requisite regulatory approvals to form a national bank, we may not realize the anticipated benefits of operating a bank.</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received conditional approval from the OCC to establish an insured national bank, Upstart Bank, N.A., and our application to the FDIC for deposit insurance remains pending. We have also applied to the Federal Reserve for approval for Upstart Holdings, Inc. to become a bank holding company. Regulatory approvals for the bank charter, deposit insurance, and bank holding company applications are subject to a number of requirements, including minimum capital and liquidity requirements, compliance and risk management requirements, and a determination that the proposed activities are legally permissible, among others. Our applications may be denied, regulatory approval may be delayed or subject to conditions, and there may be changes to applicable laws or supervisory expectations that govern the bank’s operations. The timing of the bank’s commencement of operations will depend on when we receive all requisite regulatory approvals, if at all, and on completing our operational readiness efforts, such as finalizing systems and onboarding vendors. The timing of each of these is not entirely within our control, and as a result, the bank could open later than we anticipate. Once opened, a bank subsidiary will also subject us to various regulations with respect to our activities and will introduce additional operational complexity, including the need to build and maintain bank-specific infrastructure, risk management, compliance, and reporting capabilities. Operating a bank is also likely to result in new costs, which may be significant and could reduce or offset some or all of the anticipated benefits of the bank charter. For these and other reasons, we may be unable to fully realize the benefits, efficiencies, cost reductions, or funding advantages that we expect by obtaining a bank charter, and our business, financial condition, and results of operations may be adversely affected.</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manage risks associated with the loans on our balance sheet, our business, financial condition and results of operations may be adversely affected.</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held more Upstart-powered loans on our balance sheet in recent years and may continue to do so in the future. We have used, and may continue to use, our balance sheet to support our R&amp;D activities for new loan products and borrower segments. In addition to R&amp;D activities, we have used and may continue to use our balance sheet to purchase Upstart-powered loans from lending partners to address fluctuations in supply and demand in our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hold loans on our balance sheet at fair value and estimate fair value using a DCF methodology. Increases in market interest rates may reduce the fair value of loans held on our balance sheet, which have negatively affected, and may in the future negatively affect, the fair value of such loans. In addition, for loans held on our balance sheet and any future loans to be held on our balance sheet, we bear the credit risk in the event of borrower default. Our exposure to rising borrower default rates and their volatility has increased, and may continue to increase, as we hold more Upstart-powered loans on our balance sheet. Also, loans for R&amp;D purposes make up a substantial portion of the loans held on our balance sheet and are generally more risky and more likely to default than personal loans.</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At times, default rates and charge-offs for certain loan categories have been higher than expected, resulting in unfavorable fair value adjustments to the loans on our balance sheet. Unfavorable fair value adjustments have negatively impacted our revenue in the past and may do so again in the future if loan performance deteriorates or fails to meet expectations. Furthermore, a portion of our revenue is interest income derived from loans held on our balance sheet, and increasing the number of loans we hold would increase the mix of our revenue that comes from interest on loans. From a liquidity perspective, a growing number of loans on our balance sheet increases our liquidity risk. If we are unable to sell loans held on our balance sheet on commercially reasonable terms or at all, our liquidity position could be adversely affected. Any of the foregoing could adversely affect our business, financial condition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quarterly results may fluctuate significantly, which could adversely affect our business and the trading price of our common stock.</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operating and financial results have, in the past, and may, in the future, fluctuate significantly from period to period due to a variety of factors, many of which are outside of our control. Factors that may cause these fluctuations include, among others, changes in macroeconomic conditions; fluctuations in borrower demand and loan origination volume, including seasonal patterns; changes in the availability and cost of loan funding; changes in credit performance; shifts in product mix; the timing and success of new products, partnerships or funding arrangements; changes in interest rates; changes in regulatory requirements or enforcement priorities; and changes in our operating expenses.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typically experience seasonality in the demand for Upstart-powered loans, which has been generally lower in the first quarter. This seasonal slowdown has been primarily attributable to high loan demand around the holidays in the fourth quarter and the general increase in borrowers’ available cash flows in the first quarter, including cash received from tax refunds, which temporarily reduces borrowing needs.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these and other factors, our operating and financial results for any given period may fall below the expectations of investors or securities analysts, which could cause the trading price of our common stock to decline. Fluctuations in our operating results may also make it difficult for investors to evaluate our business and future prospects, which could further contribute to volatility in the market price of our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reputation and brand are important to our success, and failure to maintain, protect and promote our brand may harm our business.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maintaining a strong brand and trustworthy reputation is critical to our success and our ability to attract borrowers to our marketplace, attract new lending partners, maintain diverse and resilient loan funding and sustain good relations with regulators. The maintenance of our brand and reputation depend on a number of factors, including the performance and perceived effectiveness of our proprietary AI models, the quality and pricing of our products, the reliability and scalability of our platform, regulatory compliance, loan performance outcomes and our ability to innovate and respond to evolving customer and partner needs. In addition, the availability and perceived attractiveness of alternative products or platforms from our competitors may influence how our brand and value proposition are perceived. Competitive pressures may result in reduced demand for Upstart-powered loans, pricing pressure, increased costs or loss of market share, any of which would harm our reputation and brand. If we are unable to differentiate our platform and maintain trust with borrowers, lending partners, institutional investors, and other third parties,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negative publicity about us or the consumer lending industry, including regarding our AI-powered credit decisioning models, loan performance, servicing or collections practices, marketplace model, use of AI, regulatory compliance, data privacy and cybersecurity practices, litigation or regulatory actions, or the experience of participants on our platform, even if inaccurate or unfounded, could harm our reputation and reduce confidence in our platform. Such reputational harm could reduce usage of our platform and adversely affect our business, financial condition and results of operations.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manage the risks related to our loan servicing and collections obligations, our business, financial condition and results of operations could be adversely affected.</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loan servicing and collection efforts. A meaningful portion of our revenue from fees is generated from loan servicing fees. The vast majority of Upstart-powered loans are unsecured and are not guaranteed or insured by any third party or backed by any governmental authority. As a result, our ability to collect amounts owed on such loans on behalf of lending partners, Upstart, institutional investors, and financing lenders is limited if borrowers are unwilling or unable to repay. Even where loans are secured, including auto loans or HELOCs, we may be limited in our ability to recover amounts owed if collateral cannot be located or recovered or if collateral values decline.</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ability to collect on loans is largely dependent on borrowers’ financial health and may be adversely affected by factors such as unemployment, illness, bankruptcy, economic downturns or other circumstances beyond a borrower’s control. Federal and state laws, including bankruptcy and insolvency laws, may further limit recoveries. If delinquencies, defaults or bankruptcies increase, our collections and recovery rates may decline, which could reduce fees payable to us, negatively affect lending partner and institutional investor demand for Upstart-powered loans, erode trust in our marketplace or increase loan funding costs.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conduct collection activities for certain lending partners, institutional investors, and financing lenders. Because we have limited experience conducting first-party or in-house collection activities, we cannot be certain that we will be able to effectively manage risks associated with such activities. We also rely on third-party collection agencies and, in certain cases, litigation strategies to collect from certain delinquent borrowers. If our collection efforts or those of third-party vendors are ineffective, inconsistent, unprofessional or otherwise harm borrowers, our reputation could be damaged, borrower demand could decline and delinquencies and charge-offs could increase.</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act as servicer for most loans facilitated through our marketplace, including loans sold in whole loan transactions, contributed to securitizations and pass-through securities, and pledged in warehouse facilities. Loan servicing is a highly regulated and operationally complex activity, involving manual processes and regulatory compliance obligations. Errors in servicing, failures to comply with servicing requirements or inadequate performance could expose us to liability to borrowers, lending partners, institutional investors or financing lenders, and harm our reputation. If the costs of servicing exceed the servicing fees we earn, our results of operations could be adversely affected.</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Auto loans facilitated through our marketplace and retail installment contracts purchased from motor vehicle dealers are secured by vehicles that may depreciate rapidly and may be difficult to locate. We rely on third-party repossession vendors to recover collateral, and repossession may not result in full recovery of amounts owed. Failures by such vendors to adhere to applicable law and regulations could result in loss of the collateral, regulatory action, litigation and/or reputational harm. As we scale our auto lending business, we may face increased operational and compliance risk in coordinating repossession activity and managing title and other collateral requirements that vary by state. For home-secured products such as HELOCs, collections and recovery may involve enforcing liens or pursuing foreclosure-related remedies that can be time-consuming, costly and subject to heightened regulatory and reputational scrutiny.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Servicing and collection activities are subject to extensive and evolving federal and state laws and regulatory oversight. If we fail to comply with applicable servicing, collection or licensing requirements, we could lose licenses, become subject to enforcement actions, sanctions or litigation, or be restricted from servicing loans or operating in certain jurisdictions, which could adversely affect our business, financial condition and results of operations.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 significant portion of our business has historically depended on a single loan product, and shifts in product demand or mix could adversely affect our business.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significant portion of the loan originations facilitated through our marketplace has historically consisted of unsecured personal loans. While the market for unsecured personal loans has experienced periods of growth, the extent to which this market will continue to grow, or remain attractive to borrowers and capital providers, is uncertain. A variety of factors could adversely affect demand for unsecured personal loans, including macroeconomic conditions, increased interest rates, changes in consumer credit behavior, competition, regulatory developments and other conditions in the credit markets. If demand for unsecured personal loans declines or grows more slowly than expected, our business, financial condition and results of operations could be adversely affected.</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Unsecured personal loans are seen as a more risky credit product because they are not backed by collateral. As such, borrowers may choose not to prioritize repayment of unsecured personal loans, particularly during an economic down cycle, and instead prioritize repayment of secured indebtedness obligations over unsecured personal loans. If we are unable to effectively manage risks associated with our personal loan product, our business, financial condition and results of operations could be adversely affected.</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While the unsecured personal loan product represents the majority of our business, we offer other loan products on our marketplace and may continue to expand and scale additional products over time. Newer loan products may have different margins or default rates than our personal loan products. Offering and scaling multiple products introduces additional operational, regulatory, funding and servicing complexity and exposes us to risks that differ from those associated with a single product offering. In order to preserve and expand our relationships with lending partners and institutional investors, it may become important for us to offer a broader range of loan products than we have historically offered. Our competitors may also seek to gain or maintain market share by underpricing certain loan products or accepting lower returns, even if such practices result in losses. These competitive dynamics could reduce demand for loans facilitated through our marketplace or adversely affect the economics of our platform.</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continuing to introduce and develop new loan products and service offerings, and if these products are not successful or we are unable to manage the related risks, our growth prospects, business, financial condition and results of operations could be adversely affected.</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introduced auto loans, retail installment contracts purchased from motor vehicle dealers, small dollar loans, and HELOC products and are continuing to invest in developing these products and other new credit products and service offerings. We have limited operating history with respect to certain of these products, and new initiatives are inherently risky, as each involves unproven business strategies, new regulatory requirements and new financial products and services with which we, and in some cases our lending partners, have limited or no prior development or operating experience.</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part of our growth strategy, we may continue to offer and scale multiple loan products with distinct borrower profiles, underwriting considerations, regulatory requirements, funding sources and servicing obligations. While these newer products currently represent a small portion of our business, they are expected to grow at a different rate than our personal loan product. We cannot be sure that we will be able to develop, commercially market and achieve market acceptance of any new products and services. In addition, our investment of resources to develop new products and services may be insufficient or result in expenses that are excessive in light of the benefits actually derived from these new offerings, particularly in the near term. Investment in new products or services may also need to be delayed, modified or deferred due to market, macroeconomic or other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also have difficulty securing adequate loan funding from lending partners or institutional investors for new loan products and services, which may require us to hold more loans on our balance sheet for extended periods of time. If the borrower profile for new products differs from that of existing products, our AI models may not accurately evaluate credit risk and we may not be able to obtain loan funding for such products on commercially reasonable terms, or at all. New products may also experience higher levels of delinquencies or defaults as our models calibrate to different borrower populations or data sets. Furthermore, new products and services may raise new or complex regulatory compliance obligations, increase our costs, reduce margins or take longer than anticipated to achieve target margins. Our development efforts may also divert management attention and resources from existing operations. If we are unable to effectively manage these risks, our growth prospects, business, financial condition and results of operations could be adversely affected.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compete effectively in our target markets, our business, results of operations and financial condition could be harmed.</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consumer lending market is highly competitive and increasingly dynamic as emerging technologies continue to enter the marketplace. Our inability to compete effectively could result in reduced loan volumes, reduced average loan sizes, reduced fees, increased marketing and borrower acquisition costs or a failure of our marketplace to achieve or maintain broader market acceptance, any of which could adversely affect our business and results of operations.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compete to varying degrees with other sources of consumer credit, including banks, non-bank lenders, retail-based lenders and other financial technology platforms. Because personal loans may serve as a replacement for credit cards, we also compete with the convenience and ubiquity of credit cards and buy now, pay later products. Many competitors operate under different business models, have different funding sources, cost structures or regulatory obligations, or focus on different segments of the market. We may also face competition from banks or companies that have not previously competed in consumer lending, including companies with access to large amounts of consumer-related data that could be used to develop their own credit risk models, and many current or potential competitors have significantly greater financial, technical and marketing resources than we do.</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competitors may have longer operating histories, greater brand recognition and loyalty, lower costs of capital, more diversified products, broader borrower or partner relationships, more diversified funding sources or greater balance sheet capacity than we do. Competitors may also modify their pricing or business models to compete more directly with us, including by offering lower pricing or more flexible terms. Our ability to compete will also depend on our ability to provide lending partners with a competitive suite of loan products and services. In addition, competitors may pursue acquisitions or strategic alliances that provide access to lower-cost capital, expanded distribution or enhanced regulatory capabilities, further intensifying competition.</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industry is driven by constant innovation, including rapid advances in AI and machine learning. If we fail to anticipate or respond adequately to technological developments, or if competitors develop credit models or technologies that are superior to ours, our ability to compete effectively could be adversely affected. If we are unable to compete effectively or keep pace with innovation in our industry, demand for our marketplace could stagnate or decline, which could harm our business, results of operations and financial condition.</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manage the risks associated with fraudulent activity, our brand and reputation, business, financial condition and results of operations could be adversely affected.</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Fraud is prevalent in the financial services industry and may increase as perpetrators become more sophisticated. We are subject to the risk of fraudulent activity associated with borrowers, employees and third parties that handle borrower information, and in limited circumstances we cover certain fraud-related losses of our lending partners and institutional investors. Fraud rates may also increase during economic downturns.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use a combination of proprietary AI models and third-party tools to detect and prevent fraud by validating applicant-reported data and information obtained from third-party sources. However, these efforts may not be sufficient to identify all fraudulent activity. If fraud detection controls are ineffective, fraud-related losses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Upstart-powered loans could increase, erode confidence in our marketplace, and adversely affect our financial condition and results of operations. Fraud perpetrators may also target our platform due to the high degree of automation in our credit decisioning processes. In addition, we, our lending partners or institutional investors may be unable to recover amounts disbursed on loans made in connection with inaccurate statements, omissions or fraudulent activity.</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Significant increases in fraudulent activity could result in heightened regulatory scrutiny or intervention, increase compliance and operating costs, and harm our brand and reputation. Further, if higher levels of fraud lead to increased human review of loan applications, the level of automation on our platform could decline, negatively affecting our operating efficiency and unit economics. If we are unable to effectively manage fraud-related risks, our business, financial condition and results of operations could be adversely affected.</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our key personnel and other highly skilled personnel, and if we fail to attract, retain and motivate our personnel, our business, financial condition and results of operations could be adversely affected.</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success depends on the continued service of our senior management team and other highly skilled personnel. Our success also depends on our ability to identify, hire, develop, motivate and retain highly qualified personnel. In the first quarter of 2026, we announced certain changes to our executive leadership team, including the succession of our Chief Executive Officer and the appointment of a new Chief Financial Officer. Although we seek to manage leadership transitions carefully, such changes may create uncertainty or present challenges related to continuity of our business, preservation of our culture, and our ability to attract and retain highly qualified personnel.</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Competition is high for skilled personnel, including engineering and data analytics personnel, particularly in the San Francisco Bay Area where our headquarters is located. While we have transitioned to what we call a “Digital First” work model that allows us to recruit from a wider talent pool, we have experienced, and expect to continue to face, difficulty identifying and hiring qualified personnel, especially as we pursue our growth strategy. We may not be able to hire or retain such personnel at compensation or flexibility levels consistent with our existing compensation structure and policies. We periodically review our compensation levels to ensure they remain competitive, and we may need to further increase compensation in response to competition, inflation or labor shortages, which would increase our operating costs. Many companies with which we compete for experienced employees have greater resources and may be able to offer more attractive terms of employment. In addition, the current regulatory environment related to immigration is uncertain, including with respect to the availability of H1-B and other U.S. visas. If a new or revised U.S. visa program is implemented, it may impact our ability to recruit, hire, retain, or effectively collaborate with qualified skilled personnel.</w:t>
      </w:r>
    </w:p>
    <w:p>
      <w:pPr>
        <w:spacing w:after="0" w:line="2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we have reduced our workforce in the past and may do so again in the future to lower operating costs or streamline operations. Workforce reductions may adversely affect employee morale, culture and productivity, and our ability to attract and retain personnel, result in the loss of institutional knowledge, disrupt operations, or impair our ability to pursue new initiatives due to reduced resources. We may not realize the anticipated benefits or cost savings from workforce reductions, and any failure to effectively manage such actions could adversely affect our business, financial condition and results of operations.</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Borrowers may prepay a loan at any time without penalty, which could reduce our servicing fees and deter our lending partners and institutional investors from investing in loans facilitated through our lending marketplace.</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borrower may decide to prepay all or a portion of the outstanding principal amount on a loan at any time without penalty. If the entire outstanding unpaid principal amount of a loan is prepaid, we would not receive a servicing fee for the period after the loan is prepaid in full. Our AI models are designed to predict prepayment rates, but prepayment may occur for a variety of reasons. If a significant volume of prepayments occur that our AI models do not accurately predict, the amount of our revenue from servicing fees would decline and returns targeted by our lending partners and institutional investors would be adversely affected, which would harm our business and results of operations and our ability to attract new lending partners and institutional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long-term impact of operating with a Digital First workforce on our business, financial condition and results of operations is uncertain.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our announcement of a Digital First work model, remote work with less time in the office has been the primary experience for most of our employees. Our workforce is principally distributed across the U.S., with only limited presence in Canada, and we expect this to continue. There is no guarantee that we will realize any anticipated benefits from this model.</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Digital First model could lead to a negative long-term impact on our operations, the execution of our business plans and sales and marketing efforts, our company culture, or the productivity and retention of key personnel and other employees necessary to conduct our business, or otherwise cause operational failures. The increase in remote working may also result in increased exposure to consumer privacy and data security incidents, or fraudulent activity. If we are unable to successfully address the foregoing risks and challenges as we encounter them, our business, financial condition and results of operations could be adversely affected.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Unfavorable outcomes in legal proceedings may harm our business and results of operations.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and may in the future become, subject to lawsuits by private parties or governmental agencies, other claims, examinations, investigations, enforcement actions, legal and administrative cases and proceedings, whether civil or criminal, all of which may affect our financial condition and results of operations. These claims, lawsuits and proceedings could involve a wide range of legal and regulatory matters, including consumer protection, employment, intellectual property, data privacy, securities and other commercial or statutory claims. For example, we are a defendant in a number of securities class actions and other related lawsuits. See the “</w:t>
      </w:r>
      <w:r>
        <w:rPr>
          <w:rFonts w:ascii="Times New Roman" w:cs="Times New Roman" w:eastAsia="Times New Roman" w:hAnsi="Times New Roman"/>
          <w:sz w:val="18"/>
          <w:szCs w:val="18"/>
          <w:i w:val="1"/>
          <w:iCs w:val="1"/>
          <w:color w:val="auto"/>
        </w:rPr>
        <w:t>Legal</w:t>
      </w:r>
      <w:r>
        <w:rPr>
          <w:rFonts w:ascii="Times New Roman" w:cs="Times New Roman" w:eastAsia="Times New Roman" w:hAnsi="Times New Roman"/>
          <w:sz w:val="18"/>
          <w:szCs w:val="18"/>
          <w:color w:val="auto"/>
        </w:rPr>
        <w:t>” section under “</w:t>
      </w:r>
      <w:r>
        <w:rPr>
          <w:rFonts w:ascii="Times New Roman" w:cs="Times New Roman" w:eastAsia="Times New Roman" w:hAnsi="Times New Roman"/>
          <w:sz w:val="18"/>
          <w:szCs w:val="18"/>
          <w:i w:val="1"/>
          <w:iCs w:val="1"/>
          <w:color w:val="auto"/>
        </w:rPr>
        <w:t>Note 11. Commitments and Contingencies</w:t>
      </w:r>
      <w:r>
        <w:rPr>
          <w:rFonts w:ascii="Times New Roman" w:cs="Times New Roman" w:eastAsia="Times New Roman" w:hAnsi="Times New Roman"/>
          <w:sz w:val="18"/>
          <w:szCs w:val="18"/>
          <w:color w:val="auto"/>
        </w:rPr>
        <w:t>” in Part I, Item 1 of this Quarterly Report on Form 10-Q.</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addition, due to the consumer-oriented nature of our business and the application of certain laws and regulations, participants in our industry are regularly named as defendants in litigation alleging violations of federal and state laws and regulations, including consumer protection laws. See the risk factor titled </w:t>
      </w:r>
      <w:r>
        <w:rPr>
          <w:rFonts w:ascii="Times New Roman" w:cs="Times New Roman" w:eastAsia="Times New Roman" w:hAnsi="Times New Roman"/>
          <w:sz w:val="18"/>
          <w:szCs w:val="18"/>
          <w:i w:val="1"/>
          <w:iCs w:val="1"/>
          <w:color w:val="auto"/>
        </w:rPr>
        <w:t>“—If loans originated by our lending partners were found to violate state law, loans facilitated through our marketplace may be unenforceable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or otherwise impaired, we or our lending partners, institutional investors or warehouse lenders may face fines and penalties, and our commercial relationships may suffer, each of which would adversely affect our business and results of operations” </w:t>
      </w:r>
      <w:r>
        <w:rPr>
          <w:rFonts w:ascii="Times New Roman" w:cs="Times New Roman" w:eastAsia="Times New Roman" w:hAnsi="Times New Roman"/>
          <w:sz w:val="18"/>
          <w:szCs w:val="18"/>
          <w:color w:val="auto"/>
        </w:rPr>
        <w:t>for more information.</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were subject to such litigation or enforcement, then any unfavorable results of pending or future legal proceedings may result in contractual damages, fines, penalties, injunctions, the unenforceability, rescission or other impairment of loans originated through our marketplace or other censure that could have an adverse effect on our business, results of operations and financial condition. Even if we adequately address the issues raised by an investigation or proceeding or successfully defend a third-party lawsuit or counterclaim, we may have to devote significant financial and management resources to address these issues, which could harm our business, financial condition and results of operations.</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pursue acquisitions or investments in other businesses or technologies, which could disrupt our business and may not achieve anticipated benefits.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pursue acquisitions or investments in other businesses or technologies as part of our growth strategy. These transactions may require significant management attention, involve the integration of different business models, technologies, systems, controls or cultures, and divert resources from our existing operations.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encounter difficulties integrating acquired businesses, technologies or personnel, or fail to realize anticipated synergies, cost savings or strategic benefits. In addition, acquisitions or investments may expose us to unforeseen liabilities, integration costs, impairment charges, regulatory scrutiny or other risks. If we are unable to successfully manage or integrate these transactions, or if they fail to achieve their intended objectives,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financial reporting relies on significant estimates, judgments, key operating metrics and effective internal controls, and inaccuracies or control failures could adversely affect our business.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our financial statements requires management to make estimates and assumptions that affect reported amounts and disclosures, including with respect to revenue recognition, loan valuation, credit losses, fair value measurements and other areas. Although we believe these estimates and assumptions are reasonable, they are inherently uncertain, may change as new information becomes available, and may differ materially from actual outcomes.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ability to produce timely and accurate financial statements and other periodic reports depends on the maintenance of appropriate information systems, processes and controls. In addition, we regularly assess, and report on, the effectiveness of our internal control over financial reporting. If we or our independent auditors identify deficiencies in internal controls that are deemed to be material weaknesses, or if significant deficiencies or material weaknesses are identified in the future, our financial reporting may be delayed or unreliable.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operating and financial results also depend on certain operating and financial metrics that we disclose, including key measures of loan performance, revenue and related performance indicators. These metrics are based on underlying data that involve estimates and assumptions, may not be comparable to similarly titled measures used by other companies, and may change over time as our business evolves. In addition, certain processes used to aggregate, validate and report underlying operating and financial data may involve manual workflows, which may be time-consuming, difficult to scale, and more susceptible to human error. If actual results differ materially from the estimates used in preparing our operating and financial results, or if inaccuracies or incomplete data result from such processes, or if changes in the way we or others define and use key metrics make those metrics less useful or reliable, our business, financial condition and results of operations could be adversely affected. In addition, we may from time to time publish certain operating or performance metrics on a more frequent basis in our Regulation FD channels, which are subject to the same inherent limitations, estimates and potential variability as our other disclosed metrics.</w:t>
      </w:r>
    </w:p>
    <w:p>
      <w:pPr>
        <w:spacing w:after="0" w:line="21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Deficiencies in our disclosure controls or internal control over financial reporting could lead to material errors in our financial statements, restatements, regulatory scrutiny, loss of investor confidence and reputational harm. Any of the foregoing could adversely affect our business, financial condition and results of operations.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maintain cash deposits in excess of federally insured limits, and adverse developments affecting financial institutions could adversely affect our liquidity and financial performance.</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regularly maintain domestic cash deposits in FDIC insured banks that exceed the FDIC insurance limits. Adverse developments affecting financial institutions or the broader banking system, including bank failures, liquidity constraints or disruptions in the financial or credit markets, could impair our ability to access such funds in a timely manner, which could adversely affect our liquidity, financial condition and results of operations. There can be no assurance that our deposits in excess of the FDIC or other comparable insurance limits will be backstopped by the U.S. Treasury, or that any bank or financial institution with which we do business will be able to obtain needed liquidity from other banks, government institutions or by acquisition in the event of a failure or liquidity crisis.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subject to the risks of natural disasters and other catastrophic events, many of which are becoming more acute and frequent due to climate change, and to interruption by human-induced problems.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Significant natural disasters or other catastrophic events, such as earthquakes, fires, hurricanes, blizzards or floods (including those associated with climate change), as well as power losses, telecommunications failures, strikes, epidemics or pandemics, cyber incidents, system failures or failures of financial institutions, could adversely affect our business, results of operations and financial condition. The effects of climate change may increase the frequency or severity of certain natural disasters. Our operations, including our headquarters in the San Francisco Bay Area and our office in Columbus, Ohio, are located in regions that may be vulnerable to earthquakes, wildfires,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severe weather events or other climate-related conditions. Although we maintain disaster response plans and insurance, such events could disrupt our business, the operations of our lending partners or third-party suppliers, and result in losses and additional costs to maintain or resume operations. Our insurance coverage may be insufficient to compensate us for all losses that may occur. In addition, for loans secured by collateral, catastrophic events may also damage or impair collateral or adversely affect collateral values, which could reduce recovery amounts and increase losses.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Acts of war, armed conflict, terrorism, geopolitical unrest, disruptions in global trade, or travel restrictions could cause business disruptions and lead to interruptions, delays or loss of critical data. If our business continuity or disaster recovery plans prove inadequate, or if our personnel, systems or data centers are affected, we may experience interruptions or delays in our operations. To the extent these events adversely affect borrowers’ ability to repay their loans, our business, financial condition and results of operations could be negatively affected.</w:t>
      </w:r>
    </w:p>
    <w:p>
      <w:pPr>
        <w:spacing w:after="0" w:line="20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AND PLATFORM DEVELOPMENT</w:t>
      </w:r>
    </w:p>
    <w:p>
      <w:pPr>
        <w:spacing w:after="0" w:line="2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Security breaches, improper access to our or borrowers’ data, or other security incidents may harm our reputation, adversely affect our results of operations and expose us to liability.</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increasingly dependent on data, information systems, services and infrastructure to operate our business. In the ordinary course of our business, we collect, transmit, store and otherwise process large amounts of sensitive information, including personal information, credit information, and other sensitive data of borrowers and potential borrowers. It is critical that we do so in a manner designed to maintain the confidentiality, integrity, and availability of such information. We also rely on third-party vendors and service providers, including those that support our information technology infrastructure, and certain of these third parties may have access to our systems or sensitive information.</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information technology systems, as well as those of our third-party vendors and service providers, are vulnerable to inadvertent or intentional security breaches, attacks, outages, disruptions and other incidents. The size, complexity, accessibility and distributed nature of our information technology systems, including systems operated by third parties on our behalf, may increase the likelihood or severity of such incidents. These risks may arise from actions by employees, contractors, vendors, lending partners, institutional investors or other third parties, as well as from malicious threat actors. While we continue to invest in security controls and monitoring, no system can provide absolute security, and our controls and any related actions may fail to prevent, detect, or remediate security incidents promptly or at all. In addition, our use of advanced technologies, including AI, may introduce additional cybersecurity risks or be exploited by threat actors, increasing the complexity of managing our security environment.</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Like other financial and technology services firms, we and certain vendors and service providers that support us have been, and continue to be, the targets of actual or attempted unauthorized access, mishandling or misuse of information, computer viruses or malware, distributed denial-of-service attacks, other cyberattacks, security breaches or incidents, or other similar events. Security breaches, attacks, outages, disruptions, or other incidents affecting us or our vendors or service providers could compromise the confidentiality, integrity or availability of our systems, proprietary models, algorithms, or data, cause service interruptions, disrupt our operations, degrade the user experience of our platform, or result in unauthorized access to, disclosure of, or other processing of sensitive information, including borrower data. Such incidents could adversely affect borrowers, lending partners and other third parties that rely on our platform and could harm our reputation, reduce loan originations or otherwise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Security incidents, whether actual or perceived, may trigger notification obligations, regulatory investigations or enforcement actions, litigation, contractual liability, significant remediation costs, or negative publicity. Any of these consequences could cause borrowers, lending partners, or other third parties to lose confidence in our platform and could harm our reputation. We maintain insurance policies intended to cover certain cybersecurity and privacy-related risks; however, this coverage may be insufficient, unavailable on acceptable terms, subject to exclusions or deductibles, or contested by insurers. Any security incident could adversely affect our business, financial condition, and results of operations.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Any significant disruption of, or failure in, our technology systems, including our AI lending platform, could adversely affect our business, financial condition and results of operations.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depends on the continuous operation, availability and security of our AI lending platform and related technology systems. We rely on these systems to process loan applications, service loans, support underwriting and pricing decisions, and manage data and reporting for our lending partners and institutional investors. Our reliance on electronic loan origination, disclosures and signatures, rather than paper-based processes, may increase the risk of errors or system failures.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also dependent on a number of third-party infrastructure and services, including cloud computing, data storage and network services, to operate our platform. If these services are interrupted, degraded or terminated, whether due to system failures, cyber incidents, human error or other causes, we could experience disruptions in our operations and delays in loan processing or servicing. For example, we host our AI lending platform using AWS, a provider of cloud infrastructure services. In the event that our AWS service agreements are terminated, there is a lapse of service, interruption of internet service provider connectivity, or damage to AWS data centers, we could experience interruptions in access to our platform, as well as delays and additional expense if we must secure alternative cloud infrastructure services, which could reduce confidence in the reliability of our platform and cause lending partners or institutional investors to reduce, suspend or cease funding or other participation on our marketplace.</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collect, store, and process large volumes of sensitive borrower and applicant information, as well as proprietary information, including data used to develop, train, and operate our AI models and related technologies. Unauthorized access to or use of our systems or data, or other security breaches or incidents could result in service disruptions, loss of data, including proprietary or AI-related data, regulatory investigations and other proceedings, litigation, remediation costs and reputational harm.</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disaster recovery, business continuity and information security controls may not be effective in all circumstances. As our business grows and our technology systems become more complex, we may need to make significant investments to maintain the capacity, reliability and security of our platform. Any failure to effectively manage these risks could adversely affect our business, financial condition and results of operations.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platform and internal systems rely on software that is highly technical, and if our software contains undetected errors, our business could be adversely affected.</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platform and internal systems rely on software that is highly technical and complex and depend on the ability of such software to store, retrieve, process and manage high volumes of data. The software on which we rely has contained, and may in the future contain, errors, bugs or defects, some of which may not be discovered until after deployment.</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real or perceived errors, bugs, or defects could result in incorrect or delayed processing of loan applications, inaccurate pricing or disclosures, failures in compliance or fraud-detection controls, disruptions to our platform or services, or other operational issues. Any such failures could harm our reputation, reduce borrower or lending partner confidence, cause lending partners or institutional investors to reduce, suspend or terminate their participation or funding, increase regulatory scrutiny, expose us to fines, penalties or liability, or otherwise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may be difficult and costly to protect our intellectual property rights, and we may not be able to ensure their protection.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ability to operate our platform depends, in part, upon our proprietary technology. We may be unable to protect our proprietary technology effectively, which may allow competitors to duplicate our AI models or AI lending marketplace and adversely affect our ability to compete with them. We rely on a combination of copyright, trade secret, patent, trademark laws and other rights, as well as confidentiality procedures and contractual provisions, to protect our proprietary technology, processes and other intellectual property. We have limited patent protection, and our current patent applications may not be successful. A third party may attempt to reverse engineer or otherwise obtain and use our proprietary technology without our consent. Our failure to secure, protect and enforce our intellectual property rights could adversely affect our brand and adversely impact our business.</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proprietary technology, including our AI models, may actually or may be alleged to infringe upon third-party intellectual property rights, and we may face intellectual property challenges from such other parties. We may not be successful in defending against any such challenges or in obtaining licenses to avoid or resolve any intellectual property disputes. If we are unsuccessful, such claims or litigation could result in a requirement that we pay significant damages or licensing fees, be required to cease using certain technology, limit or change our use of certain data, or make changes to our business to avoid such infringement, any of which could reduce the effectiveness of our AI models or otherwise negatively impact our financial performance. Defending such claims could also be costly, time-consuming and divert management attention.</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Moreover, it has become common in recent years for individuals and groups to purchase intellectual property assets for the sole purpose of making claims of infringement and attempting to extract settlements from companies such as ours. Even where we believe such claims are without merit, defending against them may be expensive and time-consuming. In addition, contractual protections or insurance may be insufficient or unavailable to cover all such costs or liabilities.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Finally, if we are unable to protect, enforce or obtain rights to our proprietary technology, or if third parties successfully challenge those rights, our competitive position and ability to differentiate our platform could be adversely affected, which could in turn harm our business, financial condition and results of operations.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Some aspects of our business processes include open source software, and any failure to comply with the terms of one or more of these open source licenses could negatively affect our business.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incorporate open source software into processes supporting our business. Some of this open source software is governed by licenses such as the GNU General Public License and the Apache License. The terms of various open source licenses have not been definitively interpreted by U.S. courts, and there is a risk that such licenses could be construed in a manner that limits our use of the software, inhibits certain aspects of our systems or otherwise adversely affects our business operations. Certain open source licenses may require that modifications or derivative works be made available under the same license terms. Third parties may seek to enforce the terms of applicable open source licenses, including by demanding the release or licensing of modifications or derivative works. If portions of our proprietary software or AI models are determined to be subject to an open source license, or if license terms are interpreted or change in a manner that imposes additional obligations, we could be required to publicly release source code, re-engineer portions of our platform or models, obtain alternative licenses or change our business practices, any of which could adversely affect our business operations and competitive position.</w:t>
      </w:r>
    </w:p>
    <w:p>
      <w:pPr>
        <w:spacing w:after="0" w:line="21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open source software is generally provided without warranties or assurances regarding its origin, functionality or performance. As a result, open source software may contain vulnerabilities, defects or other issues that could adversely affect our systems. Many of the risks associated with the use of open source software cannot be eliminated and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use of generative or agentic AI technologies by our employees or contractors could expose us to unexpected liability.</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employees and contractors use generative AI technologies in connection with their work, including internally-built generative AI tools that may be integrated into or otherwise impact customer-facing products or services, and the use of such technologies presents risks and challenges that could adversely affect our business. Despite policies governing their use, employee or contractor errors, misuse or unauthorized use of generative AI technologies could result in security incidents and could otherwise introduce security, legal, compliance, or operational risks. Even authorized use of generative AI technologies may generate content, including software code, that is inaccurate, misleading or contains security vulnerabilities. In particular, generative AI tools may produce outputs that appear accurate but are factually incorrect or incomplete, which could result in incorrect information being relied upon by employees or contractors or incorporated into customer-facing products or services. Furthermore, there can be no assurance that our use of generative AI in customer-facing products or services will improve outcomes, enhance user experience, or benefit our business. Use of generative or agentic AI technologies by employees, contractors or others could result in reputational harm, competitive harm or legal liability. In addition, generative AI technologies may introduce cybersecurity risks if vulnerabilities are incorporated into our systems or products. We also use, and may in the future use, agentic AI tools to support servicing or other customer-facing functions, such as customer support, which may increase the risk of errors, inconsistent outputs or failure to adhere to our policies, regulatory obligations or customer expectations.</w:t>
      </w:r>
    </w:p>
    <w:p>
      <w:pPr>
        <w:spacing w:after="0" w:line="2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Many aspects of the legal framework governing intellectual property rights, licensing, and liability related to generative AI remain unsettled, and our use of such generative AI technologies may expose us to claims of copyright infringement, other intellectual property claims, or reputational harm. While we have taken, and continue to take, steps designed to mitigate risks associated with the use of generative AI in our business, including through policies and controls governing the use of generative AI technologies, our use of AI may present ethical, reputational, legal, competitive, and regulatory risks that could adversely affect our business, financial condition, results of operations, and future prospects.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proprietary AI models rely in part on the use of loan applicant and borrower data and other third-party data, and if we lose the ability to use such data, or if such data contain inaccuracies, our business could be adversely affected.</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rely on our proprietary AI models, which are statistical models built using a variety of data sets. Our AI models rely on data collected from applicants and borrowers, data obtained from credit bureaus and other third parties, and our historical credit performance data. If the data used by our AI models are inaccurate, incomplete, outdated, biased or otherwise unreliable, or if our access to such data is limited or interrupted, our models may not perform as expected. Evolving regulatory obligations may limit our ability to access, use or control such data or increase the cost of obtaining it. If our access to applicant, borrower or third-party data is restricted, becomes more costly or is otherwise unavailable, our ability to accurately evaluate borrowers, detect fraud and verify applicant information could be compromised, which could negatively affect pricing accuracy, automation levels and loan volume.</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Data obtained from third-party sources or provided by applicants may be inaccurate, incomplete, outdated or misleading, including due to reporting errors, staleness or applicant misrepresentation. In particular, data from credit bureaus, data brokers, or other consumer reporting agencies may not accurately reflect an applicant’s or borrower’s actual credit history due to reporting errors, staleness, incompleteness or other inaccuracies. In addition, limitations on data access or data quality could impair our ability to train, validate and improve our AI models over time, and could require us to modify our models or data-usage arrangements, or to require us to share proprietary data, which could reduce our competitive advantage. Any of the foregoing could adversely affect our ability to attract borrowers, lending partners and institutional investors and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rely on strategic relationships with loan aggregators to attract applicants to our marketplace, and if we cannot maintain effective relationships with loan aggregators or successfully replace their services, our business could be adversely affected.</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significant number of consumers that apply for a loan on our platform learn about and access our platform through the websites of loan aggregators, typically with hyperlinks from such loan aggregators’ websites to landing pages on our website. While we are continuing to expand our direct acquisition channels, we expect to remain significantly dependent on relationships with loan aggregators to maintain and grow our business. For example, a significant amount of our loan originations has been derived from traffic from Credit Karma, one of the loan aggregators with whom we partner. Loan aggregators are not required to display offers from our lending partners and may work with our competitors. If traffic from loan aggregators decreases in the future for any reason or if loan aggregators implement policies that adversely impact our business, our loan originations and results of operations could be adversely affected. There is no assurance that loan aggregators will continue to partner with us on commercially reasonable terms or at all, and our competitors may be effective in providing incentives to loan aggregators to favor their products or services.</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Loan aggregators also face litigation and regulatory scrutiny for their part in the consumer lending ecosystem, and as a result, their business models may require fundamental change or may not be sustainable in the future. For example, loan aggregators may be required to obtain and maintain licenses or comply with additional regulatory requirements in certain jurisdictions, which could subject them to increased supervision and more stringent business obligations. While we require loan aggregators to make certain disclosures in connection with our lending partners’ offers and restrict how loan aggregators may display such loan offers, loan aggregators may fail to comply with these requirements, which could result in liability to us. Further, we do not have control over any content on loan aggregator websites unrelated to our product, and it is possible that our brand and reputation may be adversely affected by being associated with such content. Borrowers or regulators could also assert claims based on the content presented on a loan aggregator’s website, which could result in litigation, regulatory scrutiny or reputational harm.</w:t>
      </w:r>
    </w:p>
    <w:p>
      <w:pPr>
        <w:spacing w:after="0" w:line="2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We rely on third-party vendors, and if such vendors do not perform adequately or terminate their relationships with us, or if regulatory scrutiny of vendor relationships increases, our business could be adversely affected.</w:t>
      </w:r>
    </w:p>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relationships with third-party vendors that provide services critical to the operation of our platform. In some cases, our third-party vendors are one of a limited number of sources of such services. For example, we rely on national consumer reporting agencies for a significant portion of the data used in our AI models, as well as third-party verification technologies and services that are critical to maintaining a high level of automation on our platform. We also rely on third-party payment processors or banks to access payment networks and process loan payments.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Many of our vendor agreements are terminable by either party without penalty and with little notice. If any third-party vendor terminates its relationship with us or refuses to renew its agreement on commercially reasonable terms, we would need to identify an alternative provider and may not be able to secure similar terms or replace such services in an acceptable time frame. We also rely on other software and services supplied by vendors, and our business may be adversely affected if such services do not meet our expectations or experience disruptions or outages.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our third-party vendors fail to comply with applicable laws, regulations or contractual obligations, including with respect to privacy, data protection or security, we could experience service disruptions, regulatory enforcement actions, consumer demands or litigation, and suffer economic or reputational harm. Regulators have increasingly emphasized that supervised financial institutions may be held responsible for the actions of their third-party service providers. As a service provider to regulated financial institutions, we are subject to increased regulatory expectations regarding vendor oversight, due diligence and ongoing monitoring. If we or our vendors fail to meet these expectations, we or our lending partners could be subject to supervisory actions, enforcement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proceedings or remedial requirements, which could adversely affect our business, financial condition and results of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counterparty risk with respect to the capped call transactions.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counterparties to the capped call transactions entered into in connection with certain of our Outstanding Notes are financial institutions, and we are subject to the risk that one or more of the counterparties may default or otherwise fail to perform their obligations under the capped call transactions. Our exposure to the credit risk of the counterparties will not be secured by any collateral. Adverse global economic conditions could affect the financial condition of these counterparties. If a counterparty to a capped call transaction becomes subject to bankruptcy or other insolvency proceedings, we will become an unsecured creditor in those proceedings with a claim equal to our exposure at the time under the relevant capped call transaction. Our exposure will depend on many factors but, generally, our exposure will increase to the extent there is an increase in our common stock market price and in the volatility of the market price of our common stock. In addition, if a counterparty fails to perform or its obligations under a capped call transaction are terminated, we may suffer adverse consequences and may experience greater dilution of our common stock than we otherwise would have expected. We can provide no assurance as to the financial stability or viability of any of the counterparties.</w:t>
      </w:r>
    </w:p>
    <w:p>
      <w:pPr>
        <w:spacing w:after="0" w:line="21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RISKS RELATED TO REGULATION AND LITIGATION</w:t>
      </w:r>
    </w:p>
    <w:p>
      <w:pPr>
        <w:spacing w:after="0" w:line="25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Litigation, regulatory actions and compliance issues could subject us to significant fines, penalties, judgments, remediation costs and other adverse consequences.</w:t>
      </w:r>
    </w:p>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have been named as a defendant in various legal actions, including securities class action lawsuits and other litigation. These matters may arise from claims relating to consumer protection, lending, servicing, collections, credit reporting, marketing or other aspects of our business. Legal and regulatory actions are inherently unpredictable and, regardless of the merits of the claims, are often expensive, time-consuming, disruptive to our operations and resources, and distracting to management.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matters may involve claims for substantial or indeterminate damages, including statutory damages, penalties assessed on a per-violation basis, or class-wide relief, which could exceed amounts we earned from the underlying activities and may not be fully covered by insurance. Our involvement in any such matters could also cause significant harm to our or our lending partners’ reputations, even if the matters are ultimately resolved in our favor. If resolved against us, such actions could result in significant monetary damages, injunctive or equitable relief, remediation requirements or other adverse consequences that may affect our financial condition and how we operate our business.</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participants in the consumer financial services industry, including financial technology companies, have been subject to state attorney general actions and regulatory enforcement proceedings alleging violations of consumer protection, lending, licensing, fair lending or other laws. Any such actions involving us could require significant operational changes, remediation payments or restrictions on our business. In addition, if our arbitration provisions were found to be unenforceable or otherwise limited, our exposure to class action litigation and related costs could increase. From time to time, we may also identify compliance issues that require operational changes or remediation to impacted borrowers, which could result in additional costs, litigation or regulatory scrutiny. The outcome of pending and future legal or regulatory matters could be material to our results of operations, financial condition and cash flows and could materially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are subject to numerous federal, state and local laws and regulations aimed at consumer protection in the financial services industry. These laws and regulations are complex, evolving and subject to varying interpretations, including with respect to the application of AI and machine learning technologies and the bank partnership model. The application of these laws and regulations may change over time as new products are introduced, regulatory priorities evolve, or judicial or administrative interpretations develop.</w:t>
      </w:r>
    </w:p>
    <w:p>
      <w:pPr>
        <w:spacing w:after="0" w:line="20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New laws, regulations and regulatory interpretations continue to be adopted and may subject us to increased scrutiny, compliance obligations or operational constraints. As we expand into new markets, introduce new financial products and services and continue to evolve our AI models, additional regulatory requirements may apply. In some cases, we may be required to obtain or maintain licenses or approvals, and regulators could deny applications, delay approvals, impose conditions, levy fines or penalties, or otherwise restrict our ability to operate our marketplace.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also be subject to heightened regulatory supervision or enforcement at the federal or state level, including by the CFPB, state attorneys general or other regulatory agencies. Federal and state regulators have increased scrutiny of fees and practices that may be viewed as unfair, deceptive or abusive, and fees charged in connection with loans facilitated through our marketplace could be subject to challenge or refund.</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State regulators have also increased scrutiny of financial technology companies and bank partnership arrangements, including through licensing requirements, enforcement actions or the adoption of laws regulating such relationships. Our business and the activities we facilitate for our lending partners are subject to extensive federal and state laws governing consumer lending, loan servicing and collections, credit reporting, fair lending, privacy and data protection, debt collection, electronic payments, marketing and communications, and related financial services activities.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the regulatory framework governing the development and use of AI and machine learning technology is evolving and remains uncertain. Federal and state regulators have increased scrutiny of AI-driven decision-making, including in consumer lending, and have proposed or adopted laws, regulations and guidance addressing AI governance, transparency and discrimination risks. Regulators may require us to demonstrate robust governance, testing, validation, monitoring, documentation and explainability for our AI models and related decisioning processes. In some cases, regulators may seek explanations for specific model outputs or outcomes, which may be difficult, costly or impractical given the complexity of our models. If we are unable to satisfy evolving expectations relating to AI governance or explainability, we may be required to modify, destroy, limit or discontinue certain models, features, data or products, increase manual review or incur additional compliance costs. Certain state laws regulating “high-risk” AI systems may impose additional compliance, governance, disclosure and risk management obligations.</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use of AI and automated decision-making may also expose us to increased risk of regulatory enforcement actions and other proceedings, supervisory findings or private litigation, including claims alleging discriminatory or disparate impact, unfair or deceptive practices or improper reliance on automated decision making. Such actions or claims, regardless of merit, could result in significant legal costs, remediation requirements, civil penalties, other liabilities, reputational harm or restrictions on our business.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compliance is a business priority, it is costly, time-consuming and may limit our operational flexibility. Changes in law, regulation or regulatory interpretation could restrict interest rates, fees or loan structures, require additional licensing or compliance obligations, or otherwise limit the availability of loans facilitated through our marketplace. If we are found to be non-compliant with applicable laws or regulations, we could be subject to fines, penalties, enforcement actions, loss of licenses or authorizations, litigation or other remedies, and loans facilitated through our marketplace could be rendered void, unenforceable, capped at state specific rates or subject to rescission, any of which could harm our business, financial condition and results of operations. For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discussion of risks related to regulation of our bank partnership model and true lender considerations, see the risk factor titled </w:t>
      </w:r>
      <w:r>
        <w:rPr>
          <w:rFonts w:ascii="Times New Roman" w:cs="Times New Roman" w:eastAsia="Times New Roman" w:hAnsi="Times New Roman"/>
          <w:sz w:val="18"/>
          <w:szCs w:val="18"/>
          <w:i w:val="1"/>
          <w:iCs w:val="1"/>
          <w:color w:val="auto"/>
        </w:rPr>
        <w:t>“—If loans originated by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lending partners were found to violate state law, loans facilitated through our marketplace may be unenforceable or otherwise impaired, we or our lending partners, institutional investors or warehouse lenders may face fines and penalties, and our commercial relationships may suffer, each of which would adversely affect our business and results of operations” </w:t>
      </w:r>
      <w:r>
        <w:rPr>
          <w:rFonts w:ascii="Times New Roman" w:cs="Times New Roman" w:eastAsia="Times New Roman" w:hAnsi="Times New Roman"/>
          <w:sz w:val="18"/>
          <w:szCs w:val="18"/>
          <w:color w:val="auto"/>
        </w:rPr>
        <w:t>for more information.</w:t>
      </w:r>
    </w:p>
    <w:p>
      <w:pPr>
        <w:spacing w:after="0" w:line="20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been in the past and may in the future be subject to federal and state regulatory inquiries, investigations or enforcement actions, which could adversely affect our business.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received, and may continue to receive, inquiries, examinations or investigations from federal, state or local regulatory authorities regarding our business, including our marketplace activities, marketing practices, underwriting and pricing, fair lending compliance, licensing and registration requirements. Responding to such matters can be time-consuming and costly, may divert management attention and resources, and could result in supervisory findings, enforcement actions, fines, penalties, remedial requirements and/or restrictions on our operations.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Regulatory inquiries or investigations, whether or not they result in formal enforcement action or are ultimately resolved in our favor, may be made public and could harm our reputation, increase scrutiny from other regulators or market participants, and negatively affect borrower, lending partner or investor confidence. The initiation or perception of regulatory investigations could also adversely affect the market price of our common stock. Any adverse outcomes arising from regulatory matters could materially affect our business, financial condition, results of operations and cash flows.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CFPB and other consumer protection regulators have broad authority over our business, and increased supervision or enforcement could adversely affect our business.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CFPB has broad authority to regulate and enforce compliance with federal consumer financial protection laws, including the prohibition on UDAAP, and laws governing lending, servicing, collections, credit reporting and related activities. The CFPB also has supervisory authority over certain banks, thrifts and credit unions and certain participants in the consumer financial services market and larger participants in other areas of financial services, including some of our lending partners and our home lending business, and has authority to supervise or investigate other non-bank entities it determines may pose risks to consumers.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Consumer complaints, supervisory findings or enforcement actions, whether involving us, our lending partners, or other market participants, could increase regulatory scrutiny of our business. If the CFPB were to subject us or our subsidiaries to supervision or initiate enforcement proceedings, it could require operational changes, remediation to borrowers, civil monetary penalties, restrictions on our activities or other remedial actions.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cannot predict how the CFPB or other regulators will exercise their authority in the future or how changes in regulatory priorities or interpretations may affect our business. The CFPB and other regulators have increased scrutiny of the use of alternative data, machine learning and AI-based decision-making in consumer lending, including with respect to fair lending compliance. If regulators determine that aspects of our AI models, disclosures, servicing or collections practices do not comply with applicable laws, we could be required to modify or discontinue products or practices, incur additional compliance costs or face enforcement actions.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we have committed resources to enhancing our compliance programs, regulatory actions involving us, our lending partners, or other market participants could result in reputational harm, loss of lending partners, borrowers or institutional investors, or reduced demand for loans facilitated through our marketplace. Any of the foregoing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loans originated by our lending partners were found to violate state law, loans facilitated through our marketplace may be unenforceable or otherwise impaired, we or our lending partners, institutional investors or warehouse lenders may face fines and penalties, and our commercial relationships may suffer, each of which would adversely affect our business and results of operations.</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When establishing the interest rates and fee structures charged to borrowers on loans originated through our marketplace, our lending partners rely on federal law preemption of state law to export the interest rate requirements of their home states. We, our securitization vehicles, our institutional investors, and warehouse credit facilities similarly rely on the ability to enforce the agreed-upon loan terms following the sale or assignment of such loans. States have enacted, and may continue to enact, laws or take regulatory or enforcement actions that seek to limit interest rate exportation, challenge federal preemption, impose additional licensing requirements or otherwise restrict bank-partnership lending models.</w:t>
      </w:r>
    </w:p>
    <w:p>
      <w:pPr>
        <w:spacing w:after="0" w:line="21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Usury, fee and disclosure-related claims involving Upstart-powered loans may be raised through litigation, government enforcement or other challenges. Certain courts, regulators and private plaintiffs have challenged, and may continue to challenge, the enforceability of bank-originated loans following their sale or assignment to non-bank entities.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states have enacted, and may continue to enact, “true lender” or similar laws or apply regulatory or judicial tests to determine whether a non-bank platform is deemed to be the lender for purposes of state consumer lending laws. If a borrower or state authority were to successfully assert that we, rather than our lending partners, are the true lender of loans facilitated through our marketplace, such loans could be unenforceable, subject to limits on the interest that can be collected, rescission or otherwise impaired, and we or other program participants could face monetary, injunctive or other penalties.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Loans originated through Upstart’s marketplace are originated in reliance on our lending partners being the “true lenders” for such loans. Their status as the originating lender determines various loan program details, including the interest rates and fees permissible at origination, since the loan terms and lending practices are set by duly chartered banks or credit unions. Because the loans facilitated by our marketplace are originated by our lending partners, many state consumer financial regulatory requirements, including state usury restrictions, licensing requirements and certain requirements under state consumer credit laws, are inapplicable to the loans, based on principles of federal preemption.</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we have taken steps to structure our programs in compliance with applicable laws and guidance, there can be no assurance that future regulatory, legislative or judicial developments will not adversely affect the enforceability or transferability of Upstart-powered loans, or the willingness of lending partners or investors to participate in our marketplace.</w:t>
      </w:r>
    </w:p>
    <w:p>
      <w:pPr>
        <w:spacing w:after="0" w:line="19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The collection, use, storage, sharing and other processing of personal information subjects us to privacy and data protection laws and regulations, and failures to comply could adversely affect our business.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receive, transmit, store and otherwise process large volumes of personal information and other sensitive data from applicants and borrowers. In some cases, this information may include sensitive or biometric data as defined by applicable state law. We share personal information with lending partners and, in more limited circumstances, with institutional investors, subject to contractual, legal and regulatory requirements.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and our lending partners are subject to a growing body of federal and state privacy and data protection laws and regulations governing the collection, use, disclosure, storage, safeguarding and other processing of personal information. These laws and regulations are evolving and subject to differing interpretations, and impose obligations relating to disclosure, consent, data security, data use, data retention, automated decision making and other aspects of data processing. For example, we are subject to privacy and data protection requirements under laws such as the Gramm-Leach-Bliley Act, which are enforced by regulators including the CFPB and the FTC, and violations may be treated as unfair or deceptive acts or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Regulators have increased scrutiny of data security practices, third-party data sharing and user interface or design practices that may be viewed as unfair, deceptive or manipulative. In addition, state privacy laws, including those adopted in California and other jurisdictions, impose additional compliance obligations and have been the basis for increased regulatory enforcement and private litigation.</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efforts to comply with current and future privacy and data protection laws and regulations could result in increased compliance, technical or operating costs and may require us to modify our data infrastructure, data processing practices or business operations. Any actual or perceived violations of these laws and regulations could result in regulatory investigations, enforcement actions and other proceedings, litigation, contractual liability with lending partners, investors, or vendors, remediation costs, reputational harm or restrictions on our ability to operate our business, which could adversely affect our business, financial condition and results of operations.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deemed to be an investment company, investment adviser or broker-dealer, or if our securities-related activities fail to comply with applicable laws, our business could be materially adversely affected.</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neither we nor our subsidiaries are required to register as an investment company under the Investment Company Act of 1940, as amended, because we are primarily engaged in operating an AI-based lending marketplace and providing technology and related services to lending partners. However, the SEC or its staff could disagree with our analysis, including with respect to whether loans or interests in loans held on our balance sheet constitute “investment securities.”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were deemed to be an investment company, we could be required to institute burdensome compliance requirements and be subject to restrictions on our activities, transactions with affiliates, borrowings and capital structure, as well as additional reporting and governance obligations, any of which could materially adversely affect our business.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also believe that neither we nor our subsidiaries are required to register as an investment adviser under the Investment Advisers Act of 1940, as amended, or as a broker-dealer under the Exchange Act, based on the nature of our activities and applicable guidance. However, regulatory interpretations or guidance could change, or regulators could disagree with our positions. If we or any of our subsidiaries were required to register or notice-file as an investment adviser or broker-dealer, or otherwise become subject to such regulatory regimes, we could be required to make significant changes to our business operations, compensation structures, marketing practices or financing activities.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transactions involving institutional investors or loan financing arrangements may rely on exemptions from registration under the Securities Act, including Regulation D or Section 4(a)(2). If such transactions were found not to qualify for an exemption or otherwise violate securities laws, we could be subject to rescission claims, enforcement actions, civil penalties or restrictions on future financing activities, including potential “bad actor” disqualification. Any of the foregoing could materially adversely affect our business, 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Anti-money laundering, sanctions and anti-corruption laws could adversely affect our business.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subject to anti-money laundering, counter-terrorism financing, economic sanctions and anti-corruption laws and regulations, including the Bank Secrecy Act, the USA PATRIOT Act, sanctions administered by the Office of Foreign Assets Control and the Foreign Corrupt Practices Act, either directly or through our lending partners who are subject to such laws. These laws impose obligations related to borrower due diligence, transaction monitoring, recordkeeping, reporting and restrictions on dealings with sanctioned persons or jurisdictions.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Despite our compliance efforts, we cannot provide assurance that our policies, procedures and controls will be effective to prevent violations of these laws by us, our employees, agents, vendors, lending partners or other third parties. Violations or perceived violations of these laws could result in significant fines, penalties, remediation costs, contractual liability, restrictions on our activities and reputational harm, any of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RISKS RELATED TO INDEBTEDNESS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rely on borrowings under our warehouse credit facilities and risk retention financing facilities to fund certain aspects of our operations, and any inability to meet our obligations as they come due or to comply with various covenants or representations contained in our warehouse credit facilities could harm our business.</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rely on borrowings under warehouse credit facilities and risk retention financing facilities to fund certain aspects of our operations, including financing loans and retained interests. These facilities are collateral-based and are secured by loans or securitization-related assets held by SPEs. Our ability to access and maintain these facilities depends on the performance and value of the underlying collateral, compliance with applicable covenants and representations, and the continued willingness of lenders to provide financing.</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warehouse credit facilities and risk retention financing facilities contain operating and financial covenants and other requirements, and under certain circumstances lenders may reduce availability, require repayment of outstanding borrowings, impose additional conditions or terminate their commitments. If we fail to comply with these requirements or experience an event of default, we could be required to repay borrowings, post additional collateral, liquidate assets at unfavorable prices or seek alternative financing, which may be more costly or unavailable.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reduction, suspension or termination of these financing arrangements could limit our ability to purchase or hold loans, reduce loan origination volumes, increase our funding costs or require greater reliance on our balance sheet. If we are unable to obtain replacement financing on acceptable terms, or at all, our business, financial condition and results of operations could be adversely affected.</w:t>
      </w:r>
    </w:p>
    <w:p>
      <w:pPr>
        <w:spacing w:after="0" w:line="1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Corporate and asset-backed debt ratings could adversely affect our ability to support loan funding for our marketplace at attractive rates, which could negatively affect our results of operations, financial condition and liquidity.</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unsecured senior corporate debt may be unrated or rated by a limited number of credit rating agencies, and our asset-backed securities sponsored or co-sponsored by us may likewise be rated by a limited number of credit rating agencies. Ratings assigned to us or to asset-backed securities backed by Upstart-powered loans reflect rating agencies’ opinions regarding the credit performance of the underlying receivables, the ability of cash flows to service interest and repay principal, and the performance of us and other service providers under the applicable transaction documents.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asset-backed securities have been subject to downgrades in the past, and any future downgrade, withdrawal or non-publication of ratings could reduce investor demand, increase funding costs or otherwise limit our ability to provide liquidity or financing to our lending partners and institutional investors. The absence of a corporate debt rating, limited ratings coverage, or adverse rating actions with respect to our asset-backed securities could adversely affect our liquidity, financial condition and results of operations.</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need to raise additional funds in the future, including through equity, equity-linked, or debt financings, to support business growth, and those funds may not be available on acceptable terms, or at all.</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continue to make investments to support our business growth and may require additional funds to respond to business challenges, including developing new loan products, enhancing our AI models, supplementing loan funding, improving our operating infrastructure, acquiring complementary businesses or technologies, or making strategic investments. As a result, we may need to raise additional capital through equity, equity-linked or debt financings.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raise additional funds by issuing equity or equity-linked securities, our stockholders may experience dilution. Debt financing, if available, may involve protective provisions or covenants that restrict our operations or financial flexibility, and any financing we obtain may contain terms that are not favorable to us or our stockholders. If we are unable to obtain adequate financing on satisfactory terms when required, we may be unable to pursue certain business opportunities, respond effectively to business challenges or continue to support our business growth, which could adversely affect our business, financial condition and results of operations.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issued the Notes and may issue additional equity-linked or debt securities in the future. Holders of the Outstanding Notes may have the right to require us to repurchase their Notes upon the occurrence of certain events, and upon conversion we may be required to make cash payments unless we elect to settle conversions solely in shares of our common stock. We are also required to repay the Outstanding Notes in cash at maturity unless earlier converted, redeemed or repurchased. We may not have sufficient cash or be able to obtain financing at the times required to meet these obligations, and our ability to do so may be limited by law, regulatory authority or agreements governing our indebtedness. Any failure to meet these obligations could result in defaults or cross-defaults that adversely affect our liquidity,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in the Indentures governing the Outstanding Notes may deter or prevent a business combination that may be favorable to you.</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 fundamental change (as defined in the applicable Indenture governing the Outstanding Notes (each an “Indenture”)) occurs prior to the maturity date for a series of Notes, holders of the applicable series of Notes will have the right, at their option, to require us to repurchase all or a portion of such Notes. In addition, if a make-whole fundamental change (as defined in the applicable Indenture governing the Outstanding Notes) occurs prior to the maturity date of the applicable series of Notes, we may be required to increase the conversion rate for holders that elect to convert their Notes in connection with such make-whole fundamental change, in the manner specified in the applicable Indenture.</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Furthermore, the Indentures restrict our ability to engage in certain mergers, consolidations or similar transactions unless, among other things, the surviving entity assumes our obligations under the Outstanding Notes. These and other provisions in the Indentures could discourage, delay or prevent a third party from acquiring us or otherwise engaging in a transaction that may be favorable to our stockholders.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TAXES</w:t>
      </w:r>
    </w:p>
    <w:p>
      <w:pPr>
        <w:spacing w:after="0" w:line="200" w:lineRule="exact"/>
        <w:rPr>
          <w:sz w:val="20"/>
          <w:szCs w:val="20"/>
          <w:color w:val="auto"/>
        </w:rPr>
      </w:pPr>
    </w:p>
    <w:p>
      <w:pPr>
        <w:spacing w:after="0" w:line="2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use our deferred tax assets to offset future taxable income may be subject to certain limitations, which may have a material impact on our result of operations.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2026, we have recorded a valuation allowance to recognize only deferred tax assets that are more likely than not to be realized in the U.S. federal, state and local tax jurisdictions. We assess available positive and negative evidence to determine whether sufficient future taxable income will be generated to utilize our deferred tax assets. Certain deferred tax assets may expire unused or underutilized, which could prevent us from offsetting future taxable income.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also be limited in the portion of NOLs that we can use to offset taxable income for U.S. federal and state income tax purposes. The Tax Cuts and Jobs Act made significant changes to the utilization of NOLs. In addition, under Section 382 of the Internal Revenue Code of 1986, as amended, an ownership change may limit our ability to utilize NOLs. Future changes in our stock ownership, including equity issuances, share repurchases or other transactions, could result in an ownership change for this purpose. Limitations may also apply under state and local law.</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continue to assess the realizability of our deferred tax assets, and future adjustments to our valuation allowance may be required, which could materially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tax laws could have a material adverse effect on our business, financial condition and results of operations.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subject to U.S. federal, state and local taxes in the jurisdictions in which we operate, and applicable tax laws and rates vary and are subject to interpretation and change. We may be subject to examination by tax authorities on income, employment, and other tax matters. Although we regularly assess the adequacy of our tax provisions, there can be no assurance that such provisions will be sufficient or will not be subject to challenge or that an adverse determination would not have a material effect on our business, financial condition and results of operations.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 the ultimate amount of tax payable in a given financial statement period may be impacted by changes in tax laws, interpretations, accounting rules or the geographic mix of our earnings, which could cause our tax obligations to differ materially from amounts recorded in our financial statements. As a result, our tax provision involves significant judgment and uncertainty, and fluctuations in our ultimate tax liabilities could materially affect our results of operations.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Taxing authorities may successfully assert that we should have collected or in the future should collect sales and use, gross receipts, value added or similar taxes and may successfully impose additional obligations on us, and any such assessments or obligations could adversely affect our business, financial condition and results of operations.</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application of indirect taxes, such as sales and use tax, value-added tax, digital services tax, gross receipts tax, and other similar taxes to platform and financial technology businesses is complex and evolving. Many of the statutes and regulations that impose these taxes were established before the adoption and growth of the Internet and e-commerce. Significant judgment is required to evaluate applicable tax obligations, and as a result, amounts recorded are estimates and are subject to adjustments. In many cases, the ultimate tax determination is uncertain because it is not clear how new and existing statutes might apply to our business. Proposed or newly enacted laws or interpretations regarding indirect taxes could increase our compliance obligation. Any failure by us to prepare for or comply with applicable reporting and record-keeping requirements could result in penalties and other sanctions and could adversely affect our financial condition and results of operations.</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faced, and may face in the future, indirect tax audits in various U.S. jurisdictions. Tax authorities may challenge our calculation, reporting or collection of taxes and may require us to collect taxes in jurisdictions in which we do not currently do so or to remit additional taxes and interest, and could impose associated penalties and fees. Although we have recorded reserves for potential payments of past tax liabilities in our financial statements, a successful assertion by one or more tax authorities could result in substantial tax liabilities in excess of such reserves as well as penalties and interest, and could harm our business, financial condition and results of operations. As a result, the ultimate amount of tax obligations owed may differ from the amounts recorded in our financial statements, and any such difference may adversely impact our results of operations in future years in which we change our estimates of our tax obligations or in which the ultimate tax outcome is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trading price of our common stock may be volatile, and you could lose all or part of your investment.</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trading price of our common stock may be volatile and could fluctuate significantly in response to various factors, many of which are beyond our control. These fluctuations could cause you to lose all or part of your investment. Factors that could affect the trading price of our common stock include general market and economic conditions, volatility in the trading prices of financial technology and technology companies, changes in interest or inflation rates, a reduction in the availability of loan funding and liquidity from lending partners and institutional investors, quarterly fluctuations in demand for the loans we facilitate through our marketplace, changes in our operating performance or results of operations, sales or issuances of shares of our common stock, whether in connection with an acquisition or upon conversion of some or all of the Outstanding Notes, analyst coverage or reports, announcements by us or our competitors, litigation or regulatory actions, data security incidents, changes in laws or accounting standards, developments relating to our intellectual property, market perception of our AI models, changes in the competitive landscape, and other events or factors beyond our control.</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stock market has experienced extreme price and volume fluctuations that have often been unrelated or disproportionate to the operating performance of individual companies. As a result, the market price of our common stock may be affected by factors unrelated to our operating performance. In addition, securities class action litigation such as the litigation we are subject to has often been instituted following periods of market volatility, which could result in substantial costs and divert management’s attention and resources, potentially harming our business.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cannot guarantee that our share repurchase program will be fully consummated or that it will enhance long-term shareholder value. Share repurchases could also affect the trading price of our stock, increase volatility of our stock and diminish our cash reserves.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our Board of Directors has authorized a share repurchase program that does not have an expiration date, the program does not obligate us to repurchase any specific dollar amount or to acquire any specific number of shares of our common stock. We cannot guarantee that the program will be fully consummated or that it will enhance long-term stockholder value. The timing and number of shares repurchased under the program will depend on a variety of factors, including stock price, trading volume, and general business and market conditions. The program could affect the trading price of our stock, increase volatility and diminish our cash reserves. Our Board of Directors will review the program periodically and may authorize adjustments of its terms if appropriate. Any announcement of a suspension or termination of this program may result in a decrease in the trading price of our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capped call transactions entered into in connection with the issuance of certain of the Notes may affect the market price of our common stock.</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certain of the Notes, we entered into privately negotiated capped call transactions with certain financial institutions as counterparties. These capped call transactions are expected generally to reduce the potential dilution to our common stock upon any conversion of the applicable Notes and/or offset any cash payments we may be required to make in excess of the principal amount of such converted Notes, as the case may be, with such reduction and/or offset subject to a cap.</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applicable series of Notes. This activity could also cause or prevent an increase or a decrease in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insiders have significant voting power, which could limit your ability to influence the outcome of key transactions, including a change of control.</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directors, officers, and stockholders who own greater than 5% of our outstanding capital stock and their affiliates, in the aggregate, beneficially own a significant portion of the outstanding shares of our capital stock. As a result, these stockholders, if acting together, are able to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could deprive our stockholders of an opportunity to receive a premium for their common stock as part of a sale, and might ultimately affect the trading price of our 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large number of shares of our capital stock eligible or registered for public sale could depress the market price of our common stock.</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could decline as a result of sales of a large number of shares of our common stock, or the perception that such sales could occur. Subject to applicable vesting conditions and compliance with our insider trading policies, shares issued upon the settlement of equity awards or other equity issuances may be available for resale in the open market. In addition, shares may be sold into the market in connection with “sell-to-cover” transactions to satisfy tax withholding obligations upon the vesting of equity awards, which could increase selling pressure on our common stock.</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from time to time register shares for resale or issue shares in connection with financings or other transactions. We have an effective shelf registration statement on Form S-3ASR that permits us to offer and sell shares of our common stock, including through an ATM Program. Sales of our shares could make it more difficult for us to sell equity securities in the future at times and prices that we deem appropriate, could cause the trading price of our common stock to decline, and could make it more difficult for stockholders to sell their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 may be diluted by the future issuance of additional common stock in connection with our equity incentive plans, acquisitions or otherwise.</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additional shares of our common stock in the future in connection with financings, acquisitions, investments, our equity incentive plans or otherwise. We expect to continue granting equity awards to employees, directors and consultants under our equity incentive plans, and we may also raise capital through equity financings in the future. Any common stock that we issue pursuant to equity incentive plans, financings or acquisitions could dilute the percentage ownership held by existing stockholders and could result in a decline in the per-share value of our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relating to the Notes may dilute the ownership interest of stockholders, or may otherwise depress the price of our common stock.</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Notes are converted by holders, we are required under the applicable Indentures to pay or deliver, as the case may be, cash, shares of our common stock, or a combination of cash and shares of common stock, at our election. If we elect to deliver shares of common stock upon conversion of the Notes, it would dilute the ownership interests of existing stockholders. Any sales in the public market of the common stock issuable upon such conversion could adversely affect prevailing market prices of our common stock. In addition, certain holders of the Notes may engage in short selling to hedge their position in the Notes. Anticipated future issuances of shares of our common stock upon conversion of the Notes could depress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Delaware law and provisions in our amended and restated certificate of incorporation and amended and restated bylaws could make a merger, tender offer, or proxy contest difficult, thereby depressing the market price of our common stock.</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unless certain conditions are met,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75"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classified into three classes with staggered three-year terms and directors may only be removed for cause;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and newly-created seats on our Board of Directors will be able to be filled only by our Board of Directors and not by stockholders;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Chair of our Board of Directors, our Chief Executive Officer, our president, or a majority of our entire Board of Directors are authorized to call a special meeting of stockholders;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litigation against us or our directors, stockholders, officers or employees can only be brought in Delaware;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 and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the above anti-takeover provisions in our amended and restated certificate of incorporation or amended and restated bylaws will require the approval of at least 66 2/3% of the combined voting power of our then-outstanding shares of our capital stock.</w:t>
      </w:r>
    </w:p>
    <w:p>
      <w:pPr>
        <w:spacing w:after="0" w:line="2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common stock.</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amended and restated bylaws designate a state or federal court located within the State of Delaware (or any federal district court for Securities Act claims) as the exclusive forum for substantially all disputes between us and our stockholders, which could limit our stockholders’ ability to choose the judicial forum for disputes with us or our directors, officers or employees.</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stockholders, officers, or other employees to us or our stockholders, (iii) any action arising pursuant to any provision of the Delaware General Corporation Law, our amended and restated certificate of incorporation, or our amended and restated bylaws, or (iv)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States are the sole and exclusive forum for resolving any complaint asserting a cause of action arising under the Securities Act. Although we believe these provisions are enforceable, there is uncertainty as to whether a court would enforce such forum-selection provisions, and if a court were to find them unenforceable, we could incur additional costs associated with resolving disputes in other jurisdictions.</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person or entity purchasing, holding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This exclusive forum provision does not apply to any causes of action arising under the Exchange Act or any other claim for which the federal or other courts have exclusive jurisdiction. If a court were to find either of the exclusive-forum provisions in our amended and restated bylaws to be inapplicable or unenforceable in an action, we may incur additional costs associated with resolving the dispute in other jurisdictions, which could harm our results of operations.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common stock market price and trading volume could decline if equity or industry analysts do not publish research or publish inaccurate or unfavorable research about our business.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equity or industry analysts publish about us or our business. The analysts’ estimates are based upon their own opinions and are often different from our estimates or expectations. If one or more of the analysts who cover us downgrade our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could cause the price and trading volume of our common stock to decline.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intend to pay dividends for the foreseeable future.</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never declared nor paid cash dividends on our capital stock. We currently intend to retain any future earnings to finance the operation and expansion of our business, as well as to fund our share repurchase program, and we do not expect to declare or pay any dividends in the foreseeable future. In addition, the terms of our corporate debt agreements may preclude us from paying dividends. As a result, capital appreciation of our common stock, if any, will be the only way for stockholders to realize any future gains on their investment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2. UNREGISTERED SALES OF EQUITY SECURITIES AND USE OF PROCEEDS</w:t>
      </w:r>
    </w:p>
    <w:p>
      <w:pPr>
        <w:spacing w:after="0" w:line="2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DEFAULTS UPON SENIOR SECURITIES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75"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OTHER INFORMATION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Securities Trading Plans of Executive Officers and Directors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From time to time, some of the Company’s executive officers or directors may enter into trading plans that are designed to comply with the Company’s Insider Trading Policy and intended to satisfy the affirmative defense conditions of Rule 10b5-1(c) of the Exchange Act.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2026, the following officers or directors (as defined in Rule 16a-1(f) of the Exchange Act) of the Company each adopted a “Rule 10b5-1 trading arrangement” (as defined under Item 408(a) of Regulation 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title of director and officer: Dave Girouard, Former Chief Executive Officer, Executive Chairman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adoption: September 9,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Duration of the trading arrangement: Through November 30, 2027, or earlier if all transactions under the trading arrangement are completed</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Aggregate number of securities to be sold from time to time: up to 1,490,596 shares of common stock, including up to 1,356,704 shares issuable upon the exercise of outstanding options and up to 133,892 founder shares held through two trusts.</w:t>
      </w:r>
    </w:p>
    <w:p>
      <w:pPr>
        <w:spacing w:after="0" w:line="2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None of the Company’s other officers or directors adopted, modified, or terminated a “Rule 10b5-1 trading arrangement” or adopted, modified, or terminated a “non-Rule 10b5-1 trading arrangement” (as defined under Item 408(a) of Regulation S-K) during the quarter ended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b w:val="1"/>
          <w:bCs w:val="1"/>
          <w:color w:val="auto"/>
        </w:rPr>
        <w:t>ITEM 6. EXHIBITS</w:t>
      </w:r>
    </w:p>
    <w:p>
      <w:pPr>
        <w:spacing w:after="0" w:line="2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listed below are filed as part of this Quarterly Report on Form 10-Q or are incorporated herein by reference, in each case as indicated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EXHIBIT INDEX</w:t>
      </w:r>
    </w:p>
    <w:p>
      <w:pPr>
        <w:spacing w:after="0" w:line="306"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ectPr>
          <w:pgSz w:w="11900" w:h="16838" w:orient="portrait"/>
          <w:cols w:equalWidth="0" w:num="1">
            <w:col w:w="11240"/>
          </w:cols>
          <w:pgMar w:left="320" w:top="1301" w:right="339" w:bottom="1440" w:gutter="0" w:footer="0" w:header="0"/>
        </w:sectPr>
      </w:pPr>
    </w:p>
    <w:p>
      <w:pPr>
        <w:spacing w:after="0" w:line="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p>
      <w:pPr>
        <w:jc w:val="right"/>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ind w:left="1760"/>
        <w:spacing w:after="0"/>
        <w:tabs>
          <w:tab w:leader="none" w:pos="4720" w:val="left"/>
          <w:tab w:leader="none" w:pos="5840" w:val="left"/>
          <w:tab w:leader="none" w:pos="7080" w:val="left"/>
          <w:tab w:leader="none" w:pos="8540" w:val="left"/>
        </w:tabs>
        <w:rPr>
          <w:sz w:val="20"/>
          <w:szCs w:val="20"/>
          <w:color w:val="auto"/>
        </w:rPr>
      </w:pPr>
      <w:r>
        <w:rPr>
          <w:rFonts w:ascii="Times New Roman" w:cs="Times New Roman" w:eastAsia="Times New Roman" w:hAnsi="Times New Roman"/>
          <w:sz w:val="18"/>
          <w:szCs w:val="18"/>
          <w:b w:val="1"/>
          <w:bCs w:val="1"/>
          <w:color w:val="auto"/>
        </w:rPr>
        <w:t>Description</w:t>
      </w:r>
      <w:r>
        <w:rPr>
          <w:sz w:val="20"/>
          <w:szCs w:val="20"/>
          <w:color w:val="auto"/>
        </w:rPr>
        <w:tab/>
      </w:r>
      <w:r>
        <w:rPr>
          <w:rFonts w:ascii="Times New Roman" w:cs="Times New Roman" w:eastAsia="Times New Roman" w:hAnsi="Times New Roman"/>
          <w:sz w:val="18"/>
          <w:szCs w:val="18"/>
          <w:b w:val="1"/>
          <w:bCs w:val="1"/>
          <w:color w:val="auto"/>
        </w:rPr>
        <w:t>Form</w:t>
      </w:r>
      <w:r>
        <w:rPr>
          <w:sz w:val="20"/>
          <w:szCs w:val="20"/>
          <w:color w:val="auto"/>
        </w:rPr>
        <w:tab/>
      </w:r>
      <w:r>
        <w:rPr>
          <w:rFonts w:ascii="Times New Roman" w:cs="Times New Roman" w:eastAsia="Times New Roman" w:hAnsi="Times New Roman"/>
          <w:sz w:val="18"/>
          <w:szCs w:val="18"/>
          <w:b w:val="1"/>
          <w:bCs w:val="1"/>
          <w:color w:val="auto"/>
        </w:rPr>
        <w:t>File No.</w:t>
      </w:r>
      <w:r>
        <w:rPr>
          <w:sz w:val="20"/>
          <w:szCs w:val="20"/>
          <w:color w:val="auto"/>
        </w:rPr>
        <w:tab/>
      </w: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19685</wp:posOffset>
            </wp:positionV>
            <wp:extent cx="7132320" cy="4368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436880"/>
                    </a:xfrm>
                    <a:prstGeom prst="rect">
                      <a:avLst/>
                    </a:prstGeom>
                    <a:noFill/>
                  </pic:spPr>
                </pic:pic>
              </a:graphicData>
            </a:graphic>
          </wp:anchor>
        </w:drawing>
        <w:drawing>
          <wp:anchor simplePos="0" relativeHeight="251657728" behindDoc="1" locked="0" layoutInCell="0" allowOverlap="1">
            <wp:simplePos x="0" y="0"/>
            <wp:positionH relativeFrom="column">
              <wp:posOffset>3482340</wp:posOffset>
            </wp:positionH>
            <wp:positionV relativeFrom="paragraph">
              <wp:posOffset>-245110</wp:posOffset>
            </wp:positionV>
            <wp:extent cx="28803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Exchange Act Rules 13a-14(a) and 15d-14(a), as adopted</w:t>
      </w:r>
    </w:p>
    <w:p>
      <w:pPr>
        <w:spacing w:after="0"/>
        <w:rPr>
          <w:sz w:val="20"/>
          <w:szCs w:val="20"/>
          <w:color w:val="auto"/>
        </w:rPr>
      </w:pPr>
      <w:r>
        <w:rPr>
          <w:rFonts w:ascii="Times New Roman" w:cs="Times New Roman" w:eastAsia="Times New Roman" w:hAnsi="Times New Roman"/>
          <w:sz w:val="18"/>
          <w:szCs w:val="18"/>
          <w:u w:val="single" w:color="auto"/>
          <w:color w:val="0000FF"/>
        </w:rPr>
        <w:t>pursuant to Section 302 of the Sarbanes-Oxley Act of 2002.</w:t>
      </w:r>
    </w:p>
    <w:p>
      <w:pPr>
        <w:spacing w:after="0" w:line="30" w:lineRule="exact"/>
        <w:rPr>
          <w:sz w:val="20"/>
          <w:szCs w:val="20"/>
          <w:color w:val="auto"/>
        </w:rPr>
      </w:pPr>
    </w:p>
    <w:p>
      <w:pPr>
        <w:sectPr>
          <w:pgSz w:w="11900" w:h="16838" w:orient="portrait"/>
          <w:cols w:equalWidth="0" w:num="2">
            <w:col w:w="880" w:space="340"/>
            <w:col w:w="10020"/>
          </w:cols>
          <w:pgMar w:left="320" w:top="130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39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w:t>
            </w:r>
          </w:p>
        </w:tc>
        <w:tc>
          <w:tcPr>
            <w:tcW w:w="6100" w:type="dxa"/>
            <w:vAlign w:val="bottom"/>
            <w:gridSpan w:val="6"/>
          </w:tcPr>
          <w:p>
            <w:pPr>
              <w:spacing w:after="0"/>
              <w:rPr>
                <w:sz w:val="18"/>
                <w:szCs w:val="18"/>
                <w:color w:val="auto"/>
              </w:rPr>
            </w:pPr>
          </w:p>
        </w:tc>
      </w:tr>
      <w:tr>
        <w:trPr>
          <w:trHeight w:val="183"/>
        </w:trPr>
        <w:tc>
          <w:tcPr>
            <w:tcW w:w="1220" w:type="dxa"/>
            <w:vAlign w:val="bottom"/>
          </w:tcPr>
          <w:p>
            <w:pPr>
              <w:spacing w:after="0"/>
              <w:rPr>
                <w:sz w:val="15"/>
                <w:szCs w:val="15"/>
                <w:color w:val="auto"/>
              </w:rPr>
            </w:pPr>
          </w:p>
        </w:tc>
        <w:tc>
          <w:tcPr>
            <w:tcW w:w="1002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Exchange Act Rules 13a-14(a) and 15d-14(a), as adopted</w:t>
            </w:r>
          </w:p>
        </w:tc>
      </w:tr>
      <w:tr>
        <w:trPr>
          <w:trHeight w:val="20"/>
        </w:trPr>
        <w:tc>
          <w:tcPr>
            <w:tcW w:w="1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183"/>
        </w:trPr>
        <w:tc>
          <w:tcPr>
            <w:tcW w:w="1220" w:type="dxa"/>
            <w:vAlign w:val="bottom"/>
          </w:tcPr>
          <w:p>
            <w:pPr>
              <w:spacing w:after="0"/>
              <w:rPr>
                <w:sz w:val="15"/>
                <w:szCs w:val="15"/>
                <w:color w:val="auto"/>
              </w:rPr>
            </w:pPr>
          </w:p>
        </w:tc>
        <w:tc>
          <w:tcPr>
            <w:tcW w:w="1002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r>
      <w:tr>
        <w:trPr>
          <w:trHeight w:val="48"/>
        </w:trPr>
        <w:tc>
          <w:tcPr>
            <w:tcW w:w="12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5720" w:type="dxa"/>
            <w:vAlign w:val="bottom"/>
          </w:tcPr>
          <w:p>
            <w:pPr>
              <w:spacing w:after="0"/>
              <w:rPr>
                <w:sz w:val="4"/>
                <w:szCs w:val="4"/>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002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Certifications of Principal Executive Officer and Principal</w:t>
            </w:r>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4180" w:type="dxa"/>
            <w:vAlign w:val="bottom"/>
            <w:tcBorders>
              <w:top w:val="single" w:sz="8" w:color="0000FF"/>
            </w:tcBorders>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Financial Officer pursuant to 18 U.S.C. Section 1350 as</w:t>
            </w:r>
          </w:p>
        </w:tc>
        <w:tc>
          <w:tcPr>
            <w:tcW w:w="100" w:type="dxa"/>
            <w:vAlign w:val="bottom"/>
            <w:tcBorders>
              <w:top w:val="single" w:sz="8" w:color="CCEEFF"/>
            </w:tcBorders>
            <w:shd w:val="clear" w:color="auto" w:fill="CCEEFF"/>
          </w:tcPr>
          <w:p>
            <w:pPr>
              <w:spacing w:after="0"/>
              <w:rPr>
                <w:sz w:val="13"/>
                <w:szCs w:val="13"/>
                <w:color w:val="auto"/>
              </w:rPr>
            </w:pPr>
          </w:p>
        </w:tc>
        <w:tc>
          <w:tcPr>
            <w:tcW w:w="5740" w:type="dxa"/>
            <w:vAlign w:val="bottom"/>
            <w:tcBorders>
              <w:top w:val="single" w:sz="8" w:color="CCEEFF"/>
            </w:tcBorders>
            <w:gridSpan w:val="2"/>
            <w:shd w:val="clear" w:color="auto" w:fill="CCEEFF"/>
          </w:tcPr>
          <w:p>
            <w:pPr>
              <w:spacing w:after="0"/>
              <w:rPr>
                <w:sz w:val="13"/>
                <w:szCs w:val="13"/>
                <w:color w:val="auto"/>
              </w:rPr>
            </w:pPr>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4020" w:type="dxa"/>
            <w:vAlign w:val="bottom"/>
            <w:tcBorders>
              <w:top w:val="single" w:sz="8" w:color="0000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906 of the Sarbanes-Oxley</w:t>
            </w:r>
          </w:p>
        </w:tc>
        <w:tc>
          <w:tcPr>
            <w:tcW w:w="6000" w:type="dxa"/>
            <w:vAlign w:val="bottom"/>
            <w:tcBorders>
              <w:top w:val="single" w:sz="8" w:color="CCEEFF"/>
            </w:tcBorders>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Act</w:t>
            </w:r>
          </w:p>
        </w:tc>
      </w:tr>
      <w:tr>
        <w:trPr>
          <w:trHeight w:val="189"/>
        </w:trPr>
        <w:tc>
          <w:tcPr>
            <w:tcW w:w="122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0000FF"/>
              <w:bottom w:val="single" w:sz="8" w:color="0000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w w:val="96"/>
              </w:rPr>
              <w:t>of 2002.</w:t>
            </w:r>
          </w:p>
        </w:tc>
        <w:tc>
          <w:tcPr>
            <w:tcW w:w="3680" w:type="dxa"/>
            <w:vAlign w:val="bottom"/>
            <w:tcBorders>
              <w:top w:val="single" w:sz="8" w:color="0000FF"/>
              <w:bottom w:val="single" w:sz="8" w:color="CCEEFF"/>
            </w:tcBorders>
            <w:gridSpan w:val="5"/>
            <w:shd w:val="clear" w:color="auto" w:fill="CCEEFF"/>
          </w:tcPr>
          <w:p>
            <w:pPr>
              <w:spacing w:after="0"/>
              <w:rPr>
                <w:sz w:val="16"/>
                <w:szCs w:val="16"/>
                <w:color w:val="auto"/>
              </w:rPr>
            </w:pPr>
          </w:p>
        </w:tc>
        <w:tc>
          <w:tcPr>
            <w:tcW w:w="5740" w:type="dxa"/>
            <w:vAlign w:val="bottom"/>
            <w:tcBorders>
              <w:top w:val="single" w:sz="8" w:color="CCEEFF"/>
              <w:bottom w:val="single" w:sz="8" w:color="CCEEFF"/>
            </w:tcBorders>
            <w:gridSpan w:val="2"/>
            <w:shd w:val="clear" w:color="auto" w:fill="CCEEFF"/>
          </w:tcPr>
          <w:p>
            <w:pPr>
              <w:spacing w:after="0"/>
              <w:rPr>
                <w:sz w:val="16"/>
                <w:szCs w:val="16"/>
                <w:color w:val="auto"/>
              </w:rPr>
            </w:pPr>
          </w:p>
        </w:tc>
      </w:tr>
      <w:tr>
        <w:trPr>
          <w:trHeight w:val="229"/>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30"/>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175"/>
        </w:trPr>
        <w:tc>
          <w:tcPr>
            <w:tcW w:w="1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101.CAL*</w:t>
            </w:r>
          </w:p>
        </w:tc>
        <w:tc>
          <w:tcPr>
            <w:tcW w:w="100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39"/>
        </w:trPr>
        <w:tc>
          <w:tcPr>
            <w:tcW w:w="1220" w:type="dxa"/>
            <w:vAlign w:val="bottom"/>
          </w:tcPr>
          <w:p>
            <w:pPr>
              <w:spacing w:after="0"/>
              <w:rPr>
                <w:sz w:val="20"/>
                <w:szCs w:val="20"/>
                <w:color w:val="auto"/>
              </w:rPr>
            </w:pP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180"/>
        </w:trPr>
        <w:tc>
          <w:tcPr>
            <w:tcW w:w="12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101.DEF*</w:t>
            </w:r>
          </w:p>
        </w:tc>
        <w:tc>
          <w:tcPr>
            <w:tcW w:w="10020" w:type="dxa"/>
            <w:vAlign w:val="bottom"/>
            <w:gridSpan w:val="8"/>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43"/>
        </w:trPr>
        <w:tc>
          <w:tcPr>
            <w:tcW w:w="1220" w:type="dxa"/>
            <w:vAlign w:val="bottom"/>
            <w:shd w:val="clear" w:color="auto" w:fill="CCEEFF"/>
          </w:tcPr>
          <w:p>
            <w:pPr>
              <w:spacing w:after="0"/>
              <w:rPr>
                <w:sz w:val="21"/>
                <w:szCs w:val="21"/>
                <w:color w:val="auto"/>
              </w:rPr>
            </w:pPr>
          </w:p>
        </w:tc>
        <w:tc>
          <w:tcPr>
            <w:tcW w:w="100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175"/>
        </w:trPr>
        <w:tc>
          <w:tcPr>
            <w:tcW w:w="1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101.LAB*</w:t>
            </w:r>
          </w:p>
        </w:tc>
        <w:tc>
          <w:tcPr>
            <w:tcW w:w="100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39"/>
        </w:trPr>
        <w:tc>
          <w:tcPr>
            <w:tcW w:w="1220" w:type="dxa"/>
            <w:vAlign w:val="bottom"/>
          </w:tcPr>
          <w:p>
            <w:pPr>
              <w:spacing w:after="0"/>
              <w:rPr>
                <w:sz w:val="20"/>
                <w:szCs w:val="20"/>
                <w:color w:val="auto"/>
              </w:rPr>
            </w:pP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180"/>
        </w:trPr>
        <w:tc>
          <w:tcPr>
            <w:tcW w:w="12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101.PRE*</w:t>
            </w:r>
          </w:p>
        </w:tc>
        <w:tc>
          <w:tcPr>
            <w:tcW w:w="10020" w:type="dxa"/>
            <w:vAlign w:val="bottom"/>
            <w:gridSpan w:val="8"/>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243"/>
        </w:trPr>
        <w:tc>
          <w:tcPr>
            <w:tcW w:w="1220" w:type="dxa"/>
            <w:vAlign w:val="bottom"/>
            <w:shd w:val="clear" w:color="auto" w:fill="CCEEFF"/>
          </w:tcPr>
          <w:p>
            <w:pPr>
              <w:spacing w:after="0"/>
              <w:rPr>
                <w:sz w:val="21"/>
                <w:szCs w:val="21"/>
                <w:color w:val="auto"/>
              </w:rPr>
            </w:pPr>
          </w:p>
        </w:tc>
        <w:tc>
          <w:tcPr>
            <w:tcW w:w="100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r>
    </w:tbl>
    <w:p>
      <w:pPr>
        <w:ind w:left="1220" w:right="5680" w:hanging="1194"/>
        <w:spacing w:after="0" w:line="234" w:lineRule="auto"/>
        <w:tabs>
          <w:tab w:leader="none" w:pos="12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212529"/>
        </w:rPr>
        <w:t>*</w:t>
      </w:r>
      <w:r>
        <w:rPr>
          <w:sz w:val="20"/>
          <w:szCs w:val="20"/>
          <w:color w:val="auto"/>
        </w:rPr>
        <w:tab/>
      </w:r>
      <w:r>
        <w:rPr>
          <w:rFonts w:ascii="Times New Roman" w:cs="Times New Roman" w:eastAsia="Times New Roman" w:hAnsi="Times New Roman"/>
          <w:sz w:val="17"/>
          <w:szCs w:val="17"/>
          <w:color w:val="212529"/>
        </w:rPr>
        <w:t>Filed herewith.</w:t>
      </w:r>
    </w:p>
    <w:p>
      <w:pPr>
        <w:spacing w:after="0" w:line="9" w:lineRule="exact"/>
        <w:rPr>
          <w:sz w:val="20"/>
          <w:szCs w:val="20"/>
          <w:color w:val="auto"/>
        </w:rPr>
      </w:pPr>
    </w:p>
    <w:p>
      <w:pPr>
        <w:ind w:left="660" w:hanging="652"/>
        <w:spacing w:after="0" w:line="255" w:lineRule="auto"/>
        <w:tabs>
          <w:tab w:leader="none" w:pos="32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Quarterly Report on Form 10-Q are not deemed filed with the SEC and are not to be incorporated by reference into any filing of the Registrant under the Securities Act,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1" w:right="339" w:bottom="1440" w:gutter="0" w:footer="0" w:header="0"/>
          <w:type w:val="continuous"/>
        </w:sectPr>
      </w:pPr>
    </w:p>
    <w:bookmarkStart w:id="121" w:name="page122"/>
    <w:bookmarkEnd w:id="121"/>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thereunto duly authorized.</w:t>
      </w:r>
    </w:p>
    <w:p>
      <w:pPr>
        <w:spacing w:after="0" w:line="19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58" w:lineRule="exact"/>
        <w:rPr>
          <w:sz w:val="20"/>
          <w:szCs w:val="20"/>
          <w:color w:val="auto"/>
        </w:rPr>
      </w:pPr>
    </w:p>
    <w:p>
      <w:pPr>
        <w:ind w:left="120"/>
        <w:spacing w:after="0"/>
        <w:tabs>
          <w:tab w:leader="none" w:pos="2660" w:val="left"/>
          <w:tab w:leader="none" w:pos="3140" w:val="left"/>
        </w:tabs>
        <w:rPr>
          <w:sz w:val="20"/>
          <w:szCs w:val="20"/>
          <w:color w:val="auto"/>
        </w:rPr>
      </w:pPr>
      <w:r>
        <w:rPr>
          <w:rFonts w:ascii="Times New Roman" w:cs="Times New Roman" w:eastAsia="Times New Roman" w:hAnsi="Times New Roman"/>
          <w:sz w:val="18"/>
          <w:szCs w:val="18"/>
          <w:color w:val="auto"/>
        </w:rPr>
        <w:t>Date: November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Gu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17145</wp:posOffset>
            </wp:positionV>
            <wp:extent cx="50831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083175" cy="8890"/>
                    </a:xfrm>
                    <a:prstGeom prst="rect">
                      <a:avLst/>
                    </a:prstGeom>
                    <a:noFill/>
                  </pic:spPr>
                </pic:pic>
              </a:graphicData>
            </a:graphic>
          </wp:anchor>
        </w:drawing>
      </w:r>
    </w:p>
    <w:p>
      <w:pPr>
        <w:spacing w:after="0" w:line="3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Paul Gu</w:t>
      </w:r>
    </w:p>
    <w:p>
      <w:pPr>
        <w:spacing w:after="0" w:line="5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74" w:lineRule="exact"/>
        <w:rPr>
          <w:sz w:val="20"/>
          <w:szCs w:val="20"/>
          <w:color w:val="auto"/>
        </w:rPr>
      </w:pPr>
    </w:p>
    <w:p>
      <w:pPr>
        <w:ind w:left="120"/>
        <w:spacing w:after="0"/>
        <w:tabs>
          <w:tab w:leader="none" w:pos="2660" w:val="left"/>
          <w:tab w:leader="none" w:pos="3140" w:val="left"/>
        </w:tabs>
        <w:rPr>
          <w:sz w:val="20"/>
          <w:szCs w:val="20"/>
          <w:color w:val="auto"/>
        </w:rPr>
      </w:pPr>
      <w:r>
        <w:rPr>
          <w:rFonts w:ascii="Times New Roman" w:cs="Times New Roman" w:eastAsia="Times New Roman" w:hAnsi="Times New Roman"/>
          <w:sz w:val="18"/>
          <w:szCs w:val="18"/>
          <w:color w:val="auto"/>
        </w:rPr>
        <w:t>Date: November 3, 2026</w:t>
      </w:r>
      <w:r>
        <w:rPr>
          <w:sz w:val="20"/>
          <w:szCs w:val="20"/>
          <w:color w:val="auto"/>
        </w:rPr>
        <w:tab/>
      </w:r>
      <w:r>
        <w:rPr>
          <w:rFonts w:ascii="Times New Roman" w:cs="Times New Roman" w:eastAsia="Times New Roman" w:hAnsi="Times New Roman"/>
          <w:sz w:val="18"/>
          <w:szCs w:val="18"/>
          <w:color w:val="auto"/>
        </w:rPr>
        <w:t>By:</w:t>
        <w:tab/>
        <w:t>/s/ Andrea Blankmeyer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17145</wp:posOffset>
            </wp:positionV>
            <wp:extent cx="50831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083175" cy="8890"/>
                    </a:xfrm>
                    <a:prstGeom prst="rect">
                      <a:avLst/>
                    </a:prstGeom>
                    <a:noFill/>
                  </pic:spPr>
                </pic:pic>
              </a:graphicData>
            </a:graphic>
          </wp:anchor>
        </w:drawing>
      </w:r>
    </w:p>
    <w:p>
      <w:pPr>
        <w:spacing w:after="0" w:line="3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Andrea Blankmeyer</w:t>
      </w:r>
    </w:p>
    <w:p>
      <w:pPr>
        <w:spacing w:after="0" w:line="5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40"/>
          </w:cols>
          <w:pgMar w:left="320" w:top="1440"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Gu, certify that:</w:t>
      </w:r>
    </w:p>
    <w:p>
      <w:pPr>
        <w:spacing w:after="0" w:line="225" w:lineRule="exact"/>
        <w:rPr>
          <w:sz w:val="20"/>
          <w:szCs w:val="20"/>
          <w:color w:val="auto"/>
        </w:rPr>
      </w:pPr>
    </w:p>
    <w:p>
      <w:pPr>
        <w:ind w:left="180" w:hanging="172"/>
        <w:spacing w:after="0"/>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Upstart Holdings,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right="140" w:firstLine="8"/>
        <w:spacing w:after="0" w:line="266" w:lineRule="auto"/>
        <w:tabs>
          <w:tab w:leader="none" w:pos="24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24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360" w:firstLine="8"/>
        <w:spacing w:after="0" w:line="266" w:lineRule="auto"/>
        <w:tabs>
          <w:tab w:leader="none" w:pos="2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300" w:firstLine="8"/>
        <w:spacing w:after="0" w:line="282" w:lineRule="auto"/>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 w:firstLine="8"/>
        <w:spacing w:after="0" w:line="282" w:lineRule="auto"/>
        <w:tabs>
          <w:tab w:leader="none" w:pos="24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80" w:firstLine="8"/>
        <w:spacing w:after="0" w:line="282" w:lineRule="auto"/>
        <w:tabs>
          <w:tab w:leader="none" w:pos="2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089"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t>Date: November 3, 2026</w:t>
      </w:r>
    </w:p>
    <w:p>
      <w:pPr>
        <w:spacing w:after="0" w:line="3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UPSTART HOLDINGS, INC.</w:t>
      </w:r>
    </w:p>
    <w:p>
      <w:pPr>
        <w:spacing w:after="0" w:line="360"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Paul Gu</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0" w:type="dxa"/>
            <w:vAlign w:val="bottom"/>
            <w:vMerge w:val="continue"/>
          </w:tcPr>
          <w:p>
            <w:pPr>
              <w:spacing w:after="0"/>
              <w:rPr>
                <w:sz w:val="21"/>
                <w:szCs w:val="21"/>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Gu</w:t>
            </w:r>
          </w:p>
        </w:tc>
        <w:tc>
          <w:tcPr>
            <w:tcW w:w="0" w:type="dxa"/>
            <w:vAlign w:val="bottom"/>
          </w:tcPr>
          <w:p>
            <w:pPr>
              <w:spacing w:after="0"/>
              <w:rPr>
                <w:sz w:val="1"/>
                <w:szCs w:val="1"/>
                <w:color w:val="auto"/>
              </w:rPr>
            </w:pPr>
          </w:p>
        </w:tc>
      </w:tr>
      <w:tr>
        <w:trPr>
          <w:trHeight w:val="25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0139"/>
          </w:cols>
          <w:pgMar w:left="320" w:top="1309" w:right="1440"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Andrea Blankmeyer, certify that:</w:t>
      </w:r>
    </w:p>
    <w:p>
      <w:pPr>
        <w:spacing w:after="0" w:line="225" w:lineRule="exact"/>
        <w:rPr>
          <w:sz w:val="20"/>
          <w:szCs w:val="20"/>
          <w:color w:val="auto"/>
        </w:rPr>
      </w:pPr>
    </w:p>
    <w:p>
      <w:pPr>
        <w:ind w:left="180" w:hanging="172"/>
        <w:spacing w:after="0"/>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Upstart Holdings,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right="140" w:firstLine="8"/>
        <w:spacing w:after="0" w:line="266" w:lineRule="auto"/>
        <w:tabs>
          <w:tab w:leader="none" w:pos="24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24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360" w:firstLine="8"/>
        <w:spacing w:after="0" w:line="266" w:lineRule="auto"/>
        <w:tabs>
          <w:tab w:leader="none" w:pos="2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300" w:firstLine="8"/>
        <w:spacing w:after="0" w:line="282" w:lineRule="auto"/>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 w:firstLine="8"/>
        <w:spacing w:after="0" w:line="282" w:lineRule="auto"/>
        <w:tabs>
          <w:tab w:leader="none" w:pos="24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80" w:firstLine="8"/>
        <w:spacing w:after="0" w:line="282" w:lineRule="auto"/>
        <w:tabs>
          <w:tab w:leader="none" w:pos="2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089"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color w:val="auto"/>
        </w:rPr>
        <w:t>Date: November 3, 2026</w:t>
      </w:r>
    </w:p>
    <w:p>
      <w:pPr>
        <w:spacing w:after="0" w:line="3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UPSTART HOLDINGS, INC.</w:t>
      </w:r>
    </w:p>
    <w:p>
      <w:pPr>
        <w:spacing w:after="0" w:line="360"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Andrea Blankmeyer</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0" w:type="dxa"/>
            <w:vAlign w:val="bottom"/>
            <w:vMerge w:val="continue"/>
          </w:tcPr>
          <w:p>
            <w:pPr>
              <w:spacing w:after="0"/>
              <w:rPr>
                <w:sz w:val="21"/>
                <w:szCs w:val="21"/>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Andrea Blankmeyer</w:t>
            </w:r>
          </w:p>
        </w:tc>
        <w:tc>
          <w:tcPr>
            <w:tcW w:w="0" w:type="dxa"/>
            <w:vAlign w:val="bottom"/>
          </w:tcPr>
          <w:p>
            <w:pPr>
              <w:spacing w:after="0"/>
              <w:rPr>
                <w:sz w:val="1"/>
                <w:szCs w:val="1"/>
                <w:color w:val="auto"/>
              </w:rPr>
            </w:pPr>
          </w:p>
        </w:tc>
      </w:tr>
      <w:tr>
        <w:trPr>
          <w:trHeight w:val="25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0139"/>
          </w:cols>
          <w:pgMar w:left="320" w:top="1309" w:right="1440"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29"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20"/>
          <w:szCs w:val="20"/>
          <w:b w:val="1"/>
          <w:bCs w:val="1"/>
          <w:color w:val="auto"/>
        </w:rPr>
        <w:t>CERTIFICATIONS OF PRINCIPAL EXECUTIVE OFFICER AND PRINCIPAL FINANCIAL OFFICER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4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I, Paul Gu, certify, pursuant to 18 U.S.C. Section 1350, as adopted pursuant to Section 906 of the Sarbanes-Oxley Act of 2002, that the Quarterly Report on Form 10-Q of Upstart Holdings, Inc. for the quarter ended September 30, 2026 fully complies with the requirements of Section 13(a) or 15(d) of the Securities Exchange Act of 1934 and that information contained in such Quarterly Report on Form 10-Q fairly presents, in all material respects, the financial condition and results of operations of Upstart Holdings, Inc.</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5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Date: November 3, 2026</w:t>
            </w:r>
          </w:p>
        </w:tc>
        <w:tc>
          <w:tcPr>
            <w:tcW w:w="88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color w:val="auto"/>
                <w:highlight w:val="white"/>
              </w:rPr>
              <w:t>Paul Gu</w:t>
            </w:r>
          </w:p>
        </w:tc>
      </w:tr>
      <w:tr>
        <w:trPr>
          <w:trHeight w:val="269"/>
        </w:trPr>
        <w:tc>
          <w:tcPr>
            <w:tcW w:w="5480" w:type="dxa"/>
            <w:vAlign w:val="bottom"/>
            <w:tcBorders>
              <w:top w:val="single" w:sz="8" w:color="FEFEFE"/>
            </w:tcBorders>
            <w:shd w:val="clear" w:color="auto" w:fill="FEFEFE"/>
          </w:tcPr>
          <w:p>
            <w:pPr>
              <w:spacing w:after="0"/>
              <w:rPr>
                <w:sz w:val="23"/>
                <w:szCs w:val="23"/>
                <w:color w:val="auto"/>
              </w:rPr>
            </w:pPr>
          </w:p>
        </w:tc>
        <w:tc>
          <w:tcPr>
            <w:tcW w:w="880" w:type="dxa"/>
            <w:vAlign w:val="bottom"/>
            <w:tcBorders>
              <w:top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top w:val="single" w:sz="8" w:color="auto"/>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highlight w:val="white"/>
              </w:rPr>
              <w:t>Paul Gu</w:t>
            </w:r>
          </w:p>
        </w:tc>
      </w:tr>
      <w:tr>
        <w:trPr>
          <w:trHeight w:val="324"/>
        </w:trPr>
        <w:tc>
          <w:tcPr>
            <w:tcW w:w="5480" w:type="dxa"/>
            <w:vAlign w:val="bottom"/>
            <w:shd w:val="clear" w:color="auto" w:fill="FEFEFE"/>
          </w:tcPr>
          <w:p>
            <w:pPr>
              <w:spacing w:after="0"/>
              <w:rPr>
                <w:sz w:val="24"/>
                <w:szCs w:val="24"/>
                <w:color w:val="auto"/>
              </w:rPr>
            </w:pPr>
          </w:p>
        </w:tc>
        <w:tc>
          <w:tcPr>
            <w:tcW w:w="8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311"/>
        </w:trPr>
        <w:tc>
          <w:tcPr>
            <w:tcW w:w="5480" w:type="dxa"/>
            <w:vAlign w:val="bottom"/>
            <w:shd w:val="clear" w:color="auto" w:fill="FEFEFE"/>
          </w:tcPr>
          <w:p>
            <w:pPr>
              <w:spacing w:after="0"/>
              <w:rPr>
                <w:sz w:val="24"/>
                <w:szCs w:val="24"/>
                <w:color w:val="auto"/>
              </w:rPr>
            </w:pPr>
          </w:p>
        </w:tc>
        <w:tc>
          <w:tcPr>
            <w:tcW w:w="880" w:type="dxa"/>
            <w:vAlign w:val="bottom"/>
            <w:shd w:val="clear" w:color="auto" w:fill="FEFEFE"/>
          </w:tcPr>
          <w:p>
            <w:pPr>
              <w:spacing w:after="0"/>
              <w:rPr>
                <w:sz w:val="24"/>
                <w:szCs w:val="24"/>
                <w:color w:val="auto"/>
              </w:rPr>
            </w:pPr>
          </w:p>
        </w:tc>
        <w:tc>
          <w:tcPr>
            <w:tcW w:w="39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(Principal Executive Officer)</w:t>
            </w:r>
          </w:p>
        </w:tc>
      </w:tr>
      <w:tr>
        <w:trPr>
          <w:trHeight w:val="278"/>
        </w:trPr>
        <w:tc>
          <w:tcPr>
            <w:tcW w:w="5480" w:type="dxa"/>
            <w:vAlign w:val="bottom"/>
            <w:shd w:val="clear" w:color="auto" w:fill="FEFEFE"/>
          </w:tcPr>
          <w:p>
            <w:pPr>
              <w:spacing w:after="0"/>
              <w:rPr>
                <w:sz w:val="24"/>
                <w:szCs w:val="24"/>
                <w:color w:val="auto"/>
              </w:rPr>
            </w:pPr>
          </w:p>
        </w:tc>
        <w:tc>
          <w:tcPr>
            <w:tcW w:w="880" w:type="dxa"/>
            <w:vAlign w:val="bottom"/>
            <w:shd w:val="clear" w:color="auto" w:fill="FEFEFE"/>
          </w:tcPr>
          <w:p>
            <w:pPr>
              <w:spacing w:after="0"/>
              <w:rPr>
                <w:sz w:val="24"/>
                <w:szCs w:val="24"/>
                <w:color w:val="auto"/>
              </w:rPr>
            </w:pPr>
          </w:p>
        </w:tc>
        <w:tc>
          <w:tcPr>
            <w:tcW w:w="3980" w:type="dxa"/>
            <w:vAlign w:val="bottom"/>
            <w:shd w:val="clear" w:color="auto" w:fill="FEFEFE"/>
          </w:tcPr>
          <w:p>
            <w:pPr>
              <w:spacing w:after="0"/>
              <w:rPr>
                <w:sz w:val="24"/>
                <w:szCs w:val="24"/>
                <w:color w:val="auto"/>
              </w:rPr>
            </w:pPr>
          </w:p>
        </w:tc>
      </w:tr>
    </w:tbl>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 Andrea Blankmeyer, certify, pursuant to 18 U.S.C. Section 1350, as adopted pursuant to Section 906 of the Sarbanes-Oxley Act of 2002, that the Quarterly Report on Form 10-Q of Upstart Holdings, Inc. for the quarter ended September 30, 2026 fully complies with the requirements of Section 13(a) or 15(d) of the Securities Exchange Act of 1934 and that information contained in such Quarterly Report on Form 10-Q fairly presents, in all material respects, the financial condition and results of operations of Upstart Holdings, Inc.</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5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Date: November 3, 2026</w:t>
            </w:r>
          </w:p>
        </w:tc>
        <w:tc>
          <w:tcPr>
            <w:tcW w:w="86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400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/s/ Andrea Blankmeyer</w:t>
            </w:r>
          </w:p>
        </w:tc>
      </w:tr>
      <w:tr>
        <w:trPr>
          <w:trHeight w:val="270"/>
        </w:trPr>
        <w:tc>
          <w:tcPr>
            <w:tcW w:w="5480" w:type="dxa"/>
            <w:vAlign w:val="bottom"/>
            <w:tcBorders>
              <w:top w:val="single" w:sz="8" w:color="FEFEFE"/>
            </w:tcBorders>
            <w:shd w:val="clear" w:color="auto" w:fill="FEFEFE"/>
          </w:tcPr>
          <w:p>
            <w:pPr>
              <w:spacing w:after="0"/>
              <w:rPr>
                <w:sz w:val="23"/>
                <w:szCs w:val="23"/>
                <w:color w:val="auto"/>
              </w:rPr>
            </w:pPr>
          </w:p>
        </w:tc>
        <w:tc>
          <w:tcPr>
            <w:tcW w:w="860" w:type="dxa"/>
            <w:vAlign w:val="bottom"/>
            <w:tcBorders>
              <w:top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000" w:type="dxa"/>
            <w:vAlign w:val="bottom"/>
            <w:tcBorders>
              <w:top w:val="single" w:sz="8" w:color="auto"/>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Andrea Blankmeyer</w:t>
            </w:r>
          </w:p>
        </w:tc>
      </w:tr>
      <w:tr>
        <w:trPr>
          <w:trHeight w:val="324"/>
        </w:trPr>
        <w:tc>
          <w:tcPr>
            <w:tcW w:w="5480" w:type="dxa"/>
            <w:vAlign w:val="bottom"/>
            <w:shd w:val="clear" w:color="auto" w:fill="FEFEFE"/>
          </w:tcPr>
          <w:p>
            <w:pPr>
              <w:spacing w:after="0"/>
              <w:rPr>
                <w:sz w:val="24"/>
                <w:szCs w:val="24"/>
                <w:color w:val="auto"/>
              </w:rPr>
            </w:pPr>
          </w:p>
        </w:tc>
        <w:tc>
          <w:tcPr>
            <w:tcW w:w="8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40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324"/>
        </w:trPr>
        <w:tc>
          <w:tcPr>
            <w:tcW w:w="5480" w:type="dxa"/>
            <w:vAlign w:val="bottom"/>
            <w:shd w:val="clear" w:color="auto" w:fill="FEFEFE"/>
          </w:tcPr>
          <w:p>
            <w:pPr>
              <w:spacing w:after="0"/>
              <w:rPr>
                <w:sz w:val="24"/>
                <w:szCs w:val="24"/>
                <w:color w:val="auto"/>
              </w:rPr>
            </w:pPr>
          </w:p>
        </w:tc>
        <w:tc>
          <w:tcPr>
            <w:tcW w:w="860" w:type="dxa"/>
            <w:vAlign w:val="bottom"/>
            <w:shd w:val="clear" w:color="auto" w:fill="FEFEFE"/>
          </w:tcPr>
          <w:p>
            <w:pPr>
              <w:spacing w:after="0"/>
              <w:rPr>
                <w:sz w:val="24"/>
                <w:szCs w:val="24"/>
                <w:color w:val="auto"/>
              </w:rPr>
            </w:pPr>
          </w:p>
        </w:tc>
        <w:tc>
          <w:tcPr>
            <w:tcW w:w="40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(Principal Financial Officer)</w:t>
            </w:r>
          </w:p>
        </w:tc>
      </w:tr>
      <w:tr>
        <w:trPr>
          <w:trHeight w:val="48"/>
        </w:trPr>
        <w:tc>
          <w:tcPr>
            <w:tcW w:w="5480" w:type="dxa"/>
            <w:vAlign w:val="bottom"/>
            <w:shd w:val="clear" w:color="auto" w:fill="FEFEFE"/>
          </w:tcPr>
          <w:p>
            <w:pPr>
              <w:spacing w:after="0"/>
              <w:rPr>
                <w:sz w:val="4"/>
                <w:szCs w:val="4"/>
                <w:color w:val="auto"/>
              </w:rPr>
            </w:pPr>
          </w:p>
        </w:tc>
        <w:tc>
          <w:tcPr>
            <w:tcW w:w="860" w:type="dxa"/>
            <w:vAlign w:val="bottom"/>
            <w:shd w:val="clear" w:color="auto" w:fill="FEFEFE"/>
          </w:tcPr>
          <w:p>
            <w:pPr>
              <w:spacing w:after="0"/>
              <w:rPr>
                <w:sz w:val="4"/>
                <w:szCs w:val="4"/>
                <w:color w:val="auto"/>
              </w:rPr>
            </w:pPr>
          </w:p>
        </w:tc>
        <w:tc>
          <w:tcPr>
            <w:tcW w:w="4000" w:type="dxa"/>
            <w:vAlign w:val="bottom"/>
            <w:shd w:val="clear" w:color="auto" w:fill="FEFEFE"/>
          </w:tcPr>
          <w:p>
            <w:pPr>
              <w:spacing w:after="0"/>
              <w:rPr>
                <w:sz w:val="4"/>
                <w:szCs w:val="4"/>
                <w:color w:val="auto"/>
              </w:rPr>
            </w:pPr>
          </w:p>
        </w:tc>
      </w:tr>
    </w:tbl>
    <w:p>
      <w:pPr>
        <w:spacing w:after="0" w:line="1" w:lineRule="exact"/>
        <w:rPr>
          <w:sz w:val="20"/>
          <w:szCs w:val="20"/>
          <w:color w:val="auto"/>
        </w:rPr>
      </w:pPr>
    </w:p>
    <w:sectPr>
      <w:pgSz w:w="11900" w:h="16838" w:orient="portrait"/>
      <w:cols w:equalWidth="0" w:num="1">
        <w:col w:w="11240"/>
      </w:cols>
      <w:pgMar w:left="320" w:top="10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1)"/>
      <w:numFmt w:val="decimal"/>
      <w:start w:val="1"/>
    </w:lvl>
  </w:abstractNum>
  <w:abstractNum w:abstractNumId="11">
    <w:nsid w:val="6CEAF087"/>
    <w:multiLevelType w:val="hybridMultilevel"/>
    <w:lvl w:ilvl="0">
      <w:lvlJc w:val="left"/>
      <w:lvlText w:val="(%1)"/>
      <w:numFmt w:val="decimal"/>
      <w:start w:val="1"/>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bullet"/>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lowerLetter"/>
      <w:start w:val="1"/>
    </w:lvl>
  </w:abstractNum>
  <w:abstractNum w:abstractNumId="38">
    <w:nsid w:val="7A6D8D3C"/>
    <w:multiLevelType w:val="hybridMultilevel"/>
    <w:lvl w:ilvl="0">
      <w:lvlJc w:val="left"/>
      <w:lvlText w:val="%1."/>
      <w:numFmt w:val="lowerLetter"/>
      <w:start w:val="3"/>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decimal"/>
      <w:start w:val="104"/>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decimal"/>
      <w:start w:val="5"/>
    </w:lvl>
  </w:abstractNum>
  <w:abstractNum w:abstractNumId="47">
    <w:nsid w:val="749ABB43"/>
    <w:multiLevelType w:val="hybridMultilevel"/>
    <w:lvl w:ilvl="0">
      <w:lvlJc w:val="left"/>
      <w:lvlText w:val="(%1)"/>
      <w:numFmt w:val="lowerLetter"/>
      <w:start w:val="1"/>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1)"/>
      <w:numFmt w:val="lowerLetter"/>
      <w:start w:val="1"/>
    </w:lvl>
  </w:abstractNum>
  <w:abstractNum w:abstractNumId="50">
    <w:nsid w:val="79A1DEAA"/>
    <w:multiLevelType w:val="hybridMultilevel"/>
    <w:lvl w:ilvl="0">
      <w:lvlJc w:val="left"/>
      <w:lvlText w:val="%1."/>
      <w:numFmt w:val="decimal"/>
      <w:start w:val="5"/>
    </w:lvl>
  </w:abstractNum>
  <w:abstractNum w:abstractNumId="51">
    <w:nsid w:val="75C6C33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2026-11-03T07:21:02Z</dcterms:created>
  <dcterms:modified xsi:type="dcterms:W3CDTF">2026-11-03T07:21:02Z</dcterms:modified>
</cp:coreProperties>
</file>