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20" w:after="283"/>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October 16, 2026</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Date of Report (Date of earliest event reported) </w:t>
      </w:r>
    </w:p>
    <w:p>
      <w:pPr>
        <w:pStyle w:val="TextBody"/>
        <w:bidi w:val="0"/>
        <w:spacing w:before="0" w:after="0"/>
        <w:jc w:val="center"/>
        <w:rPr/>
      </w:pPr>
      <w:r>
        <w:rPr/>
      </w:r>
    </w:p>
    <w:p>
      <w:pPr>
        <w:pStyle w:val="TextBody"/>
        <w:bidi w:val="0"/>
        <w:spacing w:lineRule="auto" w:line="288" w:before="80" w:after="283"/>
        <w:jc w:val="center"/>
        <w:rPr>
          <w:rFonts w:ascii="Times New Roman;serif" w:hAnsi="Times New Roman;serif"/>
          <w:b/>
          <w:color w:val="000000"/>
          <w:sz w:val="48"/>
        </w:rPr>
      </w:pPr>
      <w:r>
        <w:rPr>
          <w:rFonts w:ascii="Times New Roman;serif" w:hAnsi="Times New Roman;serif"/>
          <w:b/>
          <w:color w:val="000000"/>
          <w:sz w:val="48"/>
        </w:rPr>
        <w:t>Upstart Holdings, Inc.</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997" w:type="dxa"/>
        <w:jc w:val="center"/>
        <w:tblInd w:w="0" w:type="dxa"/>
        <w:tblLayout w:type="fixed"/>
        <w:tblCellMar>
          <w:top w:w="28" w:type="dxa"/>
          <w:left w:w="28" w:type="dxa"/>
          <w:bottom w:w="28" w:type="dxa"/>
          <w:right w:w="28" w:type="dxa"/>
        </w:tblCellMar>
      </w:tblPr>
      <w:tblGrid>
        <w:gridCol w:w="1328"/>
        <w:gridCol w:w="1167"/>
        <w:gridCol w:w="1179"/>
        <w:gridCol w:w="762"/>
        <w:gridCol w:w="762"/>
        <w:gridCol w:w="770"/>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001-39797</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46-4332431</w:t>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220 Park Road, Suite 500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Burlingame, CA 94010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(833) 212-2461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80" w:after="20"/>
        <w:ind w:left="0" w:right="0" w:hanging="36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80" w:after="20"/>
        <w:ind w:left="0" w:right="0" w:hanging="360"/>
        <w:jc w:val="left"/>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lineRule="auto" w:line="288" w:before="80" w:after="20"/>
        <w:ind w:left="0" w:right="0" w:hanging="360"/>
        <w:jc w:val="left"/>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lineRule="auto" w:line="288" w:before="80" w:after="20"/>
        <w:ind w:left="0" w:right="0" w:hanging="360"/>
        <w:jc w:val="left"/>
        <w:rPr/>
      </w:pPr>
      <w:r>
        <w:rPr>
          <w:color w:val="00000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652" w:type="dxa"/>
        <w:jc w:val="center"/>
        <w:tblInd w:w="0" w:type="dxa"/>
        <w:tblLayout w:type="fixed"/>
        <w:tblCellMar>
          <w:top w:w="28" w:type="dxa"/>
          <w:left w:w="28" w:type="dxa"/>
          <w:bottom w:w="28" w:type="dxa"/>
          <w:right w:w="28" w:type="dxa"/>
        </w:tblCellMar>
      </w:tblPr>
      <w:tblGrid>
        <w:gridCol w:w="1401"/>
        <w:gridCol w:w="1227"/>
        <w:gridCol w:w="1241"/>
        <w:gridCol w:w="109"/>
        <w:gridCol w:w="109"/>
        <w:gridCol w:w="109"/>
        <w:gridCol w:w="474"/>
        <w:gridCol w:w="474"/>
        <w:gridCol w:w="476"/>
        <w:gridCol w:w="109"/>
        <w:gridCol w:w="109"/>
        <w:gridCol w:w="109"/>
        <w:gridCol w:w="1085"/>
        <w:gridCol w:w="1085"/>
        <w:gridCol w:w="1535"/>
      </w:tblGrid>
      <w:tr>
        <w:trPr/>
        <w:tc>
          <w:tcPr>
            <w:tcW w:w="1401"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UPST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Nasdaq Global Select Market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erif" w:hAnsi="Times New Roman;serif"/>
          <w:b w:val="false"/>
          <w:color w:val="231F20"/>
          <w:sz w:val="20"/>
        </w:rPr>
        <w:t xml:space="preserve">Emerging growth company </w:t>
      </w:r>
      <w:r>
        <w:rPr>
          <w:color w:val="000000"/>
        </w:rPr>
        <w: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October 16, 2026, Upstart Network, Inc. (the “Borrower”), a wholly-owned subsidiary of Upstart Holdings, Inc. (the “Company”), entered into a credit agreement (the “Credit Agreement”) pursuant to which MUFG Bank, Ltd., as administrative agent and collateral agent and as a lender, and the other lenders from time to time party thereto agreed to provide a senior secured revolving credit facility in an aggregate principal amount of up to $200,000,000 (the “Revolver”).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Revolver is intended to provide additional financing flexibility during the establishment and initial capitalization of Upstart Bank, N.A. (“Upstart Bank”). Under the Credit Agreement, outstanding loans under the Revolver must be repaid with proceeds from certain affiliate loan sales to Upstart Bank, and the Revolver will terminate upon repayment. The Company expects to complete these loan sales shortly after Upstart Bank opens. The timing and opening of Upstart Bank remains subject to required regulatory approvals.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Revolver will mature on the earliest to occur of (i) the date that is 364 days after the closing date, (ii) the date that is 45 days after the initial capitalization of Upstart Bank or (iii) the date on which all loans, accrued interest and fees under the Revolver are paid in full and the commitments thereunder are terminated in accordance with its terms. Proceeds of the Revolver will be used for general corporate purposes and to fund the initial capitalization of Upstart Bank and other permitted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Borrowings under the Revolver bear interest at Term SOFR plus an initial margin of 3.00%, subject to a leverage-based pricing grid ranging from 2.75% to 3.25%. The Revolver is guaranteed by the Company and certain subsidiaries of the Company and is secured by first-priority liens on substantially all of the assets of the Borrower, guarantors, and certain non-guarantor trust pledgors, subject to customary exceptions, including the exclusion of the equity interests in, and assets of, Upstart Bank and certain other subsidiaries from the collateral, and the exclusion of Upstart Bank and certain other subsidiaries from the guarantee. The Revolver also includes covenants that require the Company and its subsidiaries that are pledging assets as collateral to maintain (i) minimum liquidity of not less than $100.0 million, (ii) the sum of consolidated eligible assets, plus liquidity in excess of $100.0 million, of not less than $300.0 million in the aggregate and (iii) a maximum consolidated secured gross leverage ratio of not more than 2.50 to 1.00. The occurrence of an event of default under the Revolver could result in all loans and other obligations under the Revolver becoming immediately due and payable and the Revolver being terminated.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summary of the Revolver does not purport to be complete and is qualified in its entirety by reference to the Credit Agreement, a copy of which will be filed as an exhibit to the Company’s Annual Report on Form 10-K for the year ending December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contains forward-looking statements within the meaning of the safe harbor provisions of the Private Securities Litigation Reform Act of 1995, including, but not limited to, statements regarding the Revolver, the capitalization and opening of Upstart Bank, and the repayment or termination of the Revolver. These statements are subject to risks and uncertainties, including delays in or failure to obtain required regulatory approvals and other risks described in the Company’s filings with the SEC. Except as required by law, the Company undertakes no obligation to update these statements.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set forth under Item 1.01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tbl>
      <w:tblPr>
        <w:tblW w:w="4919" w:type="dxa"/>
        <w:jc w:val="left"/>
        <w:tblInd w:w="0" w:type="dxa"/>
        <w:tblLayout w:type="fixed"/>
        <w:tblCellMar>
          <w:top w:w="28" w:type="dxa"/>
          <w:left w:w="28" w:type="dxa"/>
          <w:bottom w:w="28" w:type="dxa"/>
          <w:right w:w="28" w:type="dxa"/>
        </w:tblCellMar>
      </w:tblPr>
      <w:tblGrid>
        <w:gridCol w:w="765"/>
        <w:gridCol w:w="672"/>
        <w:gridCol w:w="678"/>
        <w:gridCol w:w="134"/>
        <w:gridCol w:w="134"/>
        <w:gridCol w:w="136"/>
        <w:gridCol w:w="702"/>
        <w:gridCol w:w="702"/>
        <w:gridCol w:w="996"/>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Upstart Holdings, Inc.</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October 20,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Andrea Blankmeyer</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Andrea Blankmeyer</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ind w:left="0" w:right="0" w:firstLine="720"/>
        <w:jc w:val="left"/>
        <w:rPr/>
      </w:pPr>
      <w:r>
        <w:rPr/>
      </w:r>
    </w:p>
    <w:p>
      <w:pPr>
        <w:pStyle w:val="TextBody"/>
        <w:bidi w:val="0"/>
        <w:spacing w:before="0" w:after="12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972</Words>
  <Characters>5298</Characters>
  <CharactersWithSpaces>6263</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