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11">
        <w:r>
          <w:rPr>
            <w:rFonts w:ascii="Arial" w:cs="Arial" w:eastAsia="Arial" w:hAnsi="Arial"/>
            <w:sz w:val="15"/>
            <w:szCs w:val="15"/>
            <w:b w:val="1"/>
            <w:bCs w:val="1"/>
            <w:u w:val="single" w:color="auto"/>
            <w:color w:val="0000EE"/>
          </w:rPr>
          <w:t>Table of Contents</w:t>
        </w:r>
      </w:hyperlink>
    </w:p>
    <w:p>
      <w:pPr>
        <w:spacing w:after="0" w:line="260" w:lineRule="exact"/>
        <w:rPr>
          <w:sz w:val="24"/>
          <w:szCs w:val="24"/>
          <w:color w:val="auto"/>
        </w:rPr>
      </w:pPr>
    </w:p>
    <w:p>
      <w:pPr>
        <w:ind w:left="3420"/>
        <w:spacing w:after="0"/>
        <w:rPr>
          <w:sz w:val="20"/>
          <w:szCs w:val="20"/>
          <w:color w:val="auto"/>
        </w:rPr>
      </w:pPr>
      <w:r>
        <w:rPr>
          <w:rFonts w:ascii="Arial" w:cs="Arial" w:eastAsia="Arial" w:hAnsi="Arial"/>
          <w:sz w:val="12"/>
          <w:szCs w:val="12"/>
          <w:b w:val="1"/>
          <w:bCs w:val="1"/>
          <w:color w:val="auto"/>
        </w:rPr>
        <w:t>As filed with the Securities and Exchange Commission on December 9, 2020.</w:t>
      </w:r>
    </w:p>
    <w:p>
      <w:pPr>
        <w:spacing w:after="0" w:line="99"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333-249860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47625</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83185</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27" w:lineRule="exact"/>
        <w:rPr>
          <w:sz w:val="24"/>
          <w:szCs w:val="24"/>
          <w:color w:val="auto"/>
        </w:rPr>
      </w:pPr>
    </w:p>
    <w:p>
      <w:pPr>
        <w:jc w:val="center"/>
        <w:ind w:right="-1019"/>
        <w:spacing w:after="0"/>
        <w:rPr>
          <w:sz w:val="20"/>
          <w:szCs w:val="20"/>
          <w:color w:val="auto"/>
        </w:rPr>
      </w:pPr>
      <w:r>
        <w:rPr>
          <w:rFonts w:ascii="Arial" w:cs="Arial" w:eastAsia="Arial" w:hAnsi="Arial"/>
          <w:sz w:val="23"/>
          <w:szCs w:val="23"/>
          <w:b w:val="1"/>
          <w:bCs w:val="1"/>
          <w:color w:val="auto"/>
        </w:rPr>
        <w:t>UNITED STATES</w:t>
      </w:r>
    </w:p>
    <w:p>
      <w:pPr>
        <w:spacing w:after="0" w:line="18" w:lineRule="exact"/>
        <w:rPr>
          <w:sz w:val="24"/>
          <w:szCs w:val="24"/>
          <w:color w:val="auto"/>
        </w:rPr>
      </w:pPr>
    </w:p>
    <w:p>
      <w:pPr>
        <w:jc w:val="center"/>
        <w:ind w:right="-1019"/>
        <w:spacing w:after="0"/>
        <w:rPr>
          <w:sz w:val="20"/>
          <w:szCs w:val="20"/>
          <w:color w:val="auto"/>
        </w:rPr>
      </w:pPr>
      <w:r>
        <w:rPr>
          <w:rFonts w:ascii="Arial" w:cs="Arial" w:eastAsia="Arial" w:hAnsi="Arial"/>
          <w:sz w:val="23"/>
          <w:szCs w:val="23"/>
          <w:b w:val="1"/>
          <w:bCs w:val="1"/>
          <w:color w:val="auto"/>
        </w:rPr>
        <w:t>SECURITIES AND EXCHANGE COMMISSION</w:t>
      </w:r>
    </w:p>
    <w:p>
      <w:pPr>
        <w:ind w:left="468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62865</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06" w:lineRule="exact"/>
        <w:rPr>
          <w:sz w:val="24"/>
          <w:szCs w:val="24"/>
          <w:color w:val="auto"/>
        </w:rPr>
      </w:pPr>
    </w:p>
    <w:p>
      <w:pPr>
        <w:jc w:val="center"/>
        <w:ind w:right="-1019"/>
        <w:spacing w:after="0"/>
        <w:rPr>
          <w:sz w:val="20"/>
          <w:szCs w:val="20"/>
          <w:color w:val="auto"/>
        </w:rPr>
      </w:pPr>
      <w:r>
        <w:rPr>
          <w:rFonts w:ascii="Arial" w:cs="Arial" w:eastAsia="Arial" w:hAnsi="Arial"/>
          <w:sz w:val="23"/>
          <w:szCs w:val="23"/>
          <w:b w:val="1"/>
          <w:bCs w:val="1"/>
          <w:color w:val="auto"/>
        </w:rPr>
        <w:t>Amendment No. 4</w:t>
      </w:r>
    </w:p>
    <w:p>
      <w:pPr>
        <w:spacing w:after="0" w:line="17" w:lineRule="exact"/>
        <w:rPr>
          <w:sz w:val="24"/>
          <w:szCs w:val="24"/>
          <w:color w:val="auto"/>
        </w:rPr>
      </w:pPr>
    </w:p>
    <w:p>
      <w:pPr>
        <w:jc w:val="center"/>
        <w:ind w:right="-1019"/>
        <w:spacing w:after="0"/>
        <w:rPr>
          <w:sz w:val="20"/>
          <w:szCs w:val="20"/>
          <w:color w:val="auto"/>
        </w:rPr>
      </w:pPr>
      <w:r>
        <w:rPr>
          <w:rFonts w:ascii="Arial" w:cs="Arial" w:eastAsia="Arial" w:hAnsi="Arial"/>
          <w:sz w:val="23"/>
          <w:szCs w:val="23"/>
          <w:b w:val="1"/>
          <w:bCs w:val="1"/>
          <w:color w:val="auto"/>
        </w:rPr>
        <w:t>FORM S-1</w:t>
      </w:r>
    </w:p>
    <w:p>
      <w:pPr>
        <w:jc w:val="center"/>
        <w:ind w:right="-1019"/>
        <w:spacing w:after="0" w:line="235" w:lineRule="auto"/>
        <w:rPr>
          <w:sz w:val="20"/>
          <w:szCs w:val="20"/>
          <w:color w:val="auto"/>
        </w:rPr>
      </w:pPr>
      <w:r>
        <w:rPr>
          <w:rFonts w:ascii="Arial" w:cs="Arial" w:eastAsia="Arial" w:hAnsi="Arial"/>
          <w:sz w:val="23"/>
          <w:szCs w:val="23"/>
          <w:b w:val="1"/>
          <w:bCs w:val="1"/>
          <w:color w:val="auto"/>
        </w:rPr>
        <w:t>REGISTRATION STATEMENT</w:t>
      </w:r>
    </w:p>
    <w:p>
      <w:pPr>
        <w:jc w:val="center"/>
        <w:ind w:right="-1019"/>
        <w:spacing w:after="0" w:line="236" w:lineRule="auto"/>
        <w:rPr>
          <w:sz w:val="20"/>
          <w:szCs w:val="20"/>
          <w:color w:val="auto"/>
        </w:rPr>
      </w:pPr>
      <w:r>
        <w:rPr>
          <w:rFonts w:ascii="Arial" w:cs="Arial" w:eastAsia="Arial" w:hAnsi="Arial"/>
          <w:sz w:val="15"/>
          <w:szCs w:val="15"/>
          <w:b w:val="1"/>
          <w:bCs w:val="1"/>
          <w:i w:val="1"/>
          <w:iCs w:val="1"/>
          <w:color w:val="auto"/>
        </w:rPr>
        <w:t>UNDER</w:t>
      </w:r>
    </w:p>
    <w:p>
      <w:pPr>
        <w:jc w:val="center"/>
        <w:ind w:right="-10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62865</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96" w:lineRule="exact"/>
        <w:rPr>
          <w:sz w:val="24"/>
          <w:szCs w:val="24"/>
          <w:color w:val="auto"/>
        </w:rPr>
      </w:pPr>
    </w:p>
    <w:p>
      <w:pPr>
        <w:ind w:left="4080"/>
        <w:spacing w:after="0"/>
        <w:rPr>
          <w:sz w:val="20"/>
          <w:szCs w:val="20"/>
          <w:color w:val="auto"/>
        </w:rPr>
      </w:pPr>
      <w:r>
        <w:rPr>
          <w:rFonts w:ascii="Arial" w:cs="Arial" w:eastAsia="Arial" w:hAnsi="Arial"/>
          <w:sz w:val="30"/>
          <w:szCs w:val="30"/>
          <w:b w:val="1"/>
          <w:bCs w:val="1"/>
          <w:color w:val="auto"/>
        </w:rPr>
        <w:t>Upstart Holdings, Inc.</w:t>
      </w:r>
    </w:p>
    <w:p>
      <w:pPr>
        <w:spacing w:after="0" w:line="4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67310</wp:posOffset>
            </wp:positionV>
            <wp:extent cx="12306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63" w:lineRule="exact"/>
        <w:rPr>
          <w:sz w:val="24"/>
          <w:szCs w:val="24"/>
          <w:color w:val="auto"/>
        </w:rPr>
      </w:pPr>
    </w:p>
    <w:tbl>
      <w:tblPr>
        <w:tblLayout w:type="fixed"/>
        <w:tblInd w:w="1420" w:type="dxa"/>
        <w:tblCellMar>
          <w:top w:w="0" w:type="dxa"/>
          <w:left w:w="0" w:type="dxa"/>
          <w:bottom w:w="0" w:type="dxa"/>
          <w:right w:w="0" w:type="dxa"/>
        </w:tblCellMar>
      </w:tblPr>
      <w:tr>
        <w:trPr>
          <w:trHeight w:val="138"/>
        </w:trPr>
        <w:tc>
          <w:tcPr>
            <w:tcW w:w="2320" w:type="dxa"/>
            <w:vAlign w:val="bottom"/>
          </w:tcPr>
          <w:p>
            <w:pPr>
              <w:jc w:val="center"/>
              <w:spacing w:after="0"/>
              <w:rPr>
                <w:sz w:val="20"/>
                <w:szCs w:val="20"/>
                <w:color w:val="auto"/>
              </w:rPr>
            </w:pPr>
            <w:r>
              <w:rPr>
                <w:rFonts w:ascii="Arial" w:cs="Arial" w:eastAsia="Arial" w:hAnsi="Arial"/>
                <w:sz w:val="12"/>
                <w:szCs w:val="12"/>
                <w:b w:val="1"/>
                <w:bCs w:val="1"/>
                <w:color w:val="auto"/>
              </w:rPr>
              <w:t>Delaware</w:t>
            </w:r>
          </w:p>
        </w:tc>
        <w:tc>
          <w:tcPr>
            <w:tcW w:w="2860" w:type="dxa"/>
            <w:vAlign w:val="bottom"/>
            <w:gridSpan w:val="2"/>
          </w:tcPr>
          <w:p>
            <w:pPr>
              <w:jc w:val="center"/>
              <w:ind w:left="1040"/>
              <w:spacing w:after="0"/>
              <w:rPr>
                <w:sz w:val="20"/>
                <w:szCs w:val="20"/>
                <w:color w:val="auto"/>
              </w:rPr>
            </w:pPr>
            <w:r>
              <w:rPr>
                <w:rFonts w:ascii="Arial" w:cs="Arial" w:eastAsia="Arial" w:hAnsi="Arial"/>
                <w:sz w:val="12"/>
                <w:szCs w:val="12"/>
                <w:b w:val="1"/>
                <w:bCs w:val="1"/>
                <w:color w:val="auto"/>
              </w:rPr>
              <w:t>7389</w:t>
            </w:r>
          </w:p>
        </w:tc>
        <w:tc>
          <w:tcPr>
            <w:tcW w:w="1200" w:type="dxa"/>
            <w:vAlign w:val="bottom"/>
          </w:tcPr>
          <w:p>
            <w:pPr>
              <w:spacing w:after="0"/>
              <w:rPr>
                <w:sz w:val="12"/>
                <w:szCs w:val="12"/>
                <w:color w:val="auto"/>
              </w:rPr>
            </w:pPr>
          </w:p>
        </w:tc>
        <w:tc>
          <w:tcPr>
            <w:tcW w:w="1700" w:type="dxa"/>
            <w:vAlign w:val="bottom"/>
          </w:tcPr>
          <w:p>
            <w:pPr>
              <w:jc w:val="right"/>
              <w:ind w:right="360"/>
              <w:spacing w:after="0"/>
              <w:rPr>
                <w:sz w:val="20"/>
                <w:szCs w:val="20"/>
                <w:color w:val="auto"/>
              </w:rPr>
            </w:pPr>
            <w:r>
              <w:rPr>
                <w:rFonts w:ascii="Arial" w:cs="Arial" w:eastAsia="Arial" w:hAnsi="Arial"/>
                <w:sz w:val="12"/>
                <w:szCs w:val="12"/>
                <w:b w:val="1"/>
                <w:bCs w:val="1"/>
                <w:color w:val="auto"/>
              </w:rPr>
              <w:t>46-4332431</w:t>
            </w:r>
          </w:p>
        </w:tc>
      </w:tr>
      <w:tr>
        <w:trPr>
          <w:trHeight w:val="135"/>
        </w:trPr>
        <w:tc>
          <w:tcPr>
            <w:tcW w:w="23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(State or other jurisdiction of</w:t>
            </w:r>
          </w:p>
        </w:tc>
        <w:tc>
          <w:tcPr>
            <w:tcW w:w="920" w:type="dxa"/>
            <w:vAlign w:val="bottom"/>
          </w:tcPr>
          <w:p>
            <w:pPr>
              <w:spacing w:after="0"/>
              <w:rPr>
                <w:sz w:val="11"/>
                <w:szCs w:val="11"/>
                <w:color w:val="auto"/>
              </w:rPr>
            </w:pPr>
          </w:p>
        </w:tc>
        <w:tc>
          <w:tcPr>
            <w:tcW w:w="3140" w:type="dxa"/>
            <w:vAlign w:val="bottom"/>
            <w:gridSpan w:val="2"/>
          </w:tcPr>
          <w:p>
            <w:pPr>
              <w:jc w:val="center"/>
              <w:ind w:right="1020"/>
              <w:spacing w:after="0" w:line="136" w:lineRule="exact"/>
              <w:rPr>
                <w:sz w:val="20"/>
                <w:szCs w:val="20"/>
                <w:color w:val="auto"/>
              </w:rPr>
            </w:pPr>
            <w:r>
              <w:rPr>
                <w:rFonts w:ascii="Arial" w:cs="Arial" w:eastAsia="Arial" w:hAnsi="Arial"/>
                <w:sz w:val="12"/>
                <w:szCs w:val="12"/>
                <w:b w:val="1"/>
                <w:bCs w:val="1"/>
                <w:color w:val="auto"/>
                <w:w w:val="99"/>
              </w:rPr>
              <w:t>(Primary Standard Industrial</w:t>
            </w:r>
          </w:p>
        </w:tc>
        <w:tc>
          <w:tcPr>
            <w:tcW w:w="1700" w:type="dxa"/>
            <w:vAlign w:val="bottom"/>
          </w:tcPr>
          <w:p>
            <w:pPr>
              <w:jc w:val="center"/>
              <w:ind w:left="160"/>
              <w:spacing w:after="0" w:line="136" w:lineRule="exact"/>
              <w:rPr>
                <w:sz w:val="20"/>
                <w:szCs w:val="20"/>
                <w:color w:val="auto"/>
              </w:rPr>
            </w:pPr>
            <w:r>
              <w:rPr>
                <w:rFonts w:ascii="Arial" w:cs="Arial" w:eastAsia="Arial" w:hAnsi="Arial"/>
                <w:sz w:val="12"/>
                <w:szCs w:val="12"/>
                <w:b w:val="1"/>
                <w:bCs w:val="1"/>
                <w:color w:val="auto"/>
                <w:w w:val="99"/>
              </w:rPr>
              <w:t>(I.R.S. Employer</w:t>
            </w:r>
          </w:p>
        </w:tc>
      </w:tr>
      <w:tr>
        <w:trPr>
          <w:trHeight w:val="159"/>
        </w:trPr>
        <w:tc>
          <w:tcPr>
            <w:tcW w:w="2320" w:type="dxa"/>
            <w:vAlign w:val="bottom"/>
          </w:tcPr>
          <w:p>
            <w:pPr>
              <w:jc w:val="center"/>
              <w:spacing w:after="0"/>
              <w:rPr>
                <w:sz w:val="20"/>
                <w:szCs w:val="20"/>
                <w:color w:val="auto"/>
              </w:rPr>
            </w:pPr>
            <w:r>
              <w:rPr>
                <w:rFonts w:ascii="Arial" w:cs="Arial" w:eastAsia="Arial" w:hAnsi="Arial"/>
                <w:sz w:val="12"/>
                <w:szCs w:val="12"/>
                <w:b w:val="1"/>
                <w:bCs w:val="1"/>
                <w:color w:val="auto"/>
                <w:w w:val="99"/>
              </w:rPr>
              <w:t>incorporation or organization)</w:t>
            </w:r>
          </w:p>
        </w:tc>
        <w:tc>
          <w:tcPr>
            <w:tcW w:w="920" w:type="dxa"/>
            <w:vAlign w:val="bottom"/>
          </w:tcPr>
          <w:p>
            <w:pPr>
              <w:spacing w:after="0"/>
              <w:rPr>
                <w:sz w:val="13"/>
                <w:szCs w:val="13"/>
                <w:color w:val="auto"/>
              </w:rPr>
            </w:pPr>
          </w:p>
        </w:tc>
        <w:tc>
          <w:tcPr>
            <w:tcW w:w="3140" w:type="dxa"/>
            <w:vAlign w:val="bottom"/>
            <w:gridSpan w:val="2"/>
          </w:tcPr>
          <w:p>
            <w:pPr>
              <w:jc w:val="center"/>
              <w:ind w:right="1020"/>
              <w:spacing w:after="0"/>
              <w:rPr>
                <w:sz w:val="20"/>
                <w:szCs w:val="20"/>
                <w:color w:val="auto"/>
              </w:rPr>
            </w:pPr>
            <w:r>
              <w:rPr>
                <w:rFonts w:ascii="Arial" w:cs="Arial" w:eastAsia="Arial" w:hAnsi="Arial"/>
                <w:sz w:val="12"/>
                <w:szCs w:val="12"/>
                <w:b w:val="1"/>
                <w:bCs w:val="1"/>
                <w:color w:val="auto"/>
                <w:w w:val="99"/>
              </w:rPr>
              <w:t>Classification Code Number)</w:t>
            </w:r>
          </w:p>
        </w:tc>
        <w:tc>
          <w:tcPr>
            <w:tcW w:w="1700" w:type="dxa"/>
            <w:vAlign w:val="bottom"/>
          </w:tcPr>
          <w:p>
            <w:pPr>
              <w:jc w:val="center"/>
              <w:ind w:left="140"/>
              <w:spacing w:after="0"/>
              <w:rPr>
                <w:sz w:val="20"/>
                <w:szCs w:val="20"/>
                <w:color w:val="auto"/>
              </w:rPr>
            </w:pPr>
            <w:r>
              <w:rPr>
                <w:rFonts w:ascii="Arial" w:cs="Arial" w:eastAsia="Arial" w:hAnsi="Arial"/>
                <w:sz w:val="12"/>
                <w:szCs w:val="12"/>
                <w:b w:val="1"/>
                <w:bCs w:val="1"/>
                <w:color w:val="auto"/>
                <w:w w:val="98"/>
              </w:rPr>
              <w:t>Identification Number)</w:t>
            </w:r>
          </w:p>
        </w:tc>
      </w:tr>
      <w:tr>
        <w:trPr>
          <w:trHeight w:val="168"/>
        </w:trPr>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40" w:type="dxa"/>
            <w:vAlign w:val="bottom"/>
            <w:gridSpan w:val="2"/>
          </w:tcPr>
          <w:p>
            <w:pPr>
              <w:jc w:val="center"/>
              <w:ind w:right="1220"/>
              <w:spacing w:after="0"/>
              <w:rPr>
                <w:sz w:val="20"/>
                <w:szCs w:val="20"/>
                <w:color w:val="auto"/>
              </w:rPr>
            </w:pPr>
            <w:r>
              <w:rPr>
                <w:rFonts w:ascii="Arial" w:cs="Arial" w:eastAsia="Arial" w:hAnsi="Arial"/>
                <w:sz w:val="12"/>
                <w:szCs w:val="12"/>
                <w:b w:val="1"/>
                <w:bCs w:val="1"/>
                <w:color w:val="auto"/>
                <w:w w:val="99"/>
              </w:rPr>
              <w:t>Upstart Holdings, Inc.</w:t>
            </w:r>
          </w:p>
        </w:tc>
        <w:tc>
          <w:tcPr>
            <w:tcW w:w="1700" w:type="dxa"/>
            <w:vAlign w:val="bottom"/>
          </w:tcPr>
          <w:p>
            <w:pPr>
              <w:spacing w:after="0"/>
              <w:rPr>
                <w:sz w:val="14"/>
                <w:szCs w:val="14"/>
                <w:color w:val="auto"/>
              </w:rPr>
            </w:pPr>
          </w:p>
        </w:tc>
      </w:tr>
      <w:tr>
        <w:trPr>
          <w:trHeight w:val="135"/>
        </w:trPr>
        <w:tc>
          <w:tcPr>
            <w:tcW w:w="2320" w:type="dxa"/>
            <w:vAlign w:val="bottom"/>
          </w:tcPr>
          <w:p>
            <w:pPr>
              <w:spacing w:after="0"/>
              <w:rPr>
                <w:sz w:val="11"/>
                <w:szCs w:val="11"/>
                <w:color w:val="auto"/>
              </w:rPr>
            </w:pPr>
          </w:p>
        </w:tc>
        <w:tc>
          <w:tcPr>
            <w:tcW w:w="4060" w:type="dxa"/>
            <w:vAlign w:val="bottom"/>
            <w:gridSpan w:val="3"/>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2950 S. Delaware Street, Suite 300</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40" w:type="dxa"/>
            <w:vAlign w:val="bottom"/>
            <w:gridSpan w:val="2"/>
          </w:tcPr>
          <w:p>
            <w:pPr>
              <w:jc w:val="center"/>
              <w:ind w:right="1200"/>
              <w:spacing w:after="0" w:line="136" w:lineRule="exact"/>
              <w:rPr>
                <w:sz w:val="20"/>
                <w:szCs w:val="20"/>
                <w:color w:val="auto"/>
              </w:rPr>
            </w:pPr>
            <w:r>
              <w:rPr>
                <w:rFonts w:ascii="Arial" w:cs="Arial" w:eastAsia="Arial" w:hAnsi="Arial"/>
                <w:sz w:val="12"/>
                <w:szCs w:val="12"/>
                <w:b w:val="1"/>
                <w:bCs w:val="1"/>
                <w:color w:val="auto"/>
                <w:w w:val="99"/>
              </w:rPr>
              <w:t>San Mateo, California 94403</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2860" w:type="dxa"/>
            <w:vAlign w:val="bottom"/>
            <w:gridSpan w:val="2"/>
          </w:tcPr>
          <w:p>
            <w:pPr>
              <w:jc w:val="center"/>
              <w:ind w:left="860"/>
              <w:spacing w:after="0" w:line="136" w:lineRule="exact"/>
              <w:rPr>
                <w:sz w:val="20"/>
                <w:szCs w:val="20"/>
                <w:color w:val="auto"/>
              </w:rPr>
            </w:pPr>
            <w:r>
              <w:rPr>
                <w:rFonts w:ascii="Arial" w:cs="Arial" w:eastAsia="Arial" w:hAnsi="Arial"/>
                <w:sz w:val="12"/>
                <w:szCs w:val="12"/>
                <w:b w:val="1"/>
                <w:bCs w:val="1"/>
                <w:color w:val="auto"/>
                <w:w w:val="99"/>
              </w:rPr>
              <w:t>(650) 204-1000</w:t>
            </w:r>
          </w:p>
        </w:tc>
        <w:tc>
          <w:tcPr>
            <w:tcW w:w="120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4060" w:type="dxa"/>
            <w:vAlign w:val="bottom"/>
            <w:gridSpan w:val="3"/>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(Address, including zip code, and telephone number, including</w:t>
            </w:r>
          </w:p>
        </w:tc>
        <w:tc>
          <w:tcPr>
            <w:tcW w:w="1700" w:type="dxa"/>
            <w:vAlign w:val="bottom"/>
          </w:tcPr>
          <w:p>
            <w:pPr>
              <w:spacing w:after="0"/>
              <w:rPr>
                <w:sz w:val="11"/>
                <w:szCs w:val="11"/>
                <w:color w:val="auto"/>
              </w:rPr>
            </w:pPr>
          </w:p>
        </w:tc>
      </w:tr>
      <w:tr>
        <w:trPr>
          <w:trHeight w:val="159"/>
        </w:trPr>
        <w:tc>
          <w:tcPr>
            <w:tcW w:w="2320" w:type="dxa"/>
            <w:vAlign w:val="bottom"/>
          </w:tcPr>
          <w:p>
            <w:pPr>
              <w:spacing w:after="0"/>
              <w:rPr>
                <w:sz w:val="13"/>
                <w:szCs w:val="13"/>
                <w:color w:val="auto"/>
              </w:rPr>
            </w:pPr>
          </w:p>
        </w:tc>
        <w:tc>
          <w:tcPr>
            <w:tcW w:w="406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9"/>
              </w:rPr>
              <w:t>area code, of registrant’s principal executive offices)</w:t>
            </w:r>
          </w:p>
        </w:tc>
        <w:tc>
          <w:tcPr>
            <w:tcW w:w="1700" w:type="dxa"/>
            <w:vAlign w:val="bottom"/>
          </w:tcPr>
          <w:p>
            <w:pPr>
              <w:spacing w:after="0"/>
              <w:rPr>
                <w:sz w:val="13"/>
                <w:szCs w:val="13"/>
                <w:color w:val="auto"/>
              </w:rPr>
            </w:pPr>
          </w:p>
        </w:tc>
      </w:tr>
      <w:tr>
        <w:trPr>
          <w:trHeight w:val="99"/>
        </w:trPr>
        <w:tc>
          <w:tcPr>
            <w:tcW w:w="2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162"/>
        </w:trPr>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40" w:type="dxa"/>
            <w:vAlign w:val="bottom"/>
            <w:gridSpan w:val="2"/>
          </w:tcPr>
          <w:p>
            <w:pPr>
              <w:jc w:val="center"/>
              <w:ind w:right="1200"/>
              <w:spacing w:after="0"/>
              <w:rPr>
                <w:sz w:val="20"/>
                <w:szCs w:val="20"/>
                <w:color w:val="auto"/>
              </w:rPr>
            </w:pPr>
            <w:r>
              <w:rPr>
                <w:rFonts w:ascii="Arial" w:cs="Arial" w:eastAsia="Arial" w:hAnsi="Arial"/>
                <w:sz w:val="12"/>
                <w:szCs w:val="12"/>
                <w:b w:val="1"/>
                <w:bCs w:val="1"/>
                <w:color w:val="auto"/>
                <w:w w:val="99"/>
              </w:rPr>
              <w:t>Dave Girouard</w:t>
            </w:r>
          </w:p>
        </w:tc>
        <w:tc>
          <w:tcPr>
            <w:tcW w:w="1700" w:type="dxa"/>
            <w:vAlign w:val="bottom"/>
          </w:tcPr>
          <w:p>
            <w:pPr>
              <w:spacing w:after="0"/>
              <w:rPr>
                <w:sz w:val="14"/>
                <w:szCs w:val="14"/>
                <w:color w:val="auto"/>
              </w:rPr>
            </w:pPr>
          </w:p>
        </w:tc>
      </w:tr>
      <w:tr>
        <w:trPr>
          <w:trHeight w:val="135"/>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40" w:type="dxa"/>
            <w:vAlign w:val="bottom"/>
            <w:gridSpan w:val="2"/>
          </w:tcPr>
          <w:p>
            <w:pPr>
              <w:jc w:val="center"/>
              <w:ind w:right="1220"/>
              <w:spacing w:after="0" w:line="136" w:lineRule="exact"/>
              <w:rPr>
                <w:sz w:val="20"/>
                <w:szCs w:val="20"/>
                <w:color w:val="auto"/>
              </w:rPr>
            </w:pPr>
            <w:r>
              <w:rPr>
                <w:rFonts w:ascii="Arial" w:cs="Arial" w:eastAsia="Arial" w:hAnsi="Arial"/>
                <w:sz w:val="12"/>
                <w:szCs w:val="12"/>
                <w:b w:val="1"/>
                <w:bCs w:val="1"/>
                <w:color w:val="auto"/>
              </w:rPr>
              <w:t>Chief Executive Officer</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40" w:type="dxa"/>
            <w:vAlign w:val="bottom"/>
            <w:gridSpan w:val="2"/>
          </w:tcPr>
          <w:p>
            <w:pPr>
              <w:jc w:val="center"/>
              <w:ind w:right="1220"/>
              <w:spacing w:after="0" w:line="136" w:lineRule="exact"/>
              <w:rPr>
                <w:sz w:val="20"/>
                <w:szCs w:val="20"/>
                <w:color w:val="auto"/>
              </w:rPr>
            </w:pPr>
            <w:r>
              <w:rPr>
                <w:rFonts w:ascii="Arial" w:cs="Arial" w:eastAsia="Arial" w:hAnsi="Arial"/>
                <w:sz w:val="12"/>
                <w:szCs w:val="12"/>
                <w:b w:val="1"/>
                <w:bCs w:val="1"/>
                <w:color w:val="auto"/>
                <w:w w:val="99"/>
              </w:rPr>
              <w:t>Upstart Holdings, Inc.</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4060" w:type="dxa"/>
            <w:vAlign w:val="bottom"/>
            <w:gridSpan w:val="3"/>
          </w:tcPr>
          <w:p>
            <w:pPr>
              <w:jc w:val="center"/>
              <w:ind w:right="280"/>
              <w:spacing w:after="0" w:line="136" w:lineRule="exact"/>
              <w:rPr>
                <w:sz w:val="20"/>
                <w:szCs w:val="20"/>
                <w:color w:val="auto"/>
              </w:rPr>
            </w:pPr>
            <w:r>
              <w:rPr>
                <w:rFonts w:ascii="Arial" w:cs="Arial" w:eastAsia="Arial" w:hAnsi="Arial"/>
                <w:sz w:val="12"/>
                <w:szCs w:val="12"/>
                <w:b w:val="1"/>
                <w:bCs w:val="1"/>
                <w:color w:val="auto"/>
                <w:w w:val="99"/>
              </w:rPr>
              <w:t>2950 S. Delaware Street, Suite 300</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40" w:type="dxa"/>
            <w:vAlign w:val="bottom"/>
            <w:gridSpan w:val="2"/>
          </w:tcPr>
          <w:p>
            <w:pPr>
              <w:jc w:val="center"/>
              <w:ind w:right="1200"/>
              <w:spacing w:after="0" w:line="136" w:lineRule="exact"/>
              <w:rPr>
                <w:sz w:val="20"/>
                <w:szCs w:val="20"/>
                <w:color w:val="auto"/>
              </w:rPr>
            </w:pPr>
            <w:r>
              <w:rPr>
                <w:rFonts w:ascii="Arial" w:cs="Arial" w:eastAsia="Arial" w:hAnsi="Arial"/>
                <w:sz w:val="12"/>
                <w:szCs w:val="12"/>
                <w:b w:val="1"/>
                <w:bCs w:val="1"/>
                <w:color w:val="auto"/>
                <w:w w:val="99"/>
              </w:rPr>
              <w:t>San Mateo, California 94403</w:t>
            </w:r>
          </w:p>
        </w:tc>
        <w:tc>
          <w:tcPr>
            <w:tcW w:w="170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2860" w:type="dxa"/>
            <w:vAlign w:val="bottom"/>
            <w:gridSpan w:val="2"/>
          </w:tcPr>
          <w:p>
            <w:pPr>
              <w:jc w:val="center"/>
              <w:ind w:left="860"/>
              <w:spacing w:after="0" w:line="136" w:lineRule="exact"/>
              <w:rPr>
                <w:sz w:val="20"/>
                <w:szCs w:val="20"/>
                <w:color w:val="auto"/>
              </w:rPr>
            </w:pPr>
            <w:r>
              <w:rPr>
                <w:rFonts w:ascii="Arial" w:cs="Arial" w:eastAsia="Arial" w:hAnsi="Arial"/>
                <w:sz w:val="12"/>
                <w:szCs w:val="12"/>
                <w:b w:val="1"/>
                <w:bCs w:val="1"/>
                <w:color w:val="auto"/>
                <w:w w:val="99"/>
              </w:rPr>
              <w:t>(650) 204-1000</w:t>
            </w:r>
          </w:p>
        </w:tc>
        <w:tc>
          <w:tcPr>
            <w:tcW w:w="120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35"/>
        </w:trPr>
        <w:tc>
          <w:tcPr>
            <w:tcW w:w="6380" w:type="dxa"/>
            <w:vAlign w:val="bottom"/>
            <w:gridSpan w:val="4"/>
          </w:tcPr>
          <w:p>
            <w:pPr>
              <w:jc w:val="center"/>
              <w:ind w:left="1960"/>
              <w:spacing w:after="0" w:line="136" w:lineRule="exact"/>
              <w:rPr>
                <w:sz w:val="20"/>
                <w:szCs w:val="20"/>
                <w:color w:val="auto"/>
              </w:rPr>
            </w:pPr>
            <w:r>
              <w:rPr>
                <w:rFonts w:ascii="Arial" w:cs="Arial" w:eastAsia="Arial" w:hAnsi="Arial"/>
                <w:sz w:val="12"/>
                <w:szCs w:val="12"/>
                <w:b w:val="1"/>
                <w:bCs w:val="1"/>
                <w:color w:val="auto"/>
                <w:w w:val="99"/>
              </w:rPr>
              <w:t>(Name, address, including zip code, and telephone number, including</w:t>
            </w:r>
          </w:p>
        </w:tc>
        <w:tc>
          <w:tcPr>
            <w:tcW w:w="1700" w:type="dxa"/>
            <w:vAlign w:val="bottom"/>
          </w:tcPr>
          <w:p>
            <w:pPr>
              <w:spacing w:after="0"/>
              <w:rPr>
                <w:sz w:val="11"/>
                <w:szCs w:val="11"/>
                <w:color w:val="auto"/>
              </w:rPr>
            </w:pPr>
          </w:p>
        </w:tc>
      </w:tr>
      <w:tr>
        <w:trPr>
          <w:trHeight w:val="159"/>
        </w:trPr>
        <w:tc>
          <w:tcPr>
            <w:tcW w:w="2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40" w:type="dxa"/>
            <w:vAlign w:val="bottom"/>
            <w:gridSpan w:val="2"/>
          </w:tcPr>
          <w:p>
            <w:pPr>
              <w:jc w:val="center"/>
              <w:ind w:right="1200"/>
              <w:spacing w:after="0"/>
              <w:rPr>
                <w:sz w:val="20"/>
                <w:szCs w:val="20"/>
                <w:color w:val="auto"/>
              </w:rPr>
            </w:pPr>
            <w:r>
              <w:rPr>
                <w:rFonts w:ascii="Arial" w:cs="Arial" w:eastAsia="Arial" w:hAnsi="Arial"/>
                <w:sz w:val="12"/>
                <w:szCs w:val="12"/>
                <w:b w:val="1"/>
                <w:bCs w:val="1"/>
                <w:color w:val="auto"/>
              </w:rPr>
              <w:t>area code, of agent for service)</w:t>
            </w:r>
          </w:p>
        </w:tc>
        <w:tc>
          <w:tcPr>
            <w:tcW w:w="1700" w:type="dxa"/>
            <w:vAlign w:val="bottom"/>
          </w:tcPr>
          <w:p>
            <w:pPr>
              <w:spacing w:after="0"/>
              <w:rPr>
                <w:sz w:val="13"/>
                <w:szCs w:val="13"/>
                <w:color w:val="auto"/>
              </w:rPr>
            </w:pPr>
          </w:p>
        </w:tc>
      </w:tr>
      <w:tr>
        <w:trPr>
          <w:trHeight w:val="88"/>
        </w:trPr>
        <w:tc>
          <w:tcPr>
            <w:tcW w:w="2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85"/>
        </w:trPr>
        <w:tc>
          <w:tcPr>
            <w:tcW w:w="2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gridSpan w:val="2"/>
          </w:tcPr>
          <w:p>
            <w:pPr>
              <w:jc w:val="center"/>
              <w:ind w:right="1200"/>
              <w:spacing w:after="0"/>
              <w:rPr>
                <w:sz w:val="20"/>
                <w:szCs w:val="20"/>
                <w:color w:val="auto"/>
              </w:rPr>
            </w:pPr>
            <w:r>
              <w:rPr>
                <w:rFonts w:ascii="Arial" w:cs="Arial" w:eastAsia="Arial" w:hAnsi="Arial"/>
                <w:sz w:val="12"/>
                <w:szCs w:val="12"/>
                <w:b w:val="1"/>
                <w:bCs w:val="1"/>
                <w:i w:val="1"/>
                <w:iCs w:val="1"/>
                <w:color w:val="auto"/>
                <w:w w:val="98"/>
              </w:rPr>
              <w:t>Copies to:</w:t>
            </w:r>
          </w:p>
        </w:tc>
        <w:tc>
          <w:tcPr>
            <w:tcW w:w="1700" w:type="dxa"/>
            <w:vAlign w:val="bottom"/>
          </w:tcPr>
          <w:p>
            <w:pPr>
              <w:spacing w:after="0"/>
              <w:rPr>
                <w:sz w:val="16"/>
                <w:szCs w:val="16"/>
                <w:color w:val="auto"/>
              </w:rPr>
            </w:pPr>
          </w:p>
        </w:tc>
      </w:tr>
      <w:tr>
        <w:trPr>
          <w:trHeight w:val="168"/>
        </w:trPr>
        <w:tc>
          <w:tcPr>
            <w:tcW w:w="2320" w:type="dxa"/>
            <w:vAlign w:val="bottom"/>
          </w:tcPr>
          <w:p>
            <w:pPr>
              <w:jc w:val="center"/>
              <w:ind w:right="20"/>
              <w:spacing w:after="0"/>
              <w:rPr>
                <w:sz w:val="20"/>
                <w:szCs w:val="20"/>
                <w:color w:val="auto"/>
              </w:rPr>
            </w:pPr>
            <w:r>
              <w:rPr>
                <w:rFonts w:ascii="Arial" w:cs="Arial" w:eastAsia="Arial" w:hAnsi="Arial"/>
                <w:sz w:val="12"/>
                <w:szCs w:val="12"/>
                <w:b w:val="1"/>
                <w:bCs w:val="1"/>
                <w:color w:val="auto"/>
              </w:rPr>
              <w:t>Jeffrey D. Saper</w:t>
            </w:r>
          </w:p>
        </w:tc>
        <w:tc>
          <w:tcPr>
            <w:tcW w:w="920" w:type="dxa"/>
            <w:vAlign w:val="bottom"/>
          </w:tcPr>
          <w:p>
            <w:pPr>
              <w:spacing w:after="0"/>
              <w:rPr>
                <w:sz w:val="14"/>
                <w:szCs w:val="14"/>
                <w:color w:val="auto"/>
              </w:rPr>
            </w:pPr>
          </w:p>
        </w:tc>
        <w:tc>
          <w:tcPr>
            <w:tcW w:w="3140" w:type="dxa"/>
            <w:vAlign w:val="bottom"/>
            <w:gridSpan w:val="2"/>
          </w:tcPr>
          <w:p>
            <w:pPr>
              <w:jc w:val="center"/>
              <w:ind w:right="1140"/>
              <w:spacing w:after="0"/>
              <w:rPr>
                <w:sz w:val="20"/>
                <w:szCs w:val="20"/>
                <w:color w:val="auto"/>
              </w:rPr>
            </w:pPr>
            <w:r>
              <w:rPr>
                <w:rFonts w:ascii="Arial" w:cs="Arial" w:eastAsia="Arial" w:hAnsi="Arial"/>
                <w:sz w:val="12"/>
                <w:szCs w:val="12"/>
                <w:b w:val="1"/>
                <w:bCs w:val="1"/>
                <w:color w:val="auto"/>
                <w:w w:val="98"/>
              </w:rPr>
              <w:t>Alison Nicoll</w:t>
            </w:r>
          </w:p>
        </w:tc>
        <w:tc>
          <w:tcPr>
            <w:tcW w:w="1700" w:type="dxa"/>
            <w:vAlign w:val="bottom"/>
          </w:tcPr>
          <w:p>
            <w:pPr>
              <w:jc w:val="center"/>
              <w:ind w:left="140"/>
              <w:spacing w:after="0"/>
              <w:rPr>
                <w:sz w:val="20"/>
                <w:szCs w:val="20"/>
                <w:color w:val="auto"/>
              </w:rPr>
            </w:pPr>
            <w:r>
              <w:rPr>
                <w:rFonts w:ascii="Arial" w:cs="Arial" w:eastAsia="Arial" w:hAnsi="Arial"/>
                <w:sz w:val="12"/>
                <w:szCs w:val="12"/>
                <w:b w:val="1"/>
                <w:bCs w:val="1"/>
                <w:color w:val="auto"/>
              </w:rPr>
              <w:t>John L. Savva</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rPr>
              <w:t>Allison B. Spinner</w:t>
            </w:r>
          </w:p>
        </w:tc>
        <w:tc>
          <w:tcPr>
            <w:tcW w:w="920" w:type="dxa"/>
            <w:vAlign w:val="bottom"/>
          </w:tcPr>
          <w:p>
            <w:pPr>
              <w:spacing w:after="0"/>
              <w:rPr>
                <w:sz w:val="11"/>
                <w:szCs w:val="11"/>
                <w:color w:val="auto"/>
              </w:rPr>
            </w:pPr>
          </w:p>
        </w:tc>
        <w:tc>
          <w:tcPr>
            <w:tcW w:w="3140" w:type="dxa"/>
            <w:vAlign w:val="bottom"/>
            <w:gridSpan w:val="2"/>
          </w:tcPr>
          <w:p>
            <w:pPr>
              <w:jc w:val="center"/>
              <w:ind w:right="1120"/>
              <w:spacing w:after="0" w:line="136" w:lineRule="exact"/>
              <w:rPr>
                <w:sz w:val="20"/>
                <w:szCs w:val="20"/>
                <w:color w:val="auto"/>
              </w:rPr>
            </w:pPr>
            <w:r>
              <w:rPr>
                <w:rFonts w:ascii="Arial" w:cs="Arial" w:eastAsia="Arial" w:hAnsi="Arial"/>
                <w:sz w:val="12"/>
                <w:szCs w:val="12"/>
                <w:b w:val="1"/>
                <w:bCs w:val="1"/>
                <w:color w:val="auto"/>
              </w:rPr>
              <w:t>Christopher Ing</w:t>
            </w:r>
          </w:p>
        </w:tc>
        <w:tc>
          <w:tcPr>
            <w:tcW w:w="1700" w:type="dxa"/>
            <w:vAlign w:val="bottom"/>
          </w:tcPr>
          <w:p>
            <w:pPr>
              <w:jc w:val="center"/>
              <w:ind w:left="140"/>
              <w:spacing w:after="0" w:line="136" w:lineRule="exact"/>
              <w:rPr>
                <w:sz w:val="20"/>
                <w:szCs w:val="20"/>
                <w:color w:val="auto"/>
              </w:rPr>
            </w:pPr>
            <w:r>
              <w:rPr>
                <w:rFonts w:ascii="Arial" w:cs="Arial" w:eastAsia="Arial" w:hAnsi="Arial"/>
                <w:sz w:val="12"/>
                <w:szCs w:val="12"/>
                <w:b w:val="1"/>
                <w:bCs w:val="1"/>
                <w:color w:val="auto"/>
              </w:rPr>
              <w:t>Sullivan &amp; Cromwell LLP</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rPr>
              <w:t>Shannon R. Delahaye</w:t>
            </w:r>
          </w:p>
        </w:tc>
        <w:tc>
          <w:tcPr>
            <w:tcW w:w="920" w:type="dxa"/>
            <w:vAlign w:val="bottom"/>
          </w:tcPr>
          <w:p>
            <w:pPr>
              <w:spacing w:after="0"/>
              <w:rPr>
                <w:sz w:val="11"/>
                <w:szCs w:val="11"/>
                <w:color w:val="auto"/>
              </w:rPr>
            </w:pPr>
          </w:p>
        </w:tc>
        <w:tc>
          <w:tcPr>
            <w:tcW w:w="3140" w:type="dxa"/>
            <w:vAlign w:val="bottom"/>
            <w:gridSpan w:val="2"/>
          </w:tcPr>
          <w:p>
            <w:pPr>
              <w:jc w:val="center"/>
              <w:ind w:right="1120"/>
              <w:spacing w:after="0" w:line="136" w:lineRule="exact"/>
              <w:rPr>
                <w:sz w:val="20"/>
                <w:szCs w:val="20"/>
                <w:color w:val="auto"/>
              </w:rPr>
            </w:pPr>
            <w:r>
              <w:rPr>
                <w:rFonts w:ascii="Arial" w:cs="Arial" w:eastAsia="Arial" w:hAnsi="Arial"/>
                <w:sz w:val="12"/>
                <w:szCs w:val="12"/>
                <w:b w:val="1"/>
                <w:bCs w:val="1"/>
                <w:color w:val="auto"/>
                <w:w w:val="99"/>
              </w:rPr>
              <w:t>Emily Sairafian</w:t>
            </w:r>
          </w:p>
        </w:tc>
        <w:tc>
          <w:tcPr>
            <w:tcW w:w="1700" w:type="dxa"/>
            <w:vAlign w:val="bottom"/>
          </w:tcPr>
          <w:p>
            <w:pPr>
              <w:jc w:val="center"/>
              <w:ind w:left="160"/>
              <w:spacing w:after="0" w:line="136" w:lineRule="exact"/>
              <w:rPr>
                <w:sz w:val="20"/>
                <w:szCs w:val="20"/>
                <w:color w:val="auto"/>
              </w:rPr>
            </w:pPr>
            <w:r>
              <w:rPr>
                <w:rFonts w:ascii="Arial" w:cs="Arial" w:eastAsia="Arial" w:hAnsi="Arial"/>
                <w:sz w:val="12"/>
                <w:szCs w:val="12"/>
                <w:b w:val="1"/>
                <w:bCs w:val="1"/>
                <w:color w:val="auto"/>
                <w:w w:val="99"/>
              </w:rPr>
              <w:t>1870 Embarcadero Road</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Wilson Sonsini Goodrich &amp; Rosati, P.C.</w:t>
            </w:r>
          </w:p>
        </w:tc>
        <w:tc>
          <w:tcPr>
            <w:tcW w:w="920" w:type="dxa"/>
            <w:vAlign w:val="bottom"/>
          </w:tcPr>
          <w:p>
            <w:pPr>
              <w:spacing w:after="0"/>
              <w:rPr>
                <w:sz w:val="11"/>
                <w:szCs w:val="11"/>
                <w:color w:val="auto"/>
              </w:rPr>
            </w:pPr>
          </w:p>
        </w:tc>
        <w:tc>
          <w:tcPr>
            <w:tcW w:w="3140" w:type="dxa"/>
            <w:vAlign w:val="bottom"/>
            <w:gridSpan w:val="2"/>
          </w:tcPr>
          <w:p>
            <w:pPr>
              <w:jc w:val="center"/>
              <w:ind w:right="1140"/>
              <w:spacing w:after="0" w:line="136" w:lineRule="exact"/>
              <w:rPr>
                <w:sz w:val="20"/>
                <w:szCs w:val="20"/>
                <w:color w:val="auto"/>
              </w:rPr>
            </w:pPr>
            <w:r>
              <w:rPr>
                <w:rFonts w:ascii="Arial" w:cs="Arial" w:eastAsia="Arial" w:hAnsi="Arial"/>
                <w:sz w:val="12"/>
                <w:szCs w:val="12"/>
                <w:b w:val="1"/>
                <w:bCs w:val="1"/>
                <w:color w:val="auto"/>
                <w:w w:val="99"/>
              </w:rPr>
              <w:t>Upstart Holdings, Inc.</w:t>
            </w:r>
          </w:p>
        </w:tc>
        <w:tc>
          <w:tcPr>
            <w:tcW w:w="1700" w:type="dxa"/>
            <w:vAlign w:val="bottom"/>
          </w:tcPr>
          <w:p>
            <w:pPr>
              <w:jc w:val="center"/>
              <w:ind w:left="140"/>
              <w:spacing w:after="0" w:line="136" w:lineRule="exact"/>
              <w:rPr>
                <w:sz w:val="20"/>
                <w:szCs w:val="20"/>
                <w:color w:val="auto"/>
              </w:rPr>
            </w:pPr>
            <w:r>
              <w:rPr>
                <w:rFonts w:ascii="Arial" w:cs="Arial" w:eastAsia="Arial" w:hAnsi="Arial"/>
                <w:sz w:val="12"/>
                <w:szCs w:val="12"/>
                <w:b w:val="1"/>
                <w:bCs w:val="1"/>
                <w:color w:val="auto"/>
                <w:w w:val="99"/>
              </w:rPr>
              <w:t>Palo Alto, California 94303</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650 Page Mill Road</w:t>
            </w:r>
          </w:p>
        </w:tc>
        <w:tc>
          <w:tcPr>
            <w:tcW w:w="920" w:type="dxa"/>
            <w:vAlign w:val="bottom"/>
          </w:tcPr>
          <w:p>
            <w:pPr>
              <w:spacing w:after="0"/>
              <w:rPr>
                <w:sz w:val="11"/>
                <w:szCs w:val="11"/>
                <w:color w:val="auto"/>
              </w:rPr>
            </w:pPr>
          </w:p>
        </w:tc>
        <w:tc>
          <w:tcPr>
            <w:tcW w:w="3140" w:type="dxa"/>
            <w:vAlign w:val="bottom"/>
            <w:gridSpan w:val="2"/>
          </w:tcPr>
          <w:p>
            <w:pPr>
              <w:jc w:val="center"/>
              <w:ind w:right="1120"/>
              <w:spacing w:after="0" w:line="136" w:lineRule="exact"/>
              <w:rPr>
                <w:sz w:val="20"/>
                <w:szCs w:val="20"/>
                <w:color w:val="auto"/>
              </w:rPr>
            </w:pPr>
            <w:r>
              <w:rPr>
                <w:rFonts w:ascii="Arial" w:cs="Arial" w:eastAsia="Arial" w:hAnsi="Arial"/>
                <w:sz w:val="12"/>
                <w:szCs w:val="12"/>
                <w:b w:val="1"/>
                <w:bCs w:val="1"/>
                <w:color w:val="auto"/>
                <w:w w:val="99"/>
              </w:rPr>
              <w:t>2950 S. Delaware Street, Suite 300</w:t>
            </w:r>
          </w:p>
        </w:tc>
        <w:tc>
          <w:tcPr>
            <w:tcW w:w="1700" w:type="dxa"/>
            <w:vAlign w:val="bottom"/>
          </w:tcPr>
          <w:p>
            <w:pPr>
              <w:jc w:val="right"/>
              <w:ind w:right="280"/>
              <w:spacing w:after="0" w:line="136" w:lineRule="exact"/>
              <w:rPr>
                <w:sz w:val="20"/>
                <w:szCs w:val="20"/>
                <w:color w:val="auto"/>
              </w:rPr>
            </w:pPr>
            <w:r>
              <w:rPr>
                <w:rFonts w:ascii="Arial" w:cs="Arial" w:eastAsia="Arial" w:hAnsi="Arial"/>
                <w:sz w:val="12"/>
                <w:szCs w:val="12"/>
                <w:b w:val="1"/>
                <w:bCs w:val="1"/>
                <w:color w:val="auto"/>
              </w:rPr>
              <w:t>(650) 461-5600</w:t>
            </w:r>
          </w:p>
        </w:tc>
      </w:tr>
      <w:tr>
        <w:trPr>
          <w:trHeight w:val="135"/>
        </w:trPr>
        <w:tc>
          <w:tcPr>
            <w:tcW w:w="232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rPr>
              <w:t>Palo Alto, California 94304</w:t>
            </w:r>
          </w:p>
        </w:tc>
        <w:tc>
          <w:tcPr>
            <w:tcW w:w="920" w:type="dxa"/>
            <w:vAlign w:val="bottom"/>
          </w:tcPr>
          <w:p>
            <w:pPr>
              <w:spacing w:after="0"/>
              <w:rPr>
                <w:sz w:val="11"/>
                <w:szCs w:val="11"/>
                <w:color w:val="auto"/>
              </w:rPr>
            </w:pPr>
          </w:p>
        </w:tc>
        <w:tc>
          <w:tcPr>
            <w:tcW w:w="3140" w:type="dxa"/>
            <w:vAlign w:val="bottom"/>
            <w:gridSpan w:val="2"/>
          </w:tcPr>
          <w:p>
            <w:pPr>
              <w:jc w:val="center"/>
              <w:ind w:right="1140"/>
              <w:spacing w:after="0" w:line="136" w:lineRule="exact"/>
              <w:rPr>
                <w:sz w:val="20"/>
                <w:szCs w:val="20"/>
                <w:color w:val="auto"/>
              </w:rPr>
            </w:pPr>
            <w:r>
              <w:rPr>
                <w:rFonts w:ascii="Arial" w:cs="Arial" w:eastAsia="Arial" w:hAnsi="Arial"/>
                <w:sz w:val="12"/>
                <w:szCs w:val="12"/>
                <w:b w:val="1"/>
                <w:bCs w:val="1"/>
                <w:color w:val="auto"/>
              </w:rPr>
              <w:t>San Mateo, California 94403</w:t>
            </w:r>
          </w:p>
        </w:tc>
        <w:tc>
          <w:tcPr>
            <w:tcW w:w="1700" w:type="dxa"/>
            <w:vAlign w:val="bottom"/>
          </w:tcPr>
          <w:p>
            <w:pPr>
              <w:spacing w:after="0"/>
              <w:rPr>
                <w:sz w:val="11"/>
                <w:szCs w:val="11"/>
                <w:color w:val="auto"/>
              </w:rPr>
            </w:pPr>
          </w:p>
        </w:tc>
      </w:tr>
      <w:tr>
        <w:trPr>
          <w:trHeight w:val="159"/>
        </w:trPr>
        <w:tc>
          <w:tcPr>
            <w:tcW w:w="2320" w:type="dxa"/>
            <w:vAlign w:val="bottom"/>
          </w:tcPr>
          <w:p>
            <w:pPr>
              <w:jc w:val="center"/>
              <w:spacing w:after="0"/>
              <w:rPr>
                <w:sz w:val="20"/>
                <w:szCs w:val="20"/>
                <w:color w:val="auto"/>
              </w:rPr>
            </w:pPr>
            <w:r>
              <w:rPr>
                <w:rFonts w:ascii="Arial" w:cs="Arial" w:eastAsia="Arial" w:hAnsi="Arial"/>
                <w:sz w:val="12"/>
                <w:szCs w:val="12"/>
                <w:b w:val="1"/>
                <w:bCs w:val="1"/>
                <w:color w:val="auto"/>
                <w:w w:val="99"/>
              </w:rPr>
              <w:t>(650) 493-9300</w:t>
            </w:r>
          </w:p>
        </w:tc>
        <w:tc>
          <w:tcPr>
            <w:tcW w:w="2860" w:type="dxa"/>
            <w:vAlign w:val="bottom"/>
            <w:gridSpan w:val="2"/>
          </w:tcPr>
          <w:p>
            <w:pPr>
              <w:jc w:val="center"/>
              <w:ind w:left="940"/>
              <w:spacing w:after="0"/>
              <w:rPr>
                <w:sz w:val="20"/>
                <w:szCs w:val="20"/>
                <w:color w:val="auto"/>
              </w:rPr>
            </w:pPr>
            <w:r>
              <w:rPr>
                <w:rFonts w:ascii="Arial" w:cs="Arial" w:eastAsia="Arial" w:hAnsi="Arial"/>
                <w:sz w:val="12"/>
                <w:szCs w:val="12"/>
                <w:b w:val="1"/>
                <w:bCs w:val="1"/>
                <w:color w:val="auto"/>
                <w:w w:val="99"/>
              </w:rPr>
              <w:t>(650) 204-1000</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62865</wp:posOffset>
            </wp:positionV>
            <wp:extent cx="12306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26"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1" w:lineRule="exact"/>
        <w:rPr>
          <w:sz w:val="24"/>
          <w:szCs w:val="24"/>
          <w:color w:val="auto"/>
        </w:rPr>
      </w:pPr>
    </w:p>
    <w:p>
      <w:pPr>
        <w:ind w:left="3500"/>
        <w:spacing w:after="0"/>
        <w:rPr>
          <w:sz w:val="20"/>
          <w:szCs w:val="20"/>
          <w:color w:val="auto"/>
        </w:rPr>
      </w:pPr>
      <w:r>
        <w:rPr>
          <w:rFonts w:ascii="Arial" w:cs="Arial" w:eastAsia="Arial" w:hAnsi="Arial"/>
          <w:sz w:val="12"/>
          <w:szCs w:val="12"/>
          <w:b w:val="1"/>
          <w:bCs w:val="1"/>
          <w:color w:val="auto"/>
        </w:rPr>
        <w:t>As soon as practicable after this registration statement becomes effective.</w:t>
      </w:r>
    </w:p>
    <w:p>
      <w:pPr>
        <w:spacing w:after="0" w:line="42" w:lineRule="exact"/>
        <w:rPr>
          <w:sz w:val="24"/>
          <w:szCs w:val="24"/>
          <w:color w:val="auto"/>
        </w:rPr>
      </w:pPr>
    </w:p>
    <w:p>
      <w:pPr>
        <w:ind w:left="1020" w:right="40" w:firstLine="460"/>
        <w:spacing w:after="0" w:line="146"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36" w:lineRule="exact"/>
        <w:rPr>
          <w:sz w:val="24"/>
          <w:szCs w:val="24"/>
          <w:color w:val="auto"/>
        </w:rPr>
      </w:pPr>
    </w:p>
    <w:p>
      <w:pPr>
        <w:ind w:left="1020" w:right="420" w:firstLine="460"/>
        <w:spacing w:after="0" w:line="146"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6" w:lineRule="exact"/>
        <w:rPr>
          <w:sz w:val="24"/>
          <w:szCs w:val="24"/>
          <w:color w:val="auto"/>
        </w:rPr>
      </w:pPr>
    </w:p>
    <w:p>
      <w:pPr>
        <w:ind w:left="1020" w:right="340" w:firstLine="460"/>
        <w:spacing w:after="0" w:line="146"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6" w:lineRule="exact"/>
        <w:rPr>
          <w:sz w:val="24"/>
          <w:szCs w:val="24"/>
          <w:color w:val="auto"/>
        </w:rPr>
      </w:pPr>
    </w:p>
    <w:p>
      <w:pPr>
        <w:ind w:left="1020" w:right="320" w:firstLine="460"/>
        <w:spacing w:after="0" w:line="146"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6" w:lineRule="exact"/>
        <w:rPr>
          <w:sz w:val="24"/>
          <w:szCs w:val="24"/>
          <w:color w:val="auto"/>
        </w:rPr>
      </w:pPr>
    </w:p>
    <w:p>
      <w:pPr>
        <w:ind w:left="1020" w:right="240" w:firstLine="460"/>
        <w:spacing w:after="0" w:line="24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1020" w:type="dxa"/>
        <w:tblCellMar>
          <w:top w:w="0" w:type="dxa"/>
          <w:left w:w="0" w:type="dxa"/>
          <w:bottom w:w="0" w:type="dxa"/>
          <w:right w:w="0" w:type="dxa"/>
        </w:tblCellMar>
      </w:tblPr>
      <w:tr>
        <w:trPr>
          <w:trHeight w:val="187"/>
        </w:trPr>
        <w:tc>
          <w:tcPr>
            <w:tcW w:w="16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00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340" w:type="dxa"/>
            <w:vAlign w:val="bottom"/>
          </w:tcPr>
          <w:p>
            <w:pPr>
              <w:ind w:left="2760"/>
              <w:spacing w:after="0"/>
              <w:rPr>
                <w:sz w:val="20"/>
                <w:szCs w:val="20"/>
                <w:color w:val="auto"/>
              </w:rPr>
            </w:pPr>
            <w:r>
              <w:rPr>
                <w:rFonts w:ascii="Arial" w:cs="Arial" w:eastAsia="Arial" w:hAnsi="Arial"/>
                <w:sz w:val="12"/>
                <w:szCs w:val="12"/>
                <w:color w:val="auto"/>
              </w:rPr>
              <w:t>Accelerated filer</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2"/>
        </w:trPr>
        <w:tc>
          <w:tcPr>
            <w:tcW w:w="1600" w:type="dxa"/>
            <w:vAlign w:val="bottom"/>
          </w:tcPr>
          <w:p>
            <w:pPr>
              <w:spacing w:after="0"/>
              <w:rPr>
                <w:sz w:val="20"/>
                <w:szCs w:val="20"/>
                <w:color w:val="auto"/>
              </w:rPr>
            </w:pPr>
            <w:r>
              <w:rPr>
                <w:rFonts w:ascii="Arial" w:cs="Arial" w:eastAsia="Arial" w:hAnsi="Arial"/>
                <w:sz w:val="12"/>
                <w:szCs w:val="12"/>
                <w:color w:val="auto"/>
              </w:rPr>
              <w:t>Non-accelerated filer</w:t>
            </w:r>
          </w:p>
        </w:tc>
        <w:tc>
          <w:tcPr>
            <w:tcW w:w="300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340" w:type="dxa"/>
            <w:vAlign w:val="bottom"/>
          </w:tcPr>
          <w:p>
            <w:pPr>
              <w:ind w:left="2760"/>
              <w:spacing w:after="0"/>
              <w:rPr>
                <w:sz w:val="20"/>
                <w:szCs w:val="20"/>
                <w:color w:val="auto"/>
              </w:rPr>
            </w:pPr>
            <w:r>
              <w:rPr>
                <w:rFonts w:ascii="Arial" w:cs="Arial" w:eastAsia="Arial" w:hAnsi="Arial"/>
                <w:sz w:val="12"/>
                <w:szCs w:val="12"/>
                <w:color w:val="auto"/>
              </w:rPr>
              <w:t>Smaller reporting company</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2"/>
        </w:trPr>
        <w:tc>
          <w:tcPr>
            <w:tcW w:w="160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00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35" w:lineRule="exact"/>
        <w:rPr>
          <w:sz w:val="24"/>
          <w:szCs w:val="24"/>
          <w:color w:val="auto"/>
        </w:rPr>
      </w:pPr>
    </w:p>
    <w:p>
      <w:pPr>
        <w:ind w:left="1020" w:right="80" w:firstLine="460"/>
        <w:spacing w:after="0" w:line="14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2" w:lineRule="exact"/>
        <w:rPr>
          <w:sz w:val="24"/>
          <w:szCs w:val="24"/>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44" w:lineRule="exact"/>
        <w:rPr>
          <w:sz w:val="24"/>
          <w:szCs w:val="24"/>
          <w:color w:val="auto"/>
        </w:rPr>
      </w:pPr>
    </w:p>
    <w:tbl>
      <w:tblPr>
        <w:tblLayout w:type="fixed"/>
        <w:tblInd w:w="1020" w:type="dxa"/>
        <w:tblCellMar>
          <w:top w:w="0" w:type="dxa"/>
          <w:left w:w="0" w:type="dxa"/>
          <w:bottom w:w="0" w:type="dxa"/>
          <w:right w:w="0" w:type="dxa"/>
        </w:tblCellMar>
      </w:tblPr>
      <w:tr>
        <w:trPr>
          <w:trHeight w:val="40"/>
        </w:trPr>
        <w:tc>
          <w:tcPr>
            <w:tcW w:w="372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99"/>
        </w:trPr>
        <w:tc>
          <w:tcPr>
            <w:tcW w:w="37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jc w:val="center"/>
              <w:ind w:left="2"/>
              <w:spacing w:after="0" w:line="99" w:lineRule="exact"/>
              <w:rPr>
                <w:sz w:val="20"/>
                <w:szCs w:val="20"/>
                <w:color w:val="auto"/>
              </w:rPr>
            </w:pPr>
            <w:r>
              <w:rPr>
                <w:rFonts w:ascii="Arial" w:cs="Arial" w:eastAsia="Arial" w:hAnsi="Arial"/>
                <w:sz w:val="11"/>
                <w:szCs w:val="11"/>
                <w:b w:val="1"/>
                <w:bCs w:val="1"/>
                <w:color w:val="auto"/>
              </w:rPr>
              <w:t>Shares</w:t>
            </w:r>
          </w:p>
        </w:tc>
        <w:tc>
          <w:tcPr>
            <w:tcW w:w="1480" w:type="dxa"/>
            <w:vAlign w:val="bottom"/>
            <w:tcBorders>
              <w:right w:val="single" w:sz="8" w:color="auto"/>
            </w:tcBorders>
          </w:tcPr>
          <w:p>
            <w:pPr>
              <w:jc w:val="center"/>
              <w:ind w:left="2"/>
              <w:spacing w:after="0" w:line="99" w:lineRule="exact"/>
              <w:rPr>
                <w:sz w:val="20"/>
                <w:szCs w:val="20"/>
                <w:color w:val="auto"/>
              </w:rPr>
            </w:pPr>
            <w:r>
              <w:rPr>
                <w:rFonts w:ascii="Arial" w:cs="Arial" w:eastAsia="Arial" w:hAnsi="Arial"/>
                <w:sz w:val="11"/>
                <w:szCs w:val="11"/>
                <w:b w:val="1"/>
                <w:bCs w:val="1"/>
                <w:color w:val="auto"/>
              </w:rPr>
              <w:t>Proposed Maximum</w:t>
            </w:r>
          </w:p>
        </w:tc>
        <w:tc>
          <w:tcPr>
            <w:tcW w:w="13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Maximum</w:t>
            </w:r>
          </w:p>
        </w:tc>
        <w:tc>
          <w:tcPr>
            <w:tcW w:w="1360" w:type="dxa"/>
            <w:vAlign w:val="bottom"/>
          </w:tcPr>
          <w:p>
            <w:pPr>
              <w:spacing w:after="0"/>
              <w:rPr>
                <w:sz w:val="8"/>
                <w:szCs w:val="8"/>
                <w:color w:val="auto"/>
              </w:rPr>
            </w:pPr>
          </w:p>
        </w:tc>
      </w:tr>
      <w:tr>
        <w:trPr>
          <w:trHeight w:val="134"/>
        </w:trPr>
        <w:tc>
          <w:tcPr>
            <w:tcW w:w="37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w w:val="99"/>
              </w:rPr>
              <w:t>Title of each Class of</w:t>
            </w:r>
          </w:p>
        </w:tc>
        <w:tc>
          <w:tcPr>
            <w:tcW w:w="1280" w:type="dxa"/>
            <w:vAlign w:val="bottom"/>
            <w:tcBorders>
              <w:right w:val="single" w:sz="8" w:color="auto"/>
            </w:tcBorders>
          </w:tcPr>
          <w:p>
            <w:pPr>
              <w:jc w:val="center"/>
              <w:ind w:left="2"/>
              <w:spacing w:after="0" w:line="134" w:lineRule="exact"/>
              <w:rPr>
                <w:sz w:val="20"/>
                <w:szCs w:val="20"/>
                <w:color w:val="auto"/>
              </w:rPr>
            </w:pPr>
            <w:r>
              <w:rPr>
                <w:rFonts w:ascii="Arial" w:cs="Arial" w:eastAsia="Arial" w:hAnsi="Arial"/>
                <w:sz w:val="12"/>
                <w:szCs w:val="12"/>
                <w:b w:val="1"/>
                <w:bCs w:val="1"/>
                <w:color w:val="auto"/>
              </w:rPr>
              <w:t>to be</w:t>
            </w:r>
          </w:p>
        </w:tc>
        <w:tc>
          <w:tcPr>
            <w:tcW w:w="1480" w:type="dxa"/>
            <w:vAlign w:val="bottom"/>
            <w:tcBorders>
              <w:right w:val="single" w:sz="8" w:color="auto"/>
            </w:tcBorders>
          </w:tcPr>
          <w:p>
            <w:pPr>
              <w:jc w:val="center"/>
              <w:ind w:left="2"/>
              <w:spacing w:after="0" w:line="134" w:lineRule="exact"/>
              <w:rPr>
                <w:sz w:val="20"/>
                <w:szCs w:val="20"/>
                <w:color w:val="auto"/>
              </w:rPr>
            </w:pPr>
            <w:r>
              <w:rPr>
                <w:rFonts w:ascii="Arial" w:cs="Arial" w:eastAsia="Arial" w:hAnsi="Arial"/>
                <w:sz w:val="12"/>
                <w:szCs w:val="12"/>
                <w:b w:val="1"/>
                <w:bCs w:val="1"/>
                <w:color w:val="auto"/>
              </w:rPr>
              <w:t>Aggregate Offering</w:t>
            </w:r>
          </w:p>
        </w:tc>
        <w:tc>
          <w:tcPr>
            <w:tcW w:w="1360" w:type="dxa"/>
            <w:vAlign w:val="bottom"/>
            <w:tcBorders>
              <w:right w:val="single" w:sz="8" w:color="auto"/>
            </w:tcBorders>
          </w:tcPr>
          <w:p>
            <w:pPr>
              <w:jc w:val="center"/>
              <w:ind w:left="6"/>
              <w:spacing w:after="0" w:line="134" w:lineRule="exact"/>
              <w:rPr>
                <w:sz w:val="20"/>
                <w:szCs w:val="20"/>
                <w:color w:val="auto"/>
              </w:rPr>
            </w:pPr>
            <w:r>
              <w:rPr>
                <w:rFonts w:ascii="Arial" w:cs="Arial" w:eastAsia="Arial" w:hAnsi="Arial"/>
                <w:sz w:val="12"/>
                <w:szCs w:val="12"/>
                <w:b w:val="1"/>
                <w:bCs w:val="1"/>
                <w:color w:val="auto"/>
              </w:rPr>
              <w:t>Aggregate Offering</w:t>
            </w:r>
          </w:p>
        </w:tc>
        <w:tc>
          <w:tcPr>
            <w:tcW w:w="1360" w:type="dxa"/>
            <w:vAlign w:val="bottom"/>
          </w:tcPr>
          <w:p>
            <w:pPr>
              <w:jc w:val="center"/>
              <w:ind w:left="22"/>
              <w:spacing w:after="0" w:line="134" w:lineRule="exact"/>
              <w:rPr>
                <w:sz w:val="20"/>
                <w:szCs w:val="20"/>
                <w:color w:val="auto"/>
              </w:rPr>
            </w:pPr>
            <w:r>
              <w:rPr>
                <w:rFonts w:ascii="Arial" w:cs="Arial" w:eastAsia="Arial" w:hAnsi="Arial"/>
                <w:sz w:val="12"/>
                <w:szCs w:val="12"/>
                <w:b w:val="1"/>
                <w:bCs w:val="1"/>
                <w:color w:val="auto"/>
                <w:w w:val="99"/>
              </w:rPr>
              <w:t>Amount of</w:t>
            </w:r>
          </w:p>
        </w:tc>
      </w:tr>
      <w:tr>
        <w:trPr>
          <w:trHeight w:val="158"/>
        </w:trPr>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Securities to be Registered</w:t>
            </w:r>
          </w:p>
        </w:tc>
        <w:tc>
          <w:tcPr>
            <w:tcW w:w="1280" w:type="dxa"/>
            <w:vAlign w:val="bottom"/>
            <w:tcBorders>
              <w:bottom w:val="single" w:sz="8" w:color="auto"/>
              <w:right w:val="single" w:sz="8" w:color="auto"/>
            </w:tcBorders>
          </w:tcPr>
          <w:p>
            <w:pPr>
              <w:jc w:val="center"/>
              <w:ind w:left="2"/>
              <w:spacing w:after="0" w:line="157" w:lineRule="exact"/>
              <w:rPr>
                <w:sz w:val="20"/>
                <w:szCs w:val="20"/>
                <w:color w:val="auto"/>
              </w:rPr>
            </w:pPr>
            <w:r>
              <w:rPr>
                <w:rFonts w:ascii="Arial" w:cs="Arial" w:eastAsia="Arial" w:hAnsi="Arial"/>
                <w:sz w:val="11"/>
                <w:szCs w:val="11"/>
                <w:b w:val="1"/>
                <w:bCs w:val="1"/>
                <w:color w:val="auto"/>
              </w:rPr>
              <w:t>Registered</w:t>
            </w:r>
            <w:r>
              <w:rPr>
                <w:rFonts w:ascii="Arial" w:cs="Arial" w:eastAsia="Arial" w:hAnsi="Arial"/>
                <w:sz w:val="18"/>
                <w:szCs w:val="18"/>
                <w:b w:val="1"/>
                <w:bCs w:val="1"/>
                <w:color w:val="auto"/>
                <w:vertAlign w:val="superscript"/>
              </w:rPr>
              <w:t>(1)</w:t>
            </w:r>
          </w:p>
        </w:tc>
        <w:tc>
          <w:tcPr>
            <w:tcW w:w="1480" w:type="dxa"/>
            <w:vAlign w:val="bottom"/>
            <w:tcBorders>
              <w:bottom w:val="single" w:sz="8" w:color="auto"/>
              <w:right w:val="single" w:sz="8" w:color="auto"/>
            </w:tcBorders>
          </w:tcPr>
          <w:p>
            <w:pPr>
              <w:jc w:val="center"/>
              <w:ind w:left="2"/>
              <w:spacing w:after="0" w:line="157" w:lineRule="exact"/>
              <w:rPr>
                <w:sz w:val="20"/>
                <w:szCs w:val="20"/>
                <w:color w:val="auto"/>
              </w:rPr>
            </w:pPr>
            <w:r>
              <w:rPr>
                <w:rFonts w:ascii="Arial" w:cs="Arial" w:eastAsia="Arial" w:hAnsi="Arial"/>
                <w:sz w:val="11"/>
                <w:szCs w:val="11"/>
                <w:b w:val="1"/>
                <w:bCs w:val="1"/>
                <w:color w:val="auto"/>
              </w:rPr>
              <w:t>Price Per Share</w:t>
            </w:r>
            <w:r>
              <w:rPr>
                <w:rFonts w:ascii="Arial" w:cs="Arial" w:eastAsia="Arial" w:hAnsi="Arial"/>
                <w:sz w:val="18"/>
                <w:szCs w:val="18"/>
                <w:b w:val="1"/>
                <w:bCs w:val="1"/>
                <w:color w:val="auto"/>
                <w:vertAlign w:val="superscript"/>
              </w:rPr>
              <w:t>(2)</w:t>
            </w:r>
          </w:p>
        </w:tc>
        <w:tc>
          <w:tcPr>
            <w:tcW w:w="1360" w:type="dxa"/>
            <w:vAlign w:val="bottom"/>
            <w:tcBorders>
              <w:bottom w:val="single" w:sz="8" w:color="auto"/>
              <w:right w:val="single" w:sz="8" w:color="auto"/>
            </w:tcBorders>
          </w:tcPr>
          <w:p>
            <w:pPr>
              <w:jc w:val="center"/>
              <w:ind w:left="6"/>
              <w:spacing w:after="0" w:line="157" w:lineRule="exact"/>
              <w:rPr>
                <w:sz w:val="20"/>
                <w:szCs w:val="20"/>
                <w:color w:val="auto"/>
              </w:rPr>
            </w:pPr>
            <w:r>
              <w:rPr>
                <w:rFonts w:ascii="Arial" w:cs="Arial" w:eastAsia="Arial" w:hAnsi="Arial"/>
                <w:sz w:val="18"/>
                <w:szCs w:val="18"/>
                <w:b w:val="1"/>
                <w:bCs w:val="1"/>
                <w:color w:val="auto"/>
                <w:vertAlign w:val="subscript"/>
              </w:rPr>
              <w:t>Price</w:t>
            </w:r>
            <w:r>
              <w:rPr>
                <w:rFonts w:ascii="Arial" w:cs="Arial" w:eastAsia="Arial" w:hAnsi="Arial"/>
                <w:sz w:val="9"/>
                <w:szCs w:val="9"/>
                <w:b w:val="1"/>
                <w:bCs w:val="1"/>
                <w:color w:val="auto"/>
              </w:rPr>
              <w:t>(1)(2)</w:t>
            </w:r>
          </w:p>
        </w:tc>
        <w:tc>
          <w:tcPr>
            <w:tcW w:w="1360" w:type="dxa"/>
            <w:vAlign w:val="bottom"/>
            <w:tcBorders>
              <w:bottom w:val="single" w:sz="8" w:color="auto"/>
            </w:tcBorders>
          </w:tcPr>
          <w:p>
            <w:pPr>
              <w:jc w:val="center"/>
              <w:ind w:left="22"/>
              <w:spacing w:after="0" w:line="157" w:lineRule="exact"/>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8"/>
                <w:szCs w:val="18"/>
                <w:b w:val="1"/>
                <w:bCs w:val="1"/>
                <w:color w:val="auto"/>
                <w:vertAlign w:val="superscript"/>
              </w:rPr>
              <w:t>(3)</w:t>
            </w:r>
          </w:p>
        </w:tc>
      </w:tr>
      <w:tr>
        <w:trPr>
          <w:trHeight w:val="126"/>
        </w:trPr>
        <w:tc>
          <w:tcPr>
            <w:tcW w:w="372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2"/>
                <w:szCs w:val="12"/>
                <w:color w:val="auto"/>
              </w:rPr>
              <w:t>Common stock, par value $0.0001 per share</w:t>
            </w:r>
          </w:p>
        </w:tc>
        <w:tc>
          <w:tcPr>
            <w:tcW w:w="1280" w:type="dxa"/>
            <w:vAlign w:val="bottom"/>
            <w:tcBorders>
              <w:bottom w:val="single" w:sz="8" w:color="auto"/>
              <w:right w:val="single" w:sz="8" w:color="auto"/>
            </w:tcBorders>
          </w:tcPr>
          <w:p>
            <w:pPr>
              <w:jc w:val="center"/>
              <w:ind w:left="2"/>
              <w:spacing w:after="0" w:line="126" w:lineRule="exact"/>
              <w:rPr>
                <w:sz w:val="20"/>
                <w:szCs w:val="20"/>
                <w:color w:val="auto"/>
              </w:rPr>
            </w:pPr>
            <w:r>
              <w:rPr>
                <w:rFonts w:ascii="Arial" w:cs="Arial" w:eastAsia="Arial" w:hAnsi="Arial"/>
                <w:sz w:val="12"/>
                <w:szCs w:val="12"/>
                <w:color w:val="auto"/>
              </w:rPr>
              <w:t>13,818,043</w:t>
            </w:r>
          </w:p>
        </w:tc>
        <w:tc>
          <w:tcPr>
            <w:tcW w:w="148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7"/>
              </w:rPr>
              <w:t>$22.00</w:t>
            </w:r>
          </w:p>
        </w:tc>
        <w:tc>
          <w:tcPr>
            <w:tcW w:w="1360" w:type="dxa"/>
            <w:vAlign w:val="bottom"/>
            <w:tcBorders>
              <w:bottom w:val="single" w:sz="8" w:color="auto"/>
              <w:right w:val="single" w:sz="8" w:color="auto"/>
            </w:tcBorders>
          </w:tcPr>
          <w:p>
            <w:pPr>
              <w:jc w:val="center"/>
              <w:ind w:left="6"/>
              <w:spacing w:after="0" w:line="126" w:lineRule="exact"/>
              <w:rPr>
                <w:sz w:val="20"/>
                <w:szCs w:val="20"/>
                <w:color w:val="auto"/>
              </w:rPr>
            </w:pPr>
            <w:r>
              <w:rPr>
                <w:rFonts w:ascii="Arial" w:cs="Arial" w:eastAsia="Arial" w:hAnsi="Arial"/>
                <w:sz w:val="12"/>
                <w:szCs w:val="12"/>
                <w:color w:val="auto"/>
                <w:w w:val="99"/>
              </w:rPr>
              <w:t>$303,996,946.00</w:t>
            </w:r>
          </w:p>
        </w:tc>
        <w:tc>
          <w:tcPr>
            <w:tcW w:w="1360" w:type="dxa"/>
            <w:vAlign w:val="bottom"/>
            <w:tcBorders>
              <w:bottom w:val="single" w:sz="8" w:color="auto"/>
            </w:tcBorders>
          </w:tcPr>
          <w:p>
            <w:pPr>
              <w:jc w:val="center"/>
              <w:ind w:left="22"/>
              <w:spacing w:after="0" w:line="126" w:lineRule="exact"/>
              <w:rPr>
                <w:sz w:val="20"/>
                <w:szCs w:val="20"/>
                <w:color w:val="auto"/>
              </w:rPr>
            </w:pPr>
            <w:r>
              <w:rPr>
                <w:rFonts w:ascii="Arial" w:cs="Arial" w:eastAsia="Arial" w:hAnsi="Arial"/>
                <w:sz w:val="12"/>
                <w:szCs w:val="12"/>
                <w:color w:val="auto"/>
                <w:w w:val="99"/>
              </w:rPr>
              <w:t>$33,166.07</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 w:lineRule="exact"/>
        <w:rPr>
          <w:sz w:val="24"/>
          <w:szCs w:val="24"/>
          <w:color w:val="auto"/>
        </w:rPr>
      </w:pPr>
    </w:p>
    <w:p>
      <w:pPr>
        <w:ind w:left="1380" w:hanging="353"/>
        <w:spacing w:after="0"/>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an additional 1,802,353 shares of our common stock that the underwriters have the option to purchase.</w:t>
      </w:r>
    </w:p>
    <w:p>
      <w:pPr>
        <w:ind w:left="1380" w:right="120" w:hanging="353"/>
        <w:spacing w:after="0" w:line="235" w:lineRule="auto"/>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457(a) of the Securities Act of 1933, as amended. Includes the aggregate offering price of additional shares that the underwriters have the option to purchase, if any.</w:t>
      </w:r>
    </w:p>
    <w:p>
      <w:pPr>
        <w:ind w:left="1380" w:hanging="353"/>
        <w:spacing w:after="0"/>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previously paid this amount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102870</wp:posOffset>
            </wp:positionV>
            <wp:extent cx="1230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89" w:lineRule="exact"/>
        <w:rPr>
          <w:sz w:val="24"/>
          <w:szCs w:val="24"/>
          <w:color w:val="auto"/>
        </w:rPr>
      </w:pPr>
    </w:p>
    <w:p>
      <w:pPr>
        <w:ind w:left="1020" w:right="140" w:firstLine="460"/>
        <w:spacing w:after="0" w:line="24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31750</wp:posOffset>
            </wp:positionV>
            <wp:extent cx="58381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67945</wp:posOffset>
            </wp:positionV>
            <wp:extent cx="58381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216" w:right="135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185420</wp:posOffset>
            </wp:positionV>
            <wp:extent cx="6010275" cy="7727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10275" cy="772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DE1A1E"/>
        </w:rPr>
        <w:t>Subject to Completion. Dated December 9, 2020.</w:t>
      </w:r>
    </w:p>
    <w:p>
      <w:pPr>
        <w:spacing w:after="0" w:line="179" w:lineRule="exact"/>
        <w:rPr>
          <w:sz w:val="20"/>
          <w:szCs w:val="20"/>
          <w:color w:val="auto"/>
        </w:rPr>
      </w:pPr>
    </w:p>
    <w:p>
      <w:pPr>
        <w:ind w:left="4780"/>
        <w:spacing w:after="0"/>
        <w:rPr>
          <w:sz w:val="20"/>
          <w:szCs w:val="20"/>
          <w:color w:val="auto"/>
        </w:rPr>
      </w:pPr>
      <w:r>
        <w:rPr>
          <w:rFonts w:ascii="Arial" w:cs="Arial" w:eastAsia="Arial" w:hAnsi="Arial"/>
          <w:sz w:val="21"/>
          <w:szCs w:val="21"/>
          <w:color w:val="FCFCFC"/>
        </w:rPr>
        <w:t>12,015,690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FCFCFC"/>
        </w:rPr>
        <w:t>Upstart Holdings, Inc.</w:t>
      </w:r>
    </w:p>
    <w:p>
      <w:pPr>
        <w:spacing w:after="0" w:line="217" w:lineRule="exact"/>
        <w:rPr>
          <w:sz w:val="20"/>
          <w:szCs w:val="20"/>
          <w:color w:val="auto"/>
        </w:rPr>
      </w:pPr>
    </w:p>
    <w:p>
      <w:pPr>
        <w:ind w:left="4960"/>
        <w:spacing w:after="0"/>
        <w:rPr>
          <w:sz w:val="20"/>
          <w:szCs w:val="20"/>
          <w:color w:val="auto"/>
        </w:rPr>
      </w:pPr>
      <w:r>
        <w:rPr>
          <w:rFonts w:ascii="Arial" w:cs="Arial" w:eastAsia="Arial" w:hAnsi="Arial"/>
          <w:sz w:val="21"/>
          <w:szCs w:val="21"/>
          <w:color w:val="FCFCFC"/>
        </w:rPr>
        <w:t>Common Stock</w:t>
      </w:r>
    </w:p>
    <w:p>
      <w:pPr>
        <w:spacing w:after="0" w:line="43"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82" w:lineRule="exact"/>
        <w:rPr>
          <w:sz w:val="20"/>
          <w:szCs w:val="20"/>
          <w:color w:val="auto"/>
        </w:rPr>
      </w:pPr>
    </w:p>
    <w:p>
      <w:pPr>
        <w:ind w:left="2140" w:right="1059" w:firstLine="352"/>
        <w:spacing w:after="0" w:line="238" w:lineRule="auto"/>
        <w:rPr>
          <w:sz w:val="20"/>
          <w:szCs w:val="20"/>
          <w:color w:val="auto"/>
        </w:rPr>
      </w:pPr>
      <w:r>
        <w:rPr>
          <w:rFonts w:ascii="Arial" w:cs="Arial" w:eastAsia="Arial" w:hAnsi="Arial"/>
          <w:sz w:val="15"/>
          <w:szCs w:val="15"/>
          <w:color w:val="FCFCFC"/>
        </w:rPr>
        <w:t>This is the initial public offering of shares of common stock of Upstart Holdings, Inc. We are offering 9,000,000 shares of common stock. The selling stockholders identified in this prospectus are offering an additional 3,015,690 shares of common stock. We will not receive any of the proceeds from the sale of shares by the selling stockholders.</w:t>
      </w:r>
    </w:p>
    <w:p>
      <w:pPr>
        <w:spacing w:after="0" w:line="48" w:lineRule="exact"/>
        <w:rPr>
          <w:sz w:val="20"/>
          <w:szCs w:val="20"/>
          <w:color w:val="auto"/>
        </w:rPr>
      </w:pPr>
    </w:p>
    <w:p>
      <w:pPr>
        <w:jc w:val="both"/>
        <w:ind w:left="2140" w:right="999" w:firstLine="352"/>
        <w:spacing w:after="0"/>
        <w:rPr>
          <w:sz w:val="20"/>
          <w:szCs w:val="20"/>
          <w:color w:val="auto"/>
        </w:rPr>
      </w:pPr>
      <w:r>
        <w:rPr>
          <w:rFonts w:ascii="Arial" w:cs="Arial" w:eastAsia="Arial" w:hAnsi="Arial"/>
          <w:sz w:val="15"/>
          <w:szCs w:val="15"/>
          <w:color w:val="FCFCFC"/>
        </w:rPr>
        <w:t>Prior to this offering, there has been no public market for the common stock. It is currently estimated that the initial public offering price per share will be between $ 20.00 and $22.00. We have been approved to list our common stock on the Nasdaq Global Select Market under the symbol “UPST”.</w:t>
      </w:r>
    </w:p>
    <w:p>
      <w:pPr>
        <w:spacing w:after="0" w:line="46" w:lineRule="exact"/>
        <w:rPr>
          <w:sz w:val="20"/>
          <w:szCs w:val="20"/>
          <w:color w:val="auto"/>
        </w:rPr>
      </w:pPr>
    </w:p>
    <w:p>
      <w:pPr>
        <w:ind w:left="2140" w:right="979" w:firstLine="352"/>
        <w:spacing w:after="0"/>
        <w:rPr>
          <w:sz w:val="20"/>
          <w:szCs w:val="20"/>
          <w:color w:val="auto"/>
        </w:rPr>
      </w:pPr>
      <w:r>
        <w:rPr>
          <w:rFonts w:ascii="Arial" w:cs="Arial" w:eastAsia="Arial" w:hAnsi="Arial"/>
          <w:sz w:val="15"/>
          <w:szCs w:val="15"/>
          <w:color w:val="FCFCFC"/>
        </w:rPr>
        <w:t>We are an “emerging growth company” as that term is defined under the federal securities laws and, as such, we have elected to comply with certain reduced reporting requirements for this prospectus and may elect to do so in future filings.</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53" w:lineRule="exact"/>
        <w:rPr>
          <w:sz w:val="20"/>
          <w:szCs w:val="20"/>
          <w:color w:val="auto"/>
        </w:rPr>
      </w:pPr>
    </w:p>
    <w:p>
      <w:pPr>
        <w:ind w:left="2140" w:right="959" w:firstLine="352"/>
        <w:spacing w:after="0" w:line="270" w:lineRule="auto"/>
        <w:rPr>
          <w:rFonts w:ascii="Arial" w:cs="Arial" w:eastAsia="Arial" w:hAnsi="Arial"/>
          <w:sz w:val="15"/>
          <w:szCs w:val="15"/>
          <w:b w:val="1"/>
          <w:bCs w:val="1"/>
          <w:i w:val="1"/>
          <w:iCs w:val="1"/>
          <w:color w:val="FCFCFC"/>
        </w:rPr>
      </w:pPr>
      <w:r>
        <w:rPr>
          <w:rFonts w:ascii="Arial" w:cs="Arial" w:eastAsia="Arial" w:hAnsi="Arial"/>
          <w:sz w:val="15"/>
          <w:szCs w:val="15"/>
          <w:b w:val="1"/>
          <w:bCs w:val="1"/>
          <w:i w:val="1"/>
          <w:iCs w:val="1"/>
          <w:color w:val="FCFCFC"/>
        </w:rPr>
        <w:t>See “</w:t>
      </w:r>
      <w:hyperlink w:anchor="page32">
        <w:r>
          <w:rPr>
            <w:rFonts w:ascii="Arial" w:cs="Arial" w:eastAsia="Arial" w:hAnsi="Arial"/>
            <w:sz w:val="15"/>
            <w:szCs w:val="15"/>
            <w:b w:val="1"/>
            <w:bCs w:val="1"/>
            <w:i w:val="1"/>
            <w:iCs w:val="1"/>
            <w:u w:val="single" w:color="auto"/>
            <w:color w:val="0000EE"/>
          </w:rPr>
          <w:t>Risk Factors</w:t>
        </w:r>
      </w:hyperlink>
      <w:r>
        <w:rPr>
          <w:rFonts w:ascii="Arial" w:cs="Arial" w:eastAsia="Arial" w:hAnsi="Arial"/>
          <w:sz w:val="15"/>
          <w:szCs w:val="15"/>
          <w:b w:val="1"/>
          <w:bCs w:val="1"/>
          <w:i w:val="1"/>
          <w:iCs w:val="1"/>
          <w:color w:val="FCFCFC"/>
        </w:rPr>
        <w:t>” beginning on page 21 to read about factors you should consider before buying shares of our common stock.</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64" w:lineRule="exact"/>
        <w:rPr>
          <w:sz w:val="20"/>
          <w:szCs w:val="20"/>
          <w:color w:val="auto"/>
        </w:rPr>
      </w:pPr>
    </w:p>
    <w:p>
      <w:pPr>
        <w:ind w:left="2140" w:right="1299" w:firstLine="352"/>
        <w:spacing w:after="0" w:line="252" w:lineRule="auto"/>
        <w:rPr>
          <w:sz w:val="20"/>
          <w:szCs w:val="20"/>
          <w:color w:val="auto"/>
        </w:rPr>
      </w:pPr>
      <w:r>
        <w:rPr>
          <w:rFonts w:ascii="Arial" w:cs="Arial" w:eastAsia="Arial" w:hAnsi="Arial"/>
          <w:sz w:val="15"/>
          <w:szCs w:val="15"/>
          <w:b w:val="1"/>
          <w:bCs w:val="1"/>
          <w:color w:val="FCFCFC"/>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p>
    <w:tbl>
      <w:tblPr>
        <w:tblLayout w:type="fixed"/>
        <w:tblInd w:w="2140" w:type="dxa"/>
        <w:tblCellMar>
          <w:top w:w="0" w:type="dxa"/>
          <w:left w:w="0" w:type="dxa"/>
          <w:bottom w:w="0" w:type="dxa"/>
          <w:right w:w="0" w:type="dxa"/>
        </w:tblCellMar>
      </w:tblPr>
      <w:tr>
        <w:trPr>
          <w:trHeight w:val="198"/>
        </w:trPr>
        <w:tc>
          <w:tcPr>
            <w:tcW w:w="4840" w:type="dxa"/>
            <w:vAlign w:val="bottom"/>
          </w:tcPr>
          <w:p>
            <w:pPr>
              <w:ind w:left="2740"/>
              <w:spacing w:after="0"/>
              <w:rPr>
                <w:sz w:val="20"/>
                <w:szCs w:val="20"/>
                <w:color w:val="auto"/>
              </w:rPr>
            </w:pPr>
            <w:r>
              <w:rPr>
                <w:rFonts w:ascii="Arial" w:cs="Arial" w:eastAsia="Arial" w:hAnsi="Arial"/>
                <w:sz w:val="15"/>
                <w:szCs w:val="15"/>
                <w:b w:val="1"/>
                <w:bCs w:val="1"/>
                <w:color w:val="FCFCFC"/>
              </w:rPr>
              <w:t>___________________</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4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bottom w:val="single" w:sz="8" w:color="FCFCFC"/>
            </w:tcBorders>
          </w:tcPr>
          <w:p>
            <w:pPr>
              <w:spacing w:after="0"/>
              <w:rPr>
                <w:sz w:val="20"/>
                <w:szCs w:val="20"/>
                <w:color w:val="auto"/>
              </w:rPr>
            </w:pPr>
            <w:r>
              <w:rPr>
                <w:rFonts w:ascii="Arial" w:cs="Arial" w:eastAsia="Arial" w:hAnsi="Arial"/>
                <w:sz w:val="15"/>
                <w:szCs w:val="15"/>
                <w:color w:val="FCFCFC"/>
                <w:w w:val="94"/>
              </w:rPr>
              <w:t>Per Share</w:t>
            </w:r>
          </w:p>
        </w:tc>
        <w:tc>
          <w:tcPr>
            <w:tcW w:w="480" w:type="dxa"/>
            <w:vAlign w:val="bottom"/>
          </w:tcPr>
          <w:p>
            <w:pPr>
              <w:spacing w:after="0"/>
              <w:rPr>
                <w:sz w:val="17"/>
                <w:szCs w:val="17"/>
                <w:color w:val="auto"/>
              </w:rPr>
            </w:pPr>
          </w:p>
        </w:tc>
        <w:tc>
          <w:tcPr>
            <w:tcW w:w="320" w:type="dxa"/>
            <w:vAlign w:val="bottom"/>
            <w:tcBorders>
              <w:bottom w:val="single" w:sz="8" w:color="FCFCFC"/>
            </w:tcBorders>
          </w:tcPr>
          <w:p>
            <w:pPr>
              <w:spacing w:after="0"/>
              <w:rPr>
                <w:sz w:val="20"/>
                <w:szCs w:val="20"/>
                <w:color w:val="auto"/>
              </w:rPr>
            </w:pPr>
            <w:r>
              <w:rPr>
                <w:rFonts w:ascii="Arial" w:cs="Arial" w:eastAsia="Arial" w:hAnsi="Arial"/>
                <w:sz w:val="15"/>
                <w:szCs w:val="15"/>
                <w:color w:val="FCFCFC"/>
                <w:w w:val="89"/>
              </w:rPr>
              <w:t>Total</w:t>
            </w:r>
          </w:p>
        </w:tc>
      </w:tr>
      <w:tr>
        <w:trPr>
          <w:trHeight w:val="169"/>
        </w:trPr>
        <w:tc>
          <w:tcPr>
            <w:tcW w:w="4840" w:type="dxa"/>
            <w:vAlign w:val="bottom"/>
          </w:tcPr>
          <w:p>
            <w:pPr>
              <w:ind w:left="20"/>
              <w:spacing w:after="0" w:line="169" w:lineRule="exact"/>
              <w:rPr>
                <w:sz w:val="20"/>
                <w:szCs w:val="20"/>
                <w:color w:val="auto"/>
              </w:rPr>
            </w:pPr>
            <w:r>
              <w:rPr>
                <w:rFonts w:ascii="Arial" w:cs="Arial" w:eastAsia="Arial" w:hAnsi="Arial"/>
                <w:sz w:val="15"/>
                <w:szCs w:val="15"/>
                <w:color w:val="FCFCFC"/>
              </w:rPr>
              <w:t>Initial public offering price</w:t>
            </w:r>
          </w:p>
        </w:tc>
        <w:tc>
          <w:tcPr>
            <w:tcW w:w="1200" w:type="dxa"/>
            <w:vAlign w:val="bottom"/>
            <w:gridSpan w:val="2"/>
          </w:tcPr>
          <w:p>
            <w:pPr>
              <w:ind w:left="520"/>
              <w:spacing w:after="0" w:line="169" w:lineRule="exact"/>
              <w:rPr>
                <w:sz w:val="20"/>
                <w:szCs w:val="20"/>
                <w:color w:val="auto"/>
              </w:rPr>
            </w:pPr>
            <w:r>
              <w:rPr>
                <w:rFonts w:ascii="Arial" w:cs="Arial" w:eastAsia="Arial" w:hAnsi="Arial"/>
                <w:sz w:val="15"/>
                <w:szCs w:val="15"/>
                <w:color w:val="FCFCFC"/>
              </w:rPr>
              <w:t>$</w:t>
            </w:r>
          </w:p>
        </w:tc>
        <w:tc>
          <w:tcPr>
            <w:tcW w:w="480" w:type="dxa"/>
            <w:vAlign w:val="bottom"/>
          </w:tcPr>
          <w:p>
            <w:pPr>
              <w:jc w:val="right"/>
              <w:ind w:right="5"/>
              <w:spacing w:after="0" w:line="169" w:lineRule="exact"/>
              <w:rPr>
                <w:sz w:val="20"/>
                <w:szCs w:val="20"/>
                <w:color w:val="auto"/>
              </w:rPr>
            </w:pPr>
            <w:r>
              <w:rPr>
                <w:rFonts w:ascii="Arial" w:cs="Arial" w:eastAsia="Arial" w:hAnsi="Arial"/>
                <w:sz w:val="15"/>
                <w:szCs w:val="15"/>
                <w:color w:val="FCFCFC"/>
              </w:rPr>
              <w:t>$</w:t>
            </w:r>
          </w:p>
        </w:tc>
        <w:tc>
          <w:tcPr>
            <w:tcW w:w="320" w:type="dxa"/>
            <w:vAlign w:val="bottom"/>
          </w:tcPr>
          <w:p>
            <w:pPr>
              <w:spacing w:after="0"/>
              <w:rPr>
                <w:sz w:val="14"/>
                <w:szCs w:val="14"/>
                <w:color w:val="auto"/>
              </w:rPr>
            </w:pPr>
          </w:p>
        </w:tc>
      </w:tr>
      <w:tr>
        <w:trPr>
          <w:trHeight w:val="171"/>
        </w:trPr>
        <w:tc>
          <w:tcPr>
            <w:tcW w:w="4840" w:type="dxa"/>
            <w:vAlign w:val="bottom"/>
          </w:tcPr>
          <w:p>
            <w:pPr>
              <w:ind w:left="20"/>
              <w:spacing w:after="0" w:line="172" w:lineRule="exact"/>
              <w:rPr>
                <w:sz w:val="20"/>
                <w:szCs w:val="20"/>
                <w:color w:val="auto"/>
              </w:rPr>
            </w:pPr>
            <w:r>
              <w:rPr>
                <w:rFonts w:ascii="Arial" w:cs="Arial" w:eastAsia="Arial" w:hAnsi="Arial"/>
                <w:sz w:val="15"/>
                <w:szCs w:val="15"/>
                <w:color w:val="FCFCFC"/>
              </w:rPr>
              <w:t>Underwriting discount</w:t>
            </w:r>
            <w:r>
              <w:rPr>
                <w:rFonts w:ascii="Arial" w:cs="Arial" w:eastAsia="Arial" w:hAnsi="Arial"/>
                <w:sz w:val="12"/>
                <w:szCs w:val="12"/>
                <w:color w:val="FCFCFC"/>
              </w:rPr>
              <w:t>(1)</w:t>
            </w:r>
          </w:p>
        </w:tc>
        <w:tc>
          <w:tcPr>
            <w:tcW w:w="1200" w:type="dxa"/>
            <w:vAlign w:val="bottom"/>
            <w:gridSpan w:val="2"/>
          </w:tcPr>
          <w:p>
            <w:pPr>
              <w:ind w:left="520"/>
              <w:spacing w:after="0" w:line="172" w:lineRule="exact"/>
              <w:rPr>
                <w:sz w:val="20"/>
                <w:szCs w:val="20"/>
                <w:color w:val="auto"/>
              </w:rPr>
            </w:pPr>
            <w:r>
              <w:rPr>
                <w:rFonts w:ascii="Arial" w:cs="Arial" w:eastAsia="Arial" w:hAnsi="Arial"/>
                <w:sz w:val="15"/>
                <w:szCs w:val="15"/>
                <w:color w:val="FCFCFC"/>
              </w:rPr>
              <w:t>$</w:t>
            </w:r>
          </w:p>
        </w:tc>
        <w:tc>
          <w:tcPr>
            <w:tcW w:w="480" w:type="dxa"/>
            <w:vAlign w:val="bottom"/>
          </w:tcPr>
          <w:p>
            <w:pPr>
              <w:jc w:val="right"/>
              <w:ind w:right="5"/>
              <w:spacing w:after="0" w:line="172" w:lineRule="exact"/>
              <w:rPr>
                <w:sz w:val="20"/>
                <w:szCs w:val="20"/>
                <w:color w:val="auto"/>
              </w:rPr>
            </w:pPr>
            <w:r>
              <w:rPr>
                <w:rFonts w:ascii="Arial" w:cs="Arial" w:eastAsia="Arial" w:hAnsi="Arial"/>
                <w:sz w:val="15"/>
                <w:szCs w:val="15"/>
                <w:color w:val="FCFCFC"/>
              </w:rPr>
              <w:t>$</w:t>
            </w:r>
          </w:p>
        </w:tc>
        <w:tc>
          <w:tcPr>
            <w:tcW w:w="320" w:type="dxa"/>
            <w:vAlign w:val="bottom"/>
          </w:tcPr>
          <w:p>
            <w:pPr>
              <w:spacing w:after="0"/>
              <w:rPr>
                <w:sz w:val="14"/>
                <w:szCs w:val="14"/>
                <w:color w:val="auto"/>
              </w:rPr>
            </w:pPr>
          </w:p>
        </w:tc>
      </w:tr>
      <w:tr>
        <w:trPr>
          <w:trHeight w:val="169"/>
        </w:trPr>
        <w:tc>
          <w:tcPr>
            <w:tcW w:w="4840" w:type="dxa"/>
            <w:vAlign w:val="bottom"/>
          </w:tcPr>
          <w:p>
            <w:pPr>
              <w:ind w:left="20"/>
              <w:spacing w:after="0" w:line="169" w:lineRule="exact"/>
              <w:rPr>
                <w:sz w:val="20"/>
                <w:szCs w:val="20"/>
                <w:color w:val="auto"/>
              </w:rPr>
            </w:pPr>
            <w:r>
              <w:rPr>
                <w:rFonts w:ascii="Arial" w:cs="Arial" w:eastAsia="Arial" w:hAnsi="Arial"/>
                <w:sz w:val="15"/>
                <w:szCs w:val="15"/>
                <w:color w:val="FCFCFC"/>
              </w:rPr>
              <w:t>Proceeds, before expenses, to Upstart</w:t>
            </w:r>
          </w:p>
        </w:tc>
        <w:tc>
          <w:tcPr>
            <w:tcW w:w="1200" w:type="dxa"/>
            <w:vAlign w:val="bottom"/>
            <w:gridSpan w:val="2"/>
          </w:tcPr>
          <w:p>
            <w:pPr>
              <w:ind w:left="520"/>
              <w:spacing w:after="0" w:line="169" w:lineRule="exact"/>
              <w:rPr>
                <w:sz w:val="20"/>
                <w:szCs w:val="20"/>
                <w:color w:val="auto"/>
              </w:rPr>
            </w:pPr>
            <w:r>
              <w:rPr>
                <w:rFonts w:ascii="Arial" w:cs="Arial" w:eastAsia="Arial" w:hAnsi="Arial"/>
                <w:sz w:val="15"/>
                <w:szCs w:val="15"/>
                <w:color w:val="FCFCFC"/>
              </w:rPr>
              <w:t>$</w:t>
            </w:r>
          </w:p>
        </w:tc>
        <w:tc>
          <w:tcPr>
            <w:tcW w:w="480" w:type="dxa"/>
            <w:vAlign w:val="bottom"/>
          </w:tcPr>
          <w:p>
            <w:pPr>
              <w:jc w:val="right"/>
              <w:ind w:right="5"/>
              <w:spacing w:after="0" w:line="169" w:lineRule="exact"/>
              <w:rPr>
                <w:sz w:val="20"/>
                <w:szCs w:val="20"/>
                <w:color w:val="auto"/>
              </w:rPr>
            </w:pPr>
            <w:r>
              <w:rPr>
                <w:rFonts w:ascii="Arial" w:cs="Arial" w:eastAsia="Arial" w:hAnsi="Arial"/>
                <w:sz w:val="15"/>
                <w:szCs w:val="15"/>
                <w:color w:val="FCFCFC"/>
              </w:rPr>
              <w:t>$</w:t>
            </w:r>
          </w:p>
        </w:tc>
        <w:tc>
          <w:tcPr>
            <w:tcW w:w="320" w:type="dxa"/>
            <w:vAlign w:val="bottom"/>
          </w:tcPr>
          <w:p>
            <w:pPr>
              <w:spacing w:after="0"/>
              <w:rPr>
                <w:sz w:val="14"/>
                <w:szCs w:val="14"/>
                <w:color w:val="auto"/>
              </w:rPr>
            </w:pPr>
          </w:p>
        </w:tc>
      </w:tr>
      <w:tr>
        <w:trPr>
          <w:trHeight w:val="169"/>
        </w:trPr>
        <w:tc>
          <w:tcPr>
            <w:tcW w:w="4840" w:type="dxa"/>
            <w:vAlign w:val="bottom"/>
          </w:tcPr>
          <w:p>
            <w:pPr>
              <w:ind w:left="20"/>
              <w:spacing w:after="0" w:line="169" w:lineRule="exact"/>
              <w:rPr>
                <w:sz w:val="20"/>
                <w:szCs w:val="20"/>
                <w:color w:val="auto"/>
              </w:rPr>
            </w:pPr>
            <w:r>
              <w:rPr>
                <w:rFonts w:ascii="Arial" w:cs="Arial" w:eastAsia="Arial" w:hAnsi="Arial"/>
                <w:sz w:val="15"/>
                <w:szCs w:val="15"/>
                <w:color w:val="FCFCFC"/>
              </w:rPr>
              <w:t>Proceeds, before expenses, to the selling stockholders</w:t>
            </w:r>
          </w:p>
        </w:tc>
        <w:tc>
          <w:tcPr>
            <w:tcW w:w="1200" w:type="dxa"/>
            <w:vAlign w:val="bottom"/>
            <w:gridSpan w:val="2"/>
          </w:tcPr>
          <w:p>
            <w:pPr>
              <w:ind w:left="520"/>
              <w:spacing w:after="0" w:line="169" w:lineRule="exact"/>
              <w:rPr>
                <w:sz w:val="20"/>
                <w:szCs w:val="20"/>
                <w:color w:val="auto"/>
              </w:rPr>
            </w:pPr>
            <w:r>
              <w:rPr>
                <w:rFonts w:ascii="Arial" w:cs="Arial" w:eastAsia="Arial" w:hAnsi="Arial"/>
                <w:sz w:val="15"/>
                <w:szCs w:val="15"/>
                <w:color w:val="FCFCFC"/>
              </w:rPr>
              <w:t>$</w:t>
            </w:r>
          </w:p>
        </w:tc>
        <w:tc>
          <w:tcPr>
            <w:tcW w:w="480" w:type="dxa"/>
            <w:vAlign w:val="bottom"/>
          </w:tcPr>
          <w:p>
            <w:pPr>
              <w:jc w:val="right"/>
              <w:ind w:right="5"/>
              <w:spacing w:after="0" w:line="169" w:lineRule="exact"/>
              <w:rPr>
                <w:sz w:val="20"/>
                <w:szCs w:val="20"/>
                <w:color w:val="auto"/>
              </w:rPr>
            </w:pPr>
            <w:r>
              <w:rPr>
                <w:rFonts w:ascii="Arial" w:cs="Arial" w:eastAsia="Arial" w:hAnsi="Arial"/>
                <w:sz w:val="15"/>
                <w:szCs w:val="15"/>
                <w:color w:val="FCFCFC"/>
              </w:rPr>
              <w:t>$</w:t>
            </w:r>
          </w:p>
        </w:tc>
        <w:tc>
          <w:tcPr>
            <w:tcW w:w="320" w:type="dxa"/>
            <w:vAlign w:val="bottom"/>
          </w:tcPr>
          <w:p>
            <w:pPr>
              <w:spacing w:after="0"/>
              <w:rPr>
                <w:sz w:val="14"/>
                <w:szCs w:val="14"/>
                <w:color w:val="auto"/>
              </w:rPr>
            </w:pPr>
          </w:p>
        </w:tc>
      </w:tr>
      <w:tr>
        <w:trPr>
          <w:trHeight w:val="174"/>
        </w:trPr>
        <w:tc>
          <w:tcPr>
            <w:tcW w:w="4840" w:type="dxa"/>
            <w:vAlign w:val="bottom"/>
          </w:tcPr>
          <w:p>
            <w:pPr>
              <w:spacing w:after="0"/>
              <w:rPr>
                <w:sz w:val="20"/>
                <w:szCs w:val="20"/>
                <w:color w:val="auto"/>
              </w:rPr>
            </w:pPr>
            <w:r>
              <w:rPr>
                <w:rFonts w:ascii="Arial" w:cs="Arial" w:eastAsia="Arial" w:hAnsi="Arial"/>
                <w:sz w:val="15"/>
                <w:szCs w:val="15"/>
                <w:color w:val="FCFCFC"/>
              </w:rPr>
              <w:t>__________</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bl>
    <w:p>
      <w:pPr>
        <w:ind w:left="2700" w:hanging="558"/>
        <w:spacing w:after="0"/>
        <w:tabs>
          <w:tab w:leader="none" w:pos="2700" w:val="left"/>
        </w:tabs>
        <w:numPr>
          <w:ilvl w:val="0"/>
          <w:numId w:val="2"/>
        </w:numPr>
        <w:rPr>
          <w:rFonts w:ascii="Arial" w:cs="Arial" w:eastAsia="Arial" w:hAnsi="Arial"/>
          <w:sz w:val="12"/>
          <w:szCs w:val="12"/>
          <w:color w:val="FCFCFC"/>
        </w:rPr>
      </w:pPr>
      <w:r>
        <w:rPr>
          <w:rFonts w:ascii="Arial" w:cs="Arial" w:eastAsia="Arial" w:hAnsi="Arial"/>
          <w:sz w:val="12"/>
          <w:szCs w:val="12"/>
          <w:color w:val="FCFCFC"/>
        </w:rPr>
        <w:t>See “Underwriting” for a description of the compensation payable to the Underwriters.</w:t>
      </w:r>
    </w:p>
    <w:p>
      <w:pPr>
        <w:spacing w:after="0" w:line="49" w:lineRule="exact"/>
        <w:rPr>
          <w:sz w:val="20"/>
          <w:szCs w:val="20"/>
          <w:color w:val="auto"/>
        </w:rPr>
      </w:pPr>
    </w:p>
    <w:p>
      <w:pPr>
        <w:ind w:left="2140" w:right="1379" w:firstLine="352"/>
        <w:spacing w:after="0"/>
        <w:rPr>
          <w:sz w:val="20"/>
          <w:szCs w:val="20"/>
          <w:color w:val="auto"/>
        </w:rPr>
      </w:pPr>
      <w:r>
        <w:rPr>
          <w:rFonts w:ascii="Arial" w:cs="Arial" w:eastAsia="Arial" w:hAnsi="Arial"/>
          <w:sz w:val="15"/>
          <w:szCs w:val="15"/>
          <w:color w:val="FCFCFC"/>
        </w:rPr>
        <w:t>To the extent that the underwriters sell more than 12,015,690 shares of our common stock, the underwriters have the option to purchase up to an additional 1,802,353 shares from certain selling stockholders at the initial public offering price less the underwriting discount.</w:t>
      </w:r>
    </w:p>
    <w:p>
      <w:pPr>
        <w:spacing w:after="0" w:line="57" w:lineRule="exact"/>
        <w:rPr>
          <w:sz w:val="20"/>
          <w:szCs w:val="20"/>
          <w:color w:val="auto"/>
        </w:rPr>
      </w:pPr>
    </w:p>
    <w:p>
      <w:pPr>
        <w:ind w:left="2140" w:right="979" w:firstLine="352"/>
        <w:spacing w:after="0" w:line="237" w:lineRule="auto"/>
        <w:rPr>
          <w:sz w:val="20"/>
          <w:szCs w:val="20"/>
          <w:color w:val="auto"/>
        </w:rPr>
      </w:pPr>
      <w:r>
        <w:rPr>
          <w:rFonts w:ascii="Arial" w:cs="Arial" w:eastAsia="Arial" w:hAnsi="Arial"/>
          <w:sz w:val="15"/>
          <w:szCs w:val="15"/>
          <w:color w:val="FCFCFC"/>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The underwriters will receive the same discount from any shares of common stock sold to such entities as they will from any other shares of common stock sold to the public in this offering.</w:t>
      </w:r>
    </w:p>
    <w:p>
      <w:pPr>
        <w:sectPr>
          <w:pgSz w:w="11900" w:h="16838" w:orient="portrait"/>
          <w:cols w:equalWidth="0" w:num="1">
            <w:col w:w="10139"/>
          </w:cols>
          <w:pgMar w:left="320" w:top="407" w:right="1440" w:bottom="1440" w:gutter="0" w:footer="0" w:header="0"/>
        </w:sectPr>
      </w:pPr>
    </w:p>
    <w:p>
      <w:pPr>
        <w:spacing w:after="0" w:line="46" w:lineRule="exact"/>
        <w:rPr>
          <w:sz w:val="20"/>
          <w:szCs w:val="20"/>
          <w:color w:val="auto"/>
        </w:rPr>
      </w:pPr>
    </w:p>
    <w:p>
      <w:pPr>
        <w:ind w:left="2140" w:firstLine="352"/>
        <w:spacing w:after="0" w:line="245" w:lineRule="auto"/>
        <w:rPr>
          <w:sz w:val="20"/>
          <w:szCs w:val="20"/>
          <w:color w:val="auto"/>
        </w:rPr>
      </w:pPr>
      <w:r>
        <w:rPr>
          <w:rFonts w:ascii="Arial" w:cs="Arial" w:eastAsia="Arial" w:hAnsi="Arial"/>
          <w:sz w:val="15"/>
          <w:szCs w:val="15"/>
          <w:color w:val="FCFCFC"/>
        </w:rPr>
        <w:t>The underwriters expect to deliver the shares against payment in New York, New York on 2020.</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FCFCFC"/>
        </w:rPr>
        <w:t>,</w:t>
      </w:r>
    </w:p>
    <w:p>
      <w:pPr>
        <w:spacing w:after="0" w:line="212" w:lineRule="exact"/>
        <w:rPr>
          <w:sz w:val="20"/>
          <w:szCs w:val="20"/>
          <w:color w:val="auto"/>
        </w:rPr>
      </w:pPr>
    </w:p>
    <w:p>
      <w:pPr>
        <w:sectPr>
          <w:pgSz w:w="11900" w:h="16838" w:orient="portrait"/>
          <w:cols w:equalWidth="0" w:num="2">
            <w:col w:w="8420" w:space="460"/>
            <w:col w:w="1259"/>
          </w:cols>
          <w:pgMar w:left="320" w:top="407" w:right="1440" w:bottom="1440" w:gutter="0" w:footer="0" w:header="0"/>
          <w:type w:val="continuous"/>
        </w:sectPr>
      </w:pPr>
    </w:p>
    <w:p>
      <w:pPr>
        <w:ind w:left="2160"/>
        <w:spacing w:after="0"/>
        <w:rPr>
          <w:sz w:val="20"/>
          <w:szCs w:val="20"/>
          <w:color w:val="auto"/>
        </w:rPr>
      </w:pPr>
      <w:r>
        <w:rPr>
          <w:rFonts w:ascii="Arial" w:cs="Arial" w:eastAsia="Arial" w:hAnsi="Arial"/>
          <w:sz w:val="23"/>
          <w:szCs w:val="23"/>
          <w:b w:val="1"/>
          <w:bCs w:val="1"/>
          <w:color w:val="FCFCFC"/>
        </w:rPr>
        <w:t>Goldman Sachs &amp; Co. LLC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4"/>
          <w:szCs w:val="24"/>
          <w:b w:val="1"/>
          <w:bCs w:val="1"/>
          <w:color w:val="FCFCFC"/>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FCFCFC"/>
        </w:rPr>
        <w:t>Citigroup</w:t>
      </w:r>
    </w:p>
    <w:p>
      <w:pPr>
        <w:spacing w:after="0" w:line="111" w:lineRule="exact"/>
        <w:rPr>
          <w:sz w:val="20"/>
          <w:szCs w:val="20"/>
          <w:color w:val="auto"/>
        </w:rPr>
      </w:pPr>
    </w:p>
    <w:p>
      <w:pPr>
        <w:sectPr>
          <w:pgSz w:w="11900" w:h="16838" w:orient="portrait"/>
          <w:cols w:equalWidth="0" w:num="3">
            <w:col w:w="5200" w:space="540"/>
            <w:col w:w="1800" w:space="520"/>
            <w:col w:w="2079"/>
          </w:cols>
          <w:pgMar w:left="320" w:top="407" w:right="1440" w:bottom="1440" w:gutter="0" w:footer="0" w:header="0"/>
          <w:type w:val="continuous"/>
        </w:sectPr>
      </w:pPr>
    </w:p>
    <w:p>
      <w:pPr>
        <w:ind w:left="3460"/>
        <w:spacing w:after="0"/>
        <w:rPr>
          <w:sz w:val="20"/>
          <w:szCs w:val="20"/>
          <w:color w:val="auto"/>
        </w:rPr>
      </w:pPr>
      <w:r>
        <w:rPr>
          <w:rFonts w:ascii="Arial" w:cs="Arial" w:eastAsia="Arial" w:hAnsi="Arial"/>
          <w:sz w:val="22"/>
          <w:szCs w:val="22"/>
          <w:b w:val="1"/>
          <w:bCs w:val="1"/>
          <w:color w:val="FCFCFC"/>
        </w:rPr>
        <w:t>Jefferies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FCFCFC"/>
        </w:rPr>
        <w:t>Barclays</w:t>
      </w:r>
    </w:p>
    <w:p>
      <w:pPr>
        <w:spacing w:after="0" w:line="105" w:lineRule="exact"/>
        <w:rPr>
          <w:sz w:val="20"/>
          <w:szCs w:val="20"/>
          <w:color w:val="auto"/>
        </w:rPr>
      </w:pPr>
    </w:p>
    <w:p>
      <w:pPr>
        <w:sectPr>
          <w:pgSz w:w="11900" w:h="16838" w:orient="portrait"/>
          <w:cols w:equalWidth="0" w:num="2">
            <w:col w:w="6280" w:space="720"/>
            <w:col w:w="3139"/>
          </w:cols>
          <w:pgMar w:left="320" w:top="407" w:right="1440" w:bottom="1440" w:gutter="0" w:footer="0" w:header="0"/>
          <w:type w:val="continuous"/>
        </w:sectPr>
      </w:pPr>
    </w:p>
    <w:p>
      <w:pPr>
        <w:ind w:left="3220"/>
        <w:spacing w:after="0"/>
        <w:rPr>
          <w:sz w:val="20"/>
          <w:szCs w:val="20"/>
          <w:color w:val="auto"/>
        </w:rPr>
      </w:pPr>
      <w:r>
        <w:rPr>
          <w:rFonts w:ascii="Arial" w:cs="Arial" w:eastAsia="Arial" w:hAnsi="Arial"/>
          <w:sz w:val="18"/>
          <w:szCs w:val="18"/>
          <w:b w:val="1"/>
          <w:bCs w:val="1"/>
          <w:color w:val="FCFCFC"/>
        </w:rPr>
        <w:t>JMP Securities</w:t>
      </w:r>
    </w:p>
    <w:p>
      <w:pPr>
        <w:spacing w:after="0" w:line="20" w:lineRule="exact"/>
        <w:rPr>
          <w:sz w:val="20"/>
          <w:szCs w:val="20"/>
          <w:color w:val="auto"/>
        </w:rPr>
      </w:pPr>
      <w:r>
        <w:rPr>
          <w:sz w:val="20"/>
          <w:szCs w:val="20"/>
          <w:color w:val="auto"/>
        </w:rPr>
        <w:br w:type="column"/>
      </w:r>
    </w:p>
    <w:p>
      <w:pPr>
        <w:jc w:val="center"/>
        <w:ind w:right="1819"/>
        <w:spacing w:after="0"/>
        <w:rPr>
          <w:sz w:val="20"/>
          <w:szCs w:val="20"/>
          <w:color w:val="auto"/>
        </w:rPr>
      </w:pPr>
      <w:r>
        <w:rPr>
          <w:rFonts w:ascii="Arial" w:cs="Arial" w:eastAsia="Arial" w:hAnsi="Arial"/>
          <w:sz w:val="18"/>
          <w:szCs w:val="18"/>
          <w:b w:val="1"/>
          <w:bCs w:val="1"/>
          <w:color w:val="FCFCFC"/>
        </w:rPr>
        <w:t>Blaylock Van, LLC</w:t>
      </w:r>
    </w:p>
    <w:p>
      <w:pPr>
        <w:spacing w:after="0" w:line="88" w:lineRule="exact"/>
        <w:rPr>
          <w:sz w:val="20"/>
          <w:szCs w:val="20"/>
          <w:color w:val="auto"/>
        </w:rPr>
      </w:pPr>
    </w:p>
    <w:p>
      <w:pPr>
        <w:sectPr>
          <w:pgSz w:w="11900" w:h="16838" w:orient="portrait"/>
          <w:cols w:equalWidth="0" w:num="2">
            <w:col w:w="5900" w:space="720"/>
            <w:col w:w="3519"/>
          </w:cols>
          <w:pgMar w:left="320" w:top="407" w:right="1440" w:bottom="1440" w:gutter="0" w:footer="0" w:header="0"/>
          <w:type w:val="continuous"/>
        </w:sectPr>
      </w:pPr>
    </w:p>
    <w:p>
      <w:pPr>
        <w:ind w:left="4880"/>
        <w:spacing w:after="0"/>
        <w:rPr>
          <w:sz w:val="20"/>
          <w:szCs w:val="20"/>
          <w:color w:val="auto"/>
        </w:rPr>
      </w:pPr>
      <w:r>
        <w:rPr>
          <w:rFonts w:ascii="Arial" w:cs="Arial" w:eastAsia="Arial" w:hAnsi="Arial"/>
          <w:sz w:val="14"/>
          <w:szCs w:val="14"/>
          <w:b w:val="1"/>
          <w:bCs w:val="1"/>
          <w:color w:val="FCFCFC"/>
        </w:rPr>
        <w:t>___________________</w:t>
      </w:r>
    </w:p>
    <w:p>
      <w:pPr>
        <w:sectPr>
          <w:pgSz w:w="11900" w:h="16838" w:orient="portrait"/>
          <w:cols w:equalWidth="0" w:num="1">
            <w:col w:w="10139"/>
          </w:cols>
          <w:pgMar w:left="320" w:top="407" w:right="1440" w:bottom="1440" w:gutter="0" w:footer="0" w:header="0"/>
          <w:type w:val="continuous"/>
        </w:sectPr>
      </w:pPr>
    </w:p>
    <w:p>
      <w:pPr>
        <w:spacing w:after="0" w:line="94" w:lineRule="exact"/>
        <w:rPr>
          <w:sz w:val="20"/>
          <w:szCs w:val="20"/>
          <w:color w:val="auto"/>
        </w:rPr>
      </w:pPr>
    </w:p>
    <w:p>
      <w:pPr>
        <w:ind w:left="4620"/>
        <w:spacing w:after="0"/>
        <w:rPr>
          <w:sz w:val="20"/>
          <w:szCs w:val="20"/>
          <w:color w:val="auto"/>
        </w:rPr>
      </w:pPr>
      <w:r>
        <w:rPr>
          <w:rFonts w:ascii="Arial" w:cs="Arial" w:eastAsia="Arial" w:hAnsi="Arial"/>
          <w:sz w:val="15"/>
          <w:szCs w:val="15"/>
          <w:color w:val="FCFCFC"/>
        </w:rPr>
        <w:t>Prospectus dated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FCFCFC"/>
        </w:rPr>
        <w:t>, 2020.</w:t>
      </w:r>
    </w:p>
    <w:p>
      <w:pPr>
        <w:sectPr>
          <w:pgSz w:w="11900" w:h="16838" w:orient="portrait"/>
          <w:cols w:equalWidth="0" w:num="2">
            <w:col w:w="5800" w:space="460"/>
            <w:col w:w="3879"/>
          </w:cols>
          <w:pgMar w:left="320" w:top="407" w:right="1440" w:bottom="1440" w:gutter="0" w:footer="0" w:header="0"/>
          <w:type w:val="continuous"/>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1920" w:type="dxa"/>
            <w:vAlign w:val="bottom"/>
            <w:gridSpan w:val="2"/>
          </w:tcPr>
          <w:p>
            <w:pPr>
              <w:spacing w:after="0"/>
              <w:rPr>
                <w:sz w:val="20"/>
                <w:szCs w:val="20"/>
                <w:color w:val="auto"/>
              </w:rPr>
            </w:pPr>
            <w:r>
              <w:rPr>
                <w:rFonts w:ascii="Arial" w:cs="Arial" w:eastAsia="Arial" w:hAnsi="Arial"/>
                <w:sz w:val="11"/>
                <w:szCs w:val="11"/>
                <w:color w:val="FFFFFF"/>
              </w:rPr>
              <w:t>Upstart</w:t>
            </w: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AI Powered Lending</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~15B cells of performance data 1</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622,079 loans transacted on platform 2</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~75% reduction in loss rates 3</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2380" w:type="dxa"/>
            <w:vAlign w:val="bottom"/>
            <w:gridSpan w:val="3"/>
          </w:tcPr>
          <w:p>
            <w:pPr>
              <w:spacing w:after="0"/>
              <w:rPr>
                <w:sz w:val="20"/>
                <w:szCs w:val="20"/>
                <w:color w:val="auto"/>
              </w:rPr>
            </w:pPr>
            <w:r>
              <w:rPr>
                <w:rFonts w:ascii="Arial" w:cs="Arial" w:eastAsia="Arial" w:hAnsi="Arial"/>
                <w:sz w:val="3"/>
                <w:szCs w:val="3"/>
                <w:color w:val="FFFFFF"/>
              </w:rPr>
              <w:t>10x increase in conversion rates since inception 4</w:t>
            </w: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~70% loans fully automated 5</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3 of 4 last quarters GAAP profitable 6</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3300" w:type="dxa"/>
            <w:vAlign w:val="bottom"/>
            <w:gridSpan w:val="5"/>
          </w:tcPr>
          <w:p>
            <w:pPr>
              <w:spacing w:after="0"/>
              <w:rPr>
                <w:sz w:val="20"/>
                <w:szCs w:val="20"/>
                <w:color w:val="auto"/>
              </w:rPr>
            </w:pPr>
            <w:r>
              <w:rPr>
                <w:rFonts w:ascii="Arial" w:cs="Arial" w:eastAsia="Arial" w:hAnsi="Arial"/>
                <w:sz w:val="3"/>
                <w:szCs w:val="3"/>
                <w:color w:val="FFFFFF"/>
              </w:rPr>
              <w:t>Data presented as of September 30, 2020 unless otherwise specified.</w:t>
            </w:r>
          </w:p>
        </w:tc>
        <w:tc>
          <w:tcPr>
            <w:tcW w:w="5880" w:type="dxa"/>
            <w:vAlign w:val="bottom"/>
            <w:vMerge w:val="restart"/>
          </w:tcPr>
          <w:p>
            <w:pPr>
              <w:ind w:left="120"/>
              <w:spacing w:after="0" w:line="68" w:lineRule="exact"/>
              <w:rPr>
                <w:sz w:val="20"/>
                <w:szCs w:val="20"/>
                <w:color w:val="auto"/>
              </w:rPr>
            </w:pPr>
            <w:r>
              <w:rPr>
                <w:rFonts w:ascii="Arial" w:cs="Arial" w:eastAsia="Arial" w:hAnsi="Arial"/>
                <w:sz w:val="7"/>
                <w:szCs w:val="7"/>
                <w:color w:val="FFFFFF"/>
              </w:rPr>
              <w:t>model input variables and training data such as payment events. Such data is integral to our models’ continued improvement</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(1)</w:t>
            </w:r>
          </w:p>
        </w:tc>
        <w:tc>
          <w:tcPr>
            <w:tcW w:w="2860" w:type="dxa"/>
            <w:vAlign w:val="bottom"/>
            <w:gridSpan w:val="3"/>
          </w:tcPr>
          <w:p>
            <w:pPr>
              <w:spacing w:after="0"/>
              <w:rPr>
                <w:sz w:val="20"/>
                <w:szCs w:val="20"/>
                <w:color w:val="auto"/>
              </w:rPr>
            </w:pPr>
            <w:r>
              <w:rPr>
                <w:rFonts w:ascii="Arial" w:cs="Arial" w:eastAsia="Arial" w:hAnsi="Arial"/>
                <w:sz w:val="3"/>
                <w:szCs w:val="3"/>
                <w:color w:val="FFFFFF"/>
              </w:rPr>
              <w:t>Represents the amount of data powering our AI models, which</w:t>
            </w:r>
          </w:p>
        </w:tc>
        <w:tc>
          <w:tcPr>
            <w:tcW w:w="280" w:type="dxa"/>
            <w:vAlign w:val="bottom"/>
          </w:tcPr>
          <w:p>
            <w:pPr>
              <w:spacing w:after="0"/>
              <w:rPr>
                <w:sz w:val="2"/>
                <w:szCs w:val="2"/>
                <w:color w:val="auto"/>
              </w:rPr>
            </w:pPr>
          </w:p>
        </w:tc>
        <w:tc>
          <w:tcPr>
            <w:tcW w:w="5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and accuracy. See the section titled</w:t>
            </w:r>
          </w:p>
        </w:tc>
        <w:tc>
          <w:tcPr>
            <w:tcW w:w="7260" w:type="dxa"/>
            <w:vAlign w:val="bottom"/>
            <w:gridSpan w:val="4"/>
          </w:tcPr>
          <w:p>
            <w:pPr>
              <w:ind w:left="140"/>
              <w:spacing w:after="0"/>
              <w:rPr>
                <w:sz w:val="20"/>
                <w:szCs w:val="20"/>
                <w:color w:val="auto"/>
              </w:rPr>
            </w:pPr>
            <w:r>
              <w:rPr>
                <w:rFonts w:ascii="Arial" w:cs="Arial" w:eastAsia="Arial" w:hAnsi="Arial"/>
                <w:sz w:val="3"/>
                <w:szCs w:val="3"/>
                <w:color w:val="FFFFFF"/>
              </w:rPr>
              <w:t>–Evolution of Upstart’includesAIModel” for more information.</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(2)</w:t>
            </w:r>
          </w:p>
        </w:tc>
        <w:tc>
          <w:tcPr>
            <w:tcW w:w="9020" w:type="dxa"/>
            <w:vAlign w:val="bottom"/>
            <w:gridSpan w:val="5"/>
          </w:tcPr>
          <w:p>
            <w:pPr>
              <w:spacing w:after="0"/>
              <w:rPr>
                <w:sz w:val="20"/>
                <w:szCs w:val="20"/>
                <w:color w:val="auto"/>
              </w:rPr>
            </w:pPr>
            <w:r>
              <w:rPr>
                <w:rFonts w:ascii="Arial" w:cs="Arial" w:eastAsia="Arial" w:hAnsi="Arial"/>
                <w:sz w:val="3"/>
                <w:szCs w:val="3"/>
                <w:color w:val="FFFFFF"/>
              </w:rPr>
              <w:t>Number of Loans Transacted. W“Businessdefinethe Number of Loans Transacted as the transaction volume, measured by number of loans facilitated on our platform, between a borrower and originating</w:t>
            </w: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bank.</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160" w:type="dxa"/>
            <w:vAlign w:val="bottom"/>
            <w:gridSpan w:val="2"/>
            <w:vMerge w:val="restart"/>
          </w:tcPr>
          <w:p>
            <w:pPr>
              <w:ind w:left="20"/>
              <w:spacing w:after="0" w:line="68" w:lineRule="exact"/>
              <w:rPr>
                <w:sz w:val="20"/>
                <w:szCs w:val="20"/>
                <w:color w:val="auto"/>
              </w:rPr>
            </w:pPr>
            <w:r>
              <w:rPr>
                <w:rFonts w:ascii="Arial" w:cs="Arial" w:eastAsia="Arial" w:hAnsi="Arial"/>
                <w:sz w:val="7"/>
                <w:szCs w:val="7"/>
                <w:color w:val="FFFFFF"/>
              </w:rPr>
              <w:t>their respective underwriting policies and evaluated their hypothetical loss rates and approval rates using Upstart’s applicant base in late</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(3)</w:t>
            </w:r>
          </w:p>
        </w:tc>
        <w:tc>
          <w:tcPr>
            <w:tcW w:w="2860" w:type="dxa"/>
            <w:vAlign w:val="bottom"/>
            <w:gridSpan w:val="3"/>
          </w:tcPr>
          <w:p>
            <w:pPr>
              <w:spacing w:after="0"/>
              <w:rPr>
                <w:sz w:val="20"/>
                <w:szCs w:val="20"/>
                <w:color w:val="auto"/>
              </w:rPr>
            </w:pPr>
            <w:r>
              <w:rPr>
                <w:rFonts w:ascii="Arial" w:cs="Arial" w:eastAsia="Arial" w:hAnsi="Arial"/>
                <w:sz w:val="3"/>
                <w:szCs w:val="3"/>
                <w:color w:val="FFFFFF"/>
              </w:rPr>
              <w:t>In an internal study, Upstart replicated three bank models</w:t>
            </w:r>
          </w:p>
        </w:tc>
        <w:tc>
          <w:tcPr>
            <w:tcW w:w="6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6"/>
          </w:tcPr>
          <w:p>
            <w:pPr>
              <w:spacing w:after="0"/>
              <w:rPr>
                <w:sz w:val="20"/>
                <w:szCs w:val="20"/>
                <w:color w:val="auto"/>
              </w:rPr>
            </w:pPr>
            <w:r>
              <w:rPr>
                <w:rFonts w:ascii="Arial" w:cs="Arial" w:eastAsia="Arial" w:hAnsi="Arial"/>
                <w:sz w:val="3"/>
                <w:szCs w:val="3"/>
                <w:color w:val="FFFFFF"/>
              </w:rPr>
              <w:t>2017. To compare the hypothetical loss rates between Upstart’usingmodel and each of the replicated bank models, Upstart held approval rates constant at the rate called for by each bank’s respective</w:t>
            </w:r>
          </w:p>
        </w:tc>
        <w:tc>
          <w:tcPr>
            <w:tcW w:w="0" w:type="dxa"/>
            <w:vAlign w:val="bottom"/>
          </w:tcPr>
          <w:p>
            <w:pPr>
              <w:spacing w:after="0" w:line="20" w:lineRule="exact"/>
              <w:rPr>
                <w:sz w:val="1"/>
                <w:szCs w:val="1"/>
                <w:color w:val="auto"/>
              </w:rPr>
            </w:pPr>
          </w:p>
        </w:tc>
      </w:tr>
      <w:tr>
        <w:trPr>
          <w:trHeight w:val="34"/>
        </w:trPr>
        <w:tc>
          <w:tcPr>
            <w:tcW w:w="9180" w:type="dxa"/>
            <w:vAlign w:val="bottom"/>
            <w:gridSpan w:val="6"/>
          </w:tcPr>
          <w:p>
            <w:pPr>
              <w:spacing w:after="0"/>
              <w:rPr>
                <w:sz w:val="20"/>
                <w:szCs w:val="20"/>
                <w:color w:val="auto"/>
              </w:rPr>
            </w:pPr>
            <w:r>
              <w:rPr>
                <w:rFonts w:ascii="Arial" w:cs="Arial" w:eastAsia="Arial" w:hAnsi="Arial"/>
                <w:sz w:val="3"/>
                <w:szCs w:val="3"/>
                <w:color w:val="FFFFFF"/>
              </w:rPr>
              <w:t>underwriting policy. Such result represents the average rate of improvement exhibited by Upstart’s platform against each of the three respective bank models.</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(4)</w:t>
            </w:r>
          </w:p>
        </w:tc>
        <w:tc>
          <w:tcPr>
            <w:tcW w:w="2220" w:type="dxa"/>
            <w:vAlign w:val="bottom"/>
            <w:gridSpan w:val="2"/>
          </w:tcPr>
          <w:p>
            <w:pPr>
              <w:spacing w:after="0"/>
              <w:rPr>
                <w:sz w:val="20"/>
                <w:szCs w:val="20"/>
                <w:color w:val="auto"/>
              </w:rPr>
            </w:pPr>
            <w:r>
              <w:rPr>
                <w:rFonts w:ascii="Arial" w:cs="Arial" w:eastAsia="Arial" w:hAnsi="Arial"/>
                <w:sz w:val="3"/>
                <w:szCs w:val="3"/>
                <w:color w:val="FFFFFF"/>
              </w:rPr>
              <w:t>Based on the change in Conversion Rate from</w:t>
            </w:r>
          </w:p>
        </w:tc>
        <w:tc>
          <w:tcPr>
            <w:tcW w:w="6800" w:type="dxa"/>
            <w:vAlign w:val="bottom"/>
            <w:gridSpan w:val="3"/>
          </w:tcPr>
          <w:p>
            <w:pPr>
              <w:ind w:left="120"/>
              <w:spacing w:after="0"/>
              <w:rPr>
                <w:sz w:val="20"/>
                <w:szCs w:val="20"/>
                <w:color w:val="auto"/>
              </w:rPr>
            </w:pPr>
            <w:r>
              <w:rPr>
                <w:rFonts w:ascii="Arial" w:cs="Arial" w:eastAsia="Arial" w:hAnsi="Arial"/>
                <w:sz w:val="3"/>
                <w:szCs w:val="3"/>
                <w:color w:val="FFFFFF"/>
              </w:rPr>
              <w:t>1, 2014 to September 30, 2020. We define Conversion Rate as the Number of Loans Transacted in a period divided by the number of rate inquiries</w:t>
            </w:r>
          </w:p>
        </w:tc>
        <w:tc>
          <w:tcPr>
            <w:tcW w:w="0" w:type="dxa"/>
            <w:vAlign w:val="bottom"/>
          </w:tcPr>
          <w:p>
            <w:pPr>
              <w:spacing w:after="0" w:line="20" w:lineRule="exact"/>
              <w:rPr>
                <w:sz w:val="1"/>
                <w:szCs w:val="1"/>
                <w:color w:val="auto"/>
              </w:rPr>
            </w:pPr>
          </w:p>
        </w:tc>
      </w:tr>
      <w:tr>
        <w:trPr>
          <w:trHeight w:val="34"/>
        </w:trPr>
        <w:tc>
          <w:tcPr>
            <w:tcW w:w="3300" w:type="dxa"/>
            <w:vAlign w:val="bottom"/>
            <w:gridSpan w:val="5"/>
          </w:tcPr>
          <w:p>
            <w:pPr>
              <w:spacing w:after="0"/>
              <w:rPr>
                <w:sz w:val="20"/>
                <w:szCs w:val="20"/>
                <w:color w:val="auto"/>
              </w:rPr>
            </w:pPr>
            <w:r>
              <w:rPr>
                <w:rFonts w:ascii="Arial" w:cs="Arial" w:eastAsia="Arial" w:hAnsi="Arial"/>
                <w:sz w:val="3"/>
                <w:szCs w:val="3"/>
                <w:color w:val="FFFFFF"/>
              </w:rPr>
              <w:t>received in the same period, which we record whenMayborrower requests</w:t>
            </w:r>
          </w:p>
        </w:tc>
        <w:tc>
          <w:tcPr>
            <w:tcW w:w="5880" w:type="dxa"/>
            <w:vAlign w:val="bottom"/>
          </w:tcPr>
          <w:p>
            <w:pPr>
              <w:ind w:left="40"/>
              <w:spacing w:after="0"/>
              <w:rPr>
                <w:sz w:val="20"/>
                <w:szCs w:val="20"/>
                <w:color w:val="auto"/>
              </w:rPr>
            </w:pPr>
            <w:r>
              <w:rPr>
                <w:rFonts w:ascii="Arial" w:cs="Arial" w:eastAsia="Arial" w:hAnsi="Arial"/>
                <w:sz w:val="3"/>
                <w:szCs w:val="3"/>
                <w:color w:val="FFFFFF"/>
              </w:rPr>
              <w:t>loan offer on our platform.</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(5)</w:t>
            </w:r>
          </w:p>
        </w:tc>
        <w:tc>
          <w:tcPr>
            <w:tcW w:w="9020" w:type="dxa"/>
            <w:vAlign w:val="bottom"/>
            <w:gridSpan w:val="5"/>
          </w:tcPr>
          <w:p>
            <w:pPr>
              <w:spacing w:after="0"/>
              <w:rPr>
                <w:sz w:val="20"/>
                <w:szCs w:val="20"/>
                <w:color w:val="auto"/>
              </w:rPr>
            </w:pPr>
            <w:r>
              <w:rPr>
                <w:rFonts w:ascii="Arial" w:cs="Arial" w:eastAsia="Arial" w:hAnsi="Arial"/>
                <w:sz w:val="3"/>
                <w:szCs w:val="3"/>
                <w:color w:val="FFFFFF"/>
              </w:rPr>
              <w:t>Percentage of Loans Fully Automated. W define Percentage of Loans Fully Automated as the total number of loans in a given period originated end-to-end (from initial rate request to final funding)</w:t>
            </w:r>
          </w:p>
        </w:tc>
        <w:tc>
          <w:tcPr>
            <w:tcW w:w="0" w:type="dxa"/>
            <w:vAlign w:val="bottom"/>
          </w:tcPr>
          <w:p>
            <w:pPr>
              <w:spacing w:after="0" w:line="20" w:lineRule="exact"/>
              <w:rPr>
                <w:sz w:val="1"/>
                <w:szCs w:val="1"/>
                <w:color w:val="auto"/>
              </w:rPr>
            </w:pPr>
          </w:p>
        </w:tc>
      </w:tr>
      <w:tr>
        <w:trPr>
          <w:trHeight w:val="34"/>
        </w:trPr>
        <w:tc>
          <w:tcPr>
            <w:tcW w:w="9180" w:type="dxa"/>
            <w:vAlign w:val="bottom"/>
            <w:gridSpan w:val="6"/>
          </w:tcPr>
          <w:p>
            <w:pPr>
              <w:spacing w:after="0"/>
              <w:rPr>
                <w:sz w:val="20"/>
                <w:szCs w:val="20"/>
                <w:color w:val="auto"/>
              </w:rPr>
            </w:pPr>
            <w:r>
              <w:rPr>
                <w:rFonts w:ascii="Arial" w:cs="Arial" w:eastAsia="Arial" w:hAnsi="Arial"/>
                <w:sz w:val="3"/>
                <w:szCs w:val="3"/>
                <w:color w:val="FFFFFF"/>
              </w:rPr>
              <w:t>with no human involvement divided by the Number of Loans Transacted in the same period.</w:t>
            </w:r>
          </w:p>
        </w:tc>
        <w:tc>
          <w:tcPr>
            <w:tcW w:w="0" w:type="dxa"/>
            <w:vAlign w:val="bottom"/>
          </w:tcPr>
          <w:p>
            <w:pPr>
              <w:spacing w:after="0" w:line="20" w:lineRule="exact"/>
              <w:rPr>
                <w:sz w:val="1"/>
                <w:szCs w:val="1"/>
                <w:color w:val="auto"/>
              </w:rPr>
            </w:pPr>
          </w:p>
        </w:tc>
      </w:tr>
      <w:tr>
        <w:trPr>
          <w:trHeight w:val="144"/>
        </w:trPr>
        <w:tc>
          <w:tcPr>
            <w:tcW w:w="160" w:type="dxa"/>
            <w:vAlign w:val="bottom"/>
          </w:tcPr>
          <w:p>
            <w:pPr>
              <w:spacing w:after="0"/>
              <w:rPr>
                <w:sz w:val="20"/>
                <w:szCs w:val="20"/>
                <w:color w:val="auto"/>
              </w:rPr>
            </w:pPr>
            <w:r>
              <w:rPr>
                <w:rFonts w:ascii="Arial" w:cs="Arial" w:eastAsia="Arial" w:hAnsi="Arial"/>
                <w:sz w:val="11"/>
                <w:szCs w:val="11"/>
                <w:color w:val="FFFFFF"/>
              </w:rPr>
              <w:t>(6)</w:t>
            </w:r>
          </w:p>
        </w:tc>
        <w:tc>
          <w:tcPr>
            <w:tcW w:w="9020" w:type="dxa"/>
            <w:vAlign w:val="bottom"/>
            <w:gridSpan w:val="5"/>
          </w:tcPr>
          <w:p>
            <w:pPr>
              <w:spacing w:after="0"/>
              <w:rPr>
                <w:sz w:val="20"/>
                <w:szCs w:val="20"/>
                <w:color w:val="auto"/>
              </w:rPr>
            </w:pPr>
            <w:r>
              <w:rPr>
                <w:rFonts w:ascii="Arial" w:cs="Arial" w:eastAsia="Arial" w:hAnsi="Arial"/>
                <w:sz w:val="11"/>
                <w:szCs w:val="11"/>
                <w:color w:val="FFFFFF"/>
              </w:rPr>
              <w:t>We were GAAP profitable in the fourth quarter of 2019 and the first and third quarters of 2020.</w:t>
            </w:r>
          </w:p>
        </w:tc>
        <w:tc>
          <w:tcPr>
            <w:tcW w:w="0" w:type="dxa"/>
            <w:vAlign w:val="bottom"/>
          </w:tcPr>
          <w:p>
            <w:pPr>
              <w:spacing w:after="0"/>
              <w:rPr>
                <w:sz w:val="1"/>
                <w:szCs w:val="1"/>
                <w:color w:val="auto"/>
              </w:rPr>
            </w:pPr>
          </w:p>
        </w:tc>
      </w:tr>
    </w:tbl>
    <w:p>
      <w:pPr>
        <w:sectPr>
          <w:pgSz w:w="11900" w:h="16838" w:orient="portrait"/>
          <w:cols w:equalWidth="0" w:num="1">
            <w:col w:w="10200"/>
          </w:cols>
          <w:pgMar w:left="320" w:top="407" w:right="137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811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51755" cy="681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7499"/>
        <w:spacing w:after="0"/>
        <w:rPr>
          <w:sz w:val="20"/>
          <w:szCs w:val="20"/>
          <w:color w:val="auto"/>
        </w:rPr>
      </w:pPr>
      <w:r>
        <w:rPr>
          <w:rFonts w:ascii="Arial" w:cs="Arial" w:eastAsia="Arial" w:hAnsi="Arial"/>
          <w:sz w:val="11"/>
          <w:szCs w:val="11"/>
          <w:color w:val="FFFFFF"/>
        </w:rPr>
        <w:t>You are more than your credit score</w:t>
      </w:r>
    </w:p>
    <w:p>
      <w:pPr>
        <w:sectPr>
          <w:pgSz w:w="11900" w:h="16838" w:orient="portrait"/>
          <w:cols w:equalWidth="0" w:num="1">
            <w:col w:w="10139"/>
          </w:cols>
          <w:pgMar w:left="320" w:top="407"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186055</wp:posOffset>
            </wp:positionV>
            <wp:extent cx="5151755" cy="671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1180" w:type="dxa"/>
            <w:vAlign w:val="bottom"/>
            <w:gridSpan w:val="2"/>
          </w:tcPr>
          <w:p>
            <w:pPr>
              <w:spacing w:after="0"/>
              <w:rPr>
                <w:sz w:val="20"/>
                <w:szCs w:val="20"/>
                <w:color w:val="auto"/>
              </w:rPr>
            </w:pPr>
            <w:r>
              <w:rPr>
                <w:rFonts w:ascii="Arial" w:cs="Arial" w:eastAsia="Arial" w:hAnsi="Arial"/>
                <w:sz w:val="11"/>
                <w:szCs w:val="11"/>
                <w:color w:val="FFFFFF"/>
              </w:rPr>
              <w:t>FOUNDERS’ LETTER</w:t>
            </w:r>
          </w:p>
        </w:tc>
        <w:tc>
          <w:tcPr>
            <w:tcW w:w="1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0"/>
                <w:szCs w:val="20"/>
                <w:color w:val="auto"/>
              </w:rPr>
            </w:pPr>
            <w:r>
              <w:rPr>
                <w:rFonts w:ascii="Arial" w:cs="Arial" w:eastAsia="Arial" w:hAnsi="Arial"/>
                <w:sz w:val="3"/>
                <w:szCs w:val="3"/>
                <w:color w:val="FFFFFF"/>
              </w:rPr>
              <w:t>I</w:t>
            </w:r>
          </w:p>
        </w:tc>
        <w:tc>
          <w:tcPr>
            <w:tcW w:w="2760" w:type="dxa"/>
            <w:vAlign w:val="bottom"/>
            <w:gridSpan w:val="2"/>
          </w:tcPr>
          <w:p>
            <w:pPr>
              <w:ind w:left="120"/>
              <w:spacing w:after="0"/>
              <w:rPr>
                <w:sz w:val="20"/>
                <w:szCs w:val="20"/>
                <w:color w:val="auto"/>
              </w:rPr>
            </w:pPr>
            <w:r>
              <w:rPr>
                <w:rFonts w:ascii="Arial" w:cs="Arial" w:eastAsia="Arial" w:hAnsi="Arial"/>
                <w:sz w:val="3"/>
                <w:szCs w:val="3"/>
                <w:color w:val="FFFFFF"/>
              </w:rPr>
              <w:t>Google   2012 to found Upstart with Anna and Paul.</w:t>
            </w:r>
          </w:p>
        </w:tc>
        <w:tc>
          <w:tcPr>
            <w:tcW w:w="16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5"/>
          </w:tcPr>
          <w:p>
            <w:pPr>
              <w:spacing w:after="0"/>
              <w:rPr>
                <w:sz w:val="20"/>
                <w:szCs w:val="20"/>
                <w:color w:val="auto"/>
              </w:rPr>
            </w:pPr>
            <w:r>
              <w:rPr>
                <w:rFonts w:ascii="Arial" w:cs="Arial" w:eastAsia="Arial" w:hAnsi="Arial"/>
                <w:sz w:val="3"/>
                <w:szCs w:val="3"/>
                <w:color w:val="FFFFFF"/>
              </w:rPr>
              <w:t>Wleftwere convinced that technology and data science could improve access to affordable credit, but we were a little fuzzy on the details. It seemed obvious that there was room for improvement: Why</w:t>
            </w:r>
          </w:p>
        </w:tc>
        <w:tc>
          <w:tcPr>
            <w:tcW w:w="0" w:type="dxa"/>
            <w:vAlign w:val="bottom"/>
          </w:tcPr>
          <w:p>
            <w:pPr>
              <w:spacing w:after="0" w:line="20" w:lineRule="exact"/>
              <w:rPr>
                <w:sz w:val="1"/>
                <w:szCs w:val="1"/>
                <w:color w:val="auto"/>
              </w:rPr>
            </w:pPr>
          </w:p>
        </w:tc>
      </w:tr>
      <w:tr>
        <w:trPr>
          <w:trHeight w:val="34"/>
        </w:trPr>
        <w:tc>
          <w:tcPr>
            <w:tcW w:w="9180" w:type="dxa"/>
            <w:vAlign w:val="bottom"/>
            <w:gridSpan w:val="5"/>
          </w:tcPr>
          <w:p>
            <w:pPr>
              <w:spacing w:after="0"/>
              <w:rPr>
                <w:sz w:val="20"/>
                <w:szCs w:val="20"/>
                <w:color w:val="auto"/>
              </w:rPr>
            </w:pPr>
            <w:r>
              <w:rPr>
                <w:rFonts w:ascii="Arial" w:cs="Arial" w:eastAsia="Arial" w:hAnsi="Arial"/>
                <w:sz w:val="3"/>
                <w:szCs w:val="3"/>
                <w:color w:val="FFFFFF"/>
              </w:rPr>
              <w:t>should a credit score invented 30 years ago, prior to the emergence of cloud computing and modern data science, decide who is approved for  loan and who isn’t?</w:t>
            </w:r>
          </w:p>
        </w:tc>
        <w:tc>
          <w:tcPr>
            <w:tcW w:w="0" w:type="dxa"/>
            <w:vAlign w:val="bottom"/>
          </w:tcPr>
          <w:p>
            <w:pPr>
              <w:spacing w:after="0" w:line="20" w:lineRule="exact"/>
              <w:rPr>
                <w:sz w:val="1"/>
                <w:szCs w:val="1"/>
                <w:color w:val="auto"/>
              </w:rPr>
            </w:pPr>
          </w:p>
        </w:tc>
      </w:tr>
      <w:tr>
        <w:trPr>
          <w:trHeight w:val="34"/>
        </w:trPr>
        <w:tc>
          <w:tcPr>
            <w:tcW w:w="9180" w:type="dxa"/>
            <w:vAlign w:val="bottom"/>
            <w:gridSpan w:val="5"/>
          </w:tcPr>
          <w:p>
            <w:pPr>
              <w:spacing w:after="0"/>
              <w:rPr>
                <w:sz w:val="20"/>
                <w:szCs w:val="20"/>
                <w:color w:val="auto"/>
              </w:rPr>
            </w:pPr>
            <w:r>
              <w:rPr>
                <w:rFonts w:ascii="Arial" w:cs="Arial" w:eastAsia="Arial" w:hAnsi="Arial"/>
                <w:sz w:val="3"/>
                <w:szCs w:val="3"/>
                <w:color w:val="FFFFFF"/>
              </w:rPr>
              <w:t>I was confident that the types of technologies and analytics we were developing at Google for very different reasons could be useful to this vast but incredibly inefficient industry. And done properly, such</w:t>
            </w:r>
          </w:p>
        </w:tc>
        <w:tc>
          <w:tcPr>
            <w:tcW w:w="0" w:type="dxa"/>
            <w:vAlign w:val="bottom"/>
          </w:tcPr>
          <w:p>
            <w:pPr>
              <w:spacing w:after="0" w:line="20" w:lineRule="exact"/>
              <w:rPr>
                <w:sz w:val="1"/>
                <w:szCs w:val="1"/>
                <w:color w:val="auto"/>
              </w:rPr>
            </w:pPr>
          </w:p>
        </w:tc>
      </w:tr>
      <w:tr>
        <w:trPr>
          <w:trHeight w:val="34"/>
        </w:trPr>
        <w:tc>
          <w:tcPr>
            <w:tcW w:w="2900" w:type="dxa"/>
            <w:vAlign w:val="bottom"/>
            <w:gridSpan w:val="3"/>
          </w:tcPr>
          <w:p>
            <w:pPr>
              <w:spacing w:after="0"/>
              <w:rPr>
                <w:sz w:val="20"/>
                <w:szCs w:val="20"/>
                <w:color w:val="auto"/>
              </w:rPr>
            </w:pPr>
            <w:r>
              <w:rPr>
                <w:rFonts w:ascii="Arial" w:cs="Arial" w:eastAsia="Arial" w:hAnsi="Arial"/>
                <w:sz w:val="3"/>
                <w:szCs w:val="3"/>
                <w:color w:val="FFFFFF"/>
              </w:rPr>
              <w:t>a system could reduce the cost of borrowing for millions.</w:t>
            </w:r>
          </w:p>
        </w:tc>
        <w:tc>
          <w:tcPr>
            <w:tcW w:w="16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180" w:type="dxa"/>
            <w:vAlign w:val="bottom"/>
            <w:gridSpan w:val="2"/>
          </w:tcPr>
          <w:p>
            <w:pPr>
              <w:spacing w:after="0"/>
              <w:rPr>
                <w:sz w:val="20"/>
                <w:szCs w:val="20"/>
                <w:color w:val="auto"/>
              </w:rPr>
            </w:pPr>
            <w:r>
              <w:rPr>
                <w:rFonts w:ascii="Arial" w:cs="Arial" w:eastAsia="Arial" w:hAnsi="Arial"/>
                <w:sz w:val="3"/>
                <w:szCs w:val="3"/>
                <w:color w:val="FFFFFF"/>
              </w:rPr>
              <w:t>Why</w:t>
            </w:r>
          </w:p>
        </w:tc>
        <w:tc>
          <w:tcPr>
            <w:tcW w:w="1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5"/>
          </w:tcPr>
          <w:p>
            <w:pPr>
              <w:spacing w:after="0"/>
              <w:rPr>
                <w:sz w:val="20"/>
                <w:szCs w:val="20"/>
                <w:color w:val="auto"/>
              </w:rPr>
            </w:pPr>
            <w:r>
              <w:rPr>
                <w:rFonts w:ascii="Arial" w:cs="Arial" w:eastAsia="Arial" w:hAnsi="Arial"/>
                <w:sz w:val="3"/>
                <w:szCs w:val="3"/>
                <w:color w:val="FFFFFF"/>
              </w:rPr>
              <w:t>You don’credit?go into credit to be loved. With five thousand years of colorful history, there’s no shortage of reasons to be concerned for borrowers and suspicious of lenders. The business of lending suffers</w:t>
            </w:r>
          </w:p>
        </w:tc>
        <w:tc>
          <w:tcPr>
            <w:tcW w:w="0" w:type="dxa"/>
            <w:vAlign w:val="bottom"/>
          </w:tcPr>
          <w:p>
            <w:pPr>
              <w:spacing w:after="0" w:line="20" w:lineRule="exact"/>
              <w:rPr>
                <w:sz w:val="1"/>
                <w:szCs w:val="1"/>
                <w:color w:val="auto"/>
              </w:rPr>
            </w:pPr>
          </w:p>
        </w:tc>
      </w:tr>
      <w:tr>
        <w:trPr>
          <w:trHeight w:val="34"/>
        </w:trPr>
        <w:tc>
          <w:tcPr>
            <w:tcW w:w="2900" w:type="dxa"/>
            <w:vAlign w:val="bottom"/>
            <w:gridSpan w:val="3"/>
          </w:tcPr>
          <w:p>
            <w:pPr>
              <w:spacing w:after="0"/>
              <w:rPr>
                <w:sz w:val="20"/>
                <w:szCs w:val="20"/>
                <w:color w:val="auto"/>
              </w:rPr>
            </w:pPr>
            <w:r>
              <w:rPr>
                <w:rFonts w:ascii="Arial" w:cs="Arial" w:eastAsia="Arial" w:hAnsi="Arial"/>
                <w:sz w:val="3"/>
                <w:szCs w:val="3"/>
                <w:color w:val="FFFFFF"/>
              </w:rPr>
              <w:t>from self-inflicted reputational damage brought on by</w:t>
            </w:r>
          </w:p>
        </w:tc>
        <w:tc>
          <w:tcPr>
            <w:tcW w:w="6280" w:type="dxa"/>
            <w:vAlign w:val="bottom"/>
            <w:gridSpan w:val="2"/>
          </w:tcPr>
          <w:p>
            <w:pPr>
              <w:ind w:left="140"/>
              <w:spacing w:after="0"/>
              <w:rPr>
                <w:sz w:val="20"/>
                <w:szCs w:val="20"/>
                <w:color w:val="auto"/>
              </w:rPr>
            </w:pPr>
            <w:r>
              <w:rPr>
                <w:rFonts w:ascii="Arial" w:cs="Arial" w:eastAsia="Arial" w:hAnsi="Arial"/>
                <w:sz w:val="3"/>
                <w:szCs w:val="3"/>
                <w:color w:val="FFFFFF"/>
              </w:rPr>
              <w:t>stories of borrower exploitation. For all the right reasons, it’s among the most heavily regulated industries.</w:t>
            </w:r>
          </w:p>
        </w:tc>
        <w:tc>
          <w:tcPr>
            <w:tcW w:w="0" w:type="dxa"/>
            <w:vAlign w:val="bottom"/>
          </w:tcPr>
          <w:p>
            <w:pPr>
              <w:spacing w:after="0" w:line="20" w:lineRule="exact"/>
              <w:rPr>
                <w:sz w:val="1"/>
                <w:szCs w:val="1"/>
                <w:color w:val="auto"/>
              </w:rPr>
            </w:pPr>
          </w:p>
        </w:tc>
      </w:tr>
      <w:tr>
        <w:trPr>
          <w:trHeight w:val="34"/>
        </w:trPr>
        <w:tc>
          <w:tcPr>
            <w:tcW w:w="140" w:type="dxa"/>
            <w:vAlign w:val="bottom"/>
          </w:tcPr>
          <w:p>
            <w:pPr>
              <w:spacing w:after="0"/>
              <w:rPr>
                <w:sz w:val="20"/>
                <w:szCs w:val="20"/>
                <w:color w:val="auto"/>
              </w:rPr>
            </w:pPr>
            <w:r>
              <w:rPr>
                <w:rFonts w:ascii="Arial" w:cs="Arial" w:eastAsia="Arial" w:hAnsi="Arial"/>
                <w:sz w:val="3"/>
                <w:szCs w:val="3"/>
                <w:color w:val="FFFFFF"/>
              </w:rPr>
              <w:t>W</w:t>
            </w:r>
          </w:p>
        </w:tc>
        <w:tc>
          <w:tcPr>
            <w:tcW w:w="9040" w:type="dxa"/>
            <w:vAlign w:val="bottom"/>
            <w:gridSpan w:val="4"/>
          </w:tcPr>
          <w:p>
            <w:pPr>
              <w:ind w:left="40"/>
              <w:spacing w:after="0"/>
              <w:rPr>
                <w:sz w:val="20"/>
                <w:szCs w:val="20"/>
                <w:color w:val="auto"/>
              </w:rPr>
            </w:pPr>
            <w:r>
              <w:rPr>
                <w:rFonts w:ascii="Arial" w:cs="Arial" w:eastAsia="Arial" w:hAnsi="Arial"/>
                <w:sz w:val="3"/>
                <w:szCs w:val="3"/>
                <w:color w:val="FFFFFF"/>
              </w:rPr>
              <w:t>can dream about living in  world where credit isn’uncountablenecessary—where each of us has the money we need to live the life we want. But like it or not, money is a core ingredient of our lives, and the</w:t>
            </w:r>
          </w:p>
        </w:tc>
        <w:tc>
          <w:tcPr>
            <w:tcW w:w="0" w:type="dxa"/>
            <w:vAlign w:val="bottom"/>
          </w:tcPr>
          <w:p>
            <w:pPr>
              <w:spacing w:after="0" w:line="20" w:lineRule="exact"/>
              <w:rPr>
                <w:sz w:val="1"/>
                <w:szCs w:val="1"/>
                <w:color w:val="auto"/>
              </w:rPr>
            </w:pPr>
          </w:p>
        </w:tc>
      </w:tr>
      <w:tr>
        <w:trPr>
          <w:trHeight w:val="34"/>
        </w:trPr>
        <w:tc>
          <w:tcPr>
            <w:tcW w:w="1180" w:type="dxa"/>
            <w:vAlign w:val="bottom"/>
            <w:gridSpan w:val="2"/>
          </w:tcPr>
          <w:p>
            <w:pPr>
              <w:spacing w:after="0"/>
              <w:rPr>
                <w:sz w:val="20"/>
                <w:szCs w:val="20"/>
                <w:color w:val="auto"/>
              </w:rPr>
            </w:pPr>
            <w:r>
              <w:rPr>
                <w:rFonts w:ascii="Arial" w:cs="Arial" w:eastAsia="Arial" w:hAnsi="Arial"/>
                <w:sz w:val="3"/>
                <w:szCs w:val="3"/>
                <w:color w:val="FFFFFF"/>
              </w:rPr>
              <w:t>need to borrow money is</w:t>
            </w:r>
          </w:p>
        </w:tc>
        <w:tc>
          <w:tcPr>
            <w:tcW w:w="1720" w:type="dxa"/>
            <w:vAlign w:val="bottom"/>
          </w:tcPr>
          <w:p>
            <w:pPr>
              <w:ind w:left="60"/>
              <w:spacing w:after="0"/>
              <w:rPr>
                <w:sz w:val="20"/>
                <w:szCs w:val="20"/>
                <w:color w:val="auto"/>
              </w:rPr>
            </w:pPr>
            <w:r>
              <w:rPr>
                <w:rFonts w:ascii="Arial" w:cs="Arial" w:eastAsia="Arial" w:hAnsi="Arial"/>
                <w:sz w:val="3"/>
                <w:szCs w:val="3"/>
                <w:color w:val="FFFFFF"/>
              </w:rPr>
              <w:t>reality for virtually all Americans.</w:t>
            </w:r>
          </w:p>
        </w:tc>
        <w:tc>
          <w:tcPr>
            <w:tcW w:w="1600" w:type="dxa"/>
            <w:vAlign w:val="bottom"/>
          </w:tcPr>
          <w:p>
            <w:pPr>
              <w:spacing w:after="0"/>
              <w:rPr>
                <w:sz w:val="2"/>
                <w:szCs w:val="2"/>
                <w:color w:val="auto"/>
              </w:rPr>
            </w:pPr>
          </w:p>
        </w:tc>
        <w:tc>
          <w:tcPr>
            <w:tcW w:w="4680" w:type="dxa"/>
            <w:vAlign w:val="bottom"/>
            <w:vMerge w:val="restart"/>
          </w:tcPr>
          <w:p>
            <w:pPr>
              <w:ind w:left="200"/>
              <w:spacing w:after="0" w:line="33" w:lineRule="exact"/>
              <w:rPr>
                <w:sz w:val="20"/>
                <w:szCs w:val="20"/>
                <w:color w:val="auto"/>
              </w:rPr>
            </w:pPr>
            <w:r>
              <w:rPr>
                <w:rFonts w:ascii="Arial" w:cs="Arial" w:eastAsia="Arial" w:hAnsi="Arial"/>
                <w:sz w:val="3"/>
                <w:szCs w:val="3"/>
                <w:color w:val="FFFFFF"/>
              </w:rPr>
              <w:t>credit is an enabler of the American dream. Purchasing a home or car, starting a business, pursuing</w:t>
            </w:r>
          </w:p>
        </w:tc>
        <w:tc>
          <w:tcPr>
            <w:tcW w:w="0" w:type="dxa"/>
            <w:vAlign w:val="bottom"/>
          </w:tcPr>
          <w:p>
            <w:pPr>
              <w:spacing w:after="0" w:line="20" w:lineRule="exact"/>
              <w:rPr>
                <w:sz w:val="1"/>
                <w:szCs w:val="1"/>
                <w:color w:val="auto"/>
              </w:rPr>
            </w:pPr>
          </w:p>
        </w:tc>
      </w:tr>
      <w:tr>
        <w:trPr>
          <w:trHeight w:val="0"/>
        </w:trPr>
        <w:tc>
          <w:tcPr>
            <w:tcW w:w="4500" w:type="dxa"/>
            <w:vAlign w:val="bottom"/>
            <w:gridSpan w:val="4"/>
          </w:tcPr>
          <w:p>
            <w:pPr>
              <w:spacing w:after="0" w:line="67" w:lineRule="exact"/>
              <w:rPr>
                <w:sz w:val="20"/>
                <w:szCs w:val="20"/>
                <w:color w:val="auto"/>
              </w:rPr>
            </w:pPr>
            <w:r>
              <w:rPr>
                <w:rFonts w:ascii="Arial" w:cs="Arial" w:eastAsia="Arial" w:hAnsi="Arial"/>
                <w:sz w:val="7"/>
                <w:szCs w:val="7"/>
                <w:color w:val="FFFFFF"/>
              </w:rPr>
              <w:t>Despite its checkered past, it’s clear that credit is  cornerstone of the economy and access to af</w:t>
            </w:r>
          </w:p>
        </w:tc>
        <w:tc>
          <w:tcPr>
            <w:tcW w:w="4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40"/>
        <w:spacing w:after="0" w:line="21" w:lineRule="auto"/>
        <w:tabs>
          <w:tab w:leader="none" w:pos="5300" w:val="left"/>
        </w:tabs>
        <w:rPr>
          <w:sz w:val="20"/>
          <w:szCs w:val="20"/>
          <w:color w:val="auto"/>
        </w:rPr>
      </w:pPr>
      <w:r>
        <w:rPr>
          <w:rFonts w:ascii="Arial" w:cs="Arial" w:eastAsia="Arial" w:hAnsi="Arial"/>
          <w:sz w:val="1"/>
          <w:szCs w:val="1"/>
          <w:color w:val="FFFFFF"/>
        </w:rPr>
        <w:t>are</w:t>
      </w:r>
      <w:r>
        <w:rPr>
          <w:sz w:val="20"/>
          <w:szCs w:val="20"/>
          <w:color w:val="auto"/>
        </w:rPr>
        <w:tab/>
      </w:r>
      <w:r>
        <w:rPr>
          <w:rFonts w:ascii="Arial" w:cs="Arial" w:eastAsia="Arial" w:hAnsi="Arial"/>
          <w:sz w:val="1"/>
          <w:szCs w:val="1"/>
          <w:color w:val="FFFFFF"/>
        </w:rPr>
        <w:t>fordable</w:t>
      </w:r>
    </w:p>
    <w:p>
      <w:pPr>
        <w:ind w:left="1020"/>
        <w:spacing w:after="0"/>
        <w:rPr>
          <w:sz w:val="20"/>
          <w:szCs w:val="20"/>
          <w:color w:val="auto"/>
        </w:rPr>
      </w:pPr>
      <w:r>
        <w:rPr>
          <w:rFonts w:ascii="Arial" w:cs="Arial" w:eastAsia="Arial" w:hAnsi="Arial"/>
          <w:sz w:val="8"/>
          <w:szCs w:val="8"/>
          <w:color w:val="FFFFFF"/>
        </w:rPr>
        <w:t>Simplyacollegeput,degree,creditrelocatingunlocksopportunitytoanewcity—theseandmobility—andthebuildingthustheblocksprice ofof lifecreditthatequalsareouttheofpricereachof thethoseAmericanwithoutdream.access to affordable credit.</w:t>
      </w:r>
    </w:p>
    <w:p>
      <w:pPr>
        <w:sectPr>
          <w:pgSz w:w="11900" w:h="16838" w:orient="portrait"/>
          <w:cols w:equalWidth="0" w:num="1">
            <w:col w:w="10200"/>
          </w:cols>
          <w:pgMar w:left="320" w:top="407" w:right="137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20" w:type="dxa"/>
            <w:vAlign w:val="bottom"/>
          </w:tcPr>
          <w:p>
            <w:pPr>
              <w:spacing w:after="0"/>
              <w:rPr>
                <w:sz w:val="20"/>
                <w:szCs w:val="20"/>
                <w:color w:val="auto"/>
              </w:rPr>
            </w:pPr>
            <w:r>
              <w:rPr>
                <w:rFonts w:ascii="Arial" w:cs="Arial" w:eastAsia="Arial" w:hAnsi="Arial"/>
                <w:sz w:val="11"/>
                <w:szCs w:val="11"/>
                <w:color w:val="FFFFFF"/>
              </w:rPr>
              <w:t>Lend</w:t>
            </w:r>
          </w:p>
        </w:tc>
        <w:tc>
          <w:tcPr>
            <w:tcW w:w="600" w:type="dxa"/>
            <w:vAlign w:val="bottom"/>
          </w:tcPr>
          <w:p>
            <w:pPr>
              <w:ind w:left="100"/>
              <w:spacing w:after="0"/>
              <w:rPr>
                <w:sz w:val="20"/>
                <w:szCs w:val="20"/>
                <w:color w:val="auto"/>
              </w:rPr>
            </w:pPr>
            <w:r>
              <w:rPr>
                <w:rFonts w:ascii="Arial" w:cs="Arial" w:eastAsia="Arial" w:hAnsi="Arial"/>
                <w:sz w:val="11"/>
                <w:szCs w:val="11"/>
                <w:color w:val="FFFFFF"/>
              </w:rPr>
              <w:t>is broken</w:t>
            </w:r>
          </w:p>
        </w:tc>
        <w:tc>
          <w:tcPr>
            <w:tcW w:w="22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Considering how central lending is to the economy, it’s stunning how ineffective current approaches to credit origination are. In June of 2020, commercial banks in the US issued almost $15 trillion in</w:t>
            </w:r>
          </w:p>
        </w:tc>
        <w:tc>
          <w:tcPr>
            <w:tcW w:w="0" w:type="dxa"/>
            <w:vAlign w:val="bottom"/>
          </w:tcPr>
          <w:p>
            <w:pPr>
              <w:spacing w:after="0" w:line="20" w:lineRule="exact"/>
              <w:rPr>
                <w:sz w:val="1"/>
                <w:szCs w:val="1"/>
                <w:color w:val="auto"/>
              </w:rPr>
            </w:pPr>
          </w:p>
        </w:tc>
      </w:tr>
      <w:tr>
        <w:trPr>
          <w:trHeight w:val="34"/>
        </w:trPr>
        <w:tc>
          <w:tcPr>
            <w:tcW w:w="3160" w:type="dxa"/>
            <w:vAlign w:val="bottom"/>
            <w:gridSpan w:val="3"/>
          </w:tcPr>
          <w:p>
            <w:pPr>
              <w:spacing w:after="0"/>
              <w:rPr>
                <w:sz w:val="20"/>
                <w:szCs w:val="20"/>
                <w:color w:val="auto"/>
              </w:rPr>
            </w:pPr>
            <w:r>
              <w:rPr>
                <w:rFonts w:ascii="Arial" w:cs="Arial" w:eastAsia="Arial" w:hAnsi="Arial"/>
                <w:sz w:val="3"/>
                <w:szCs w:val="3"/>
                <w:color w:val="FFFFFF"/>
              </w:rPr>
              <w:t>loans.1 Yet the models used to predict whether  loan will be repaid</w:t>
            </w:r>
          </w:p>
        </w:tc>
        <w:tc>
          <w:tcPr>
            <w:tcW w:w="3820" w:type="dxa"/>
            <w:vAlign w:val="bottom"/>
          </w:tcPr>
          <w:p>
            <w:pPr>
              <w:ind w:left="100"/>
              <w:spacing w:after="0"/>
              <w:rPr>
                <w:sz w:val="20"/>
                <w:szCs w:val="20"/>
                <w:color w:val="auto"/>
              </w:rPr>
            </w:pPr>
            <w:r>
              <w:rPr>
                <w:rFonts w:ascii="Arial" w:cs="Arial" w:eastAsia="Arial" w:hAnsi="Arial"/>
                <w:sz w:val="3"/>
                <w:szCs w:val="3"/>
                <w:color w:val="FFFFFF"/>
              </w:rPr>
              <w:t>much closer to a roll of the dice than to an omniscient lending deity.</w:t>
            </w: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 w:type="dxa"/>
            <w:vAlign w:val="bottom"/>
            <w:gridSpan w:val="2"/>
          </w:tcPr>
          <w:p>
            <w:pPr>
              <w:spacing w:after="0"/>
              <w:rPr>
                <w:sz w:val="20"/>
                <w:szCs w:val="20"/>
                <w:color w:val="auto"/>
              </w:rPr>
            </w:pPr>
            <w:r>
              <w:rPr>
                <w:rFonts w:ascii="Arial" w:cs="Arial" w:eastAsia="Arial" w:hAnsi="Arial"/>
                <w:sz w:val="3"/>
                <w:szCs w:val="3"/>
                <w:color w:val="FFFFFF"/>
              </w:rPr>
              <w:t>By way of</w:t>
            </w:r>
          </w:p>
        </w:tc>
        <w:tc>
          <w:tcPr>
            <w:tcW w:w="8280" w:type="dxa"/>
            <w:vAlign w:val="bottom"/>
            <w:gridSpan w:val="4"/>
          </w:tcPr>
          <w:p>
            <w:pPr>
              <w:ind w:left="20"/>
              <w:spacing w:after="0"/>
              <w:rPr>
                <w:sz w:val="20"/>
                <w:szCs w:val="20"/>
                <w:color w:val="auto"/>
              </w:rPr>
            </w:pPr>
            <w:r>
              <w:rPr>
                <w:rFonts w:ascii="Arial" w:cs="Arial" w:eastAsia="Arial" w:hAnsi="Arial"/>
                <w:sz w:val="3"/>
                <w:szCs w:val="3"/>
                <w:color w:val="FFFFFF"/>
              </w:rPr>
              <w:t>four in five Americans have never defaulted on areloan, yet less than half have a credit score that would qualify them for the low rates that banks offer.2 The implication is</w:t>
            </w:r>
          </w:p>
        </w:tc>
        <w:tc>
          <w:tcPr>
            <w:tcW w:w="0" w:type="dxa"/>
            <w:vAlign w:val="bottom"/>
          </w:tcPr>
          <w:p>
            <w:pPr>
              <w:spacing w:after="0" w:line="20" w:lineRule="exact"/>
              <w:rPr>
                <w:sz w:val="1"/>
                <w:szCs w:val="1"/>
                <w:color w:val="auto"/>
              </w:rPr>
            </w:pPr>
          </w:p>
        </w:tc>
      </w:tr>
      <w:tr>
        <w:trPr>
          <w:trHeight w:val="34"/>
        </w:trPr>
        <w:tc>
          <w:tcPr>
            <w:tcW w:w="6980" w:type="dxa"/>
            <w:vAlign w:val="bottom"/>
            <w:gridSpan w:val="4"/>
          </w:tcPr>
          <w:p>
            <w:pPr>
              <w:spacing w:after="0"/>
              <w:rPr>
                <w:sz w:val="20"/>
                <w:szCs w:val="20"/>
                <w:color w:val="auto"/>
              </w:rPr>
            </w:pPr>
            <w:r>
              <w:rPr>
                <w:rFonts w:ascii="Arial" w:cs="Arial" w:eastAsia="Arial" w:hAnsi="Arial"/>
                <w:sz w:val="3"/>
                <w:szCs w:val="3"/>
                <w:color w:val="FFFFFF"/>
              </w:rPr>
              <w:t>eye-opening:example,with smarter credit model, lenders could approve almost twice as many borrowers, with fewer defaults.</w:t>
            </w: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Limitations of legacy credit systems affect most of us: First, they offer loans to many people who fail to pay them back, which is harmful to both consumers and lenders. Second, they decline to offer</w:t>
            </w:r>
          </w:p>
        </w:tc>
        <w:tc>
          <w:tcPr>
            <w:tcW w:w="0" w:type="dxa"/>
            <w:vAlign w:val="bottom"/>
          </w:tcPr>
          <w:p>
            <w:pPr>
              <w:spacing w:after="0" w:line="20" w:lineRule="exact"/>
              <w:rPr>
                <w:sz w:val="1"/>
                <w:szCs w:val="1"/>
                <w:color w:val="auto"/>
              </w:rPr>
            </w:pPr>
          </w:p>
        </w:tc>
      </w:tr>
      <w:tr>
        <w:trPr>
          <w:trHeight w:val="34"/>
        </w:trPr>
        <w:tc>
          <w:tcPr>
            <w:tcW w:w="920" w:type="dxa"/>
            <w:vAlign w:val="bottom"/>
            <w:gridSpan w:val="2"/>
          </w:tcPr>
          <w:p>
            <w:pPr>
              <w:spacing w:after="0"/>
              <w:rPr>
                <w:sz w:val="20"/>
                <w:szCs w:val="20"/>
                <w:color w:val="auto"/>
              </w:rPr>
            </w:pPr>
            <w:r>
              <w:rPr>
                <w:rFonts w:ascii="Arial" w:cs="Arial" w:eastAsia="Arial" w:hAnsi="Arial"/>
                <w:sz w:val="3"/>
                <w:szCs w:val="3"/>
                <w:color w:val="FFFFFF"/>
              </w:rPr>
              <w:t>loans to people who</w:t>
            </w:r>
          </w:p>
        </w:tc>
        <w:tc>
          <w:tcPr>
            <w:tcW w:w="8280" w:type="dxa"/>
            <w:vAlign w:val="bottom"/>
            <w:gridSpan w:val="4"/>
          </w:tcPr>
          <w:p>
            <w:pPr>
              <w:ind w:left="100"/>
              <w:spacing w:after="0"/>
              <w:rPr>
                <w:sz w:val="20"/>
                <w:szCs w:val="20"/>
                <w:color w:val="auto"/>
              </w:rPr>
            </w:pPr>
            <w:r>
              <w:rPr>
                <w:rFonts w:ascii="Arial" w:cs="Arial" w:eastAsia="Arial" w:hAnsi="Arial"/>
                <w:sz w:val="3"/>
                <w:szCs w:val="3"/>
                <w:color w:val="FFFFFF"/>
              </w:rPr>
              <w:t>ould successfully pay them back if given the chance, also harmful to consumers and lenders. And finally, even those who repay their loans pay too much in interest, because they</w:t>
            </w:r>
          </w:p>
        </w:tc>
        <w:tc>
          <w:tcPr>
            <w:tcW w:w="0" w:type="dxa"/>
            <w:vAlign w:val="bottom"/>
          </w:tcPr>
          <w:p>
            <w:pPr>
              <w:spacing w:after="0" w:line="20" w:lineRule="exact"/>
              <w:rPr>
                <w:sz w:val="1"/>
                <w:szCs w:val="1"/>
                <w:color w:val="auto"/>
              </w:rPr>
            </w:pPr>
          </w:p>
        </w:tc>
      </w:tr>
      <w:tr>
        <w:trPr>
          <w:trHeight w:val="34"/>
        </w:trPr>
        <w:tc>
          <w:tcPr>
            <w:tcW w:w="320" w:type="dxa"/>
            <w:vAlign w:val="bottom"/>
          </w:tcPr>
          <w:p>
            <w:pPr>
              <w:spacing w:after="0"/>
              <w:rPr>
                <w:sz w:val="2"/>
                <w:szCs w:val="2"/>
                <w:color w:val="auto"/>
              </w:rPr>
            </w:pPr>
          </w:p>
        </w:tc>
        <w:tc>
          <w:tcPr>
            <w:tcW w:w="2840" w:type="dxa"/>
            <w:vAlign w:val="bottom"/>
            <w:gridSpan w:val="2"/>
          </w:tcPr>
          <w:p>
            <w:pPr>
              <w:ind w:left="140"/>
              <w:spacing w:after="0"/>
              <w:rPr>
                <w:sz w:val="20"/>
                <w:szCs w:val="20"/>
                <w:color w:val="auto"/>
              </w:rPr>
            </w:pPr>
            <w:r>
              <w:rPr>
                <w:rFonts w:ascii="Arial" w:cs="Arial" w:eastAsia="Arial" w:hAnsi="Arial"/>
                <w:sz w:val="3"/>
                <w:szCs w:val="3"/>
                <w:color w:val="FFFFFF"/>
              </w:rPr>
              <w:t>borrowers who default.</w:t>
            </w:r>
          </w:p>
        </w:tc>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subsidizeIt’accepted as immutable that lending is  cyclical industry whose performance depends wholly on the macro-economic environment. A corollary of this belief holds that, aside from modest efficiency</w:t>
            </w: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improvements, technology can’t alter the fundamentals of lending. Lenders staffed by disciplined teams with solid analytics will do fine when times are good. But like gravity, it will all come crashing</w:t>
            </w:r>
          </w:p>
        </w:tc>
        <w:tc>
          <w:tcPr>
            <w:tcW w:w="0" w:type="dxa"/>
            <w:vAlign w:val="bottom"/>
          </w:tcPr>
          <w:p>
            <w:pPr>
              <w:spacing w:after="0" w:line="20" w:lineRule="exact"/>
              <w:rPr>
                <w:sz w:val="1"/>
                <w:szCs w:val="1"/>
                <w:color w:val="auto"/>
              </w:rPr>
            </w:pPr>
          </w:p>
        </w:tc>
      </w:tr>
      <w:tr>
        <w:trPr>
          <w:trHeight w:val="34"/>
        </w:trPr>
        <w:tc>
          <w:tcPr>
            <w:tcW w:w="3160" w:type="dxa"/>
            <w:vAlign w:val="bottom"/>
            <w:gridSpan w:val="3"/>
          </w:tcPr>
          <w:p>
            <w:pPr>
              <w:spacing w:after="0"/>
              <w:rPr>
                <w:sz w:val="20"/>
                <w:szCs w:val="20"/>
                <w:color w:val="auto"/>
              </w:rPr>
            </w:pPr>
            <w:r>
              <w:rPr>
                <w:rFonts w:ascii="Arial" w:cs="Arial" w:eastAsia="Arial" w:hAnsi="Arial"/>
                <w:sz w:val="3"/>
                <w:szCs w:val="3"/>
                <w:color w:val="FFFFFF"/>
              </w:rPr>
              <w:t>down at the next recession.</w:t>
            </w:r>
          </w:p>
        </w:tc>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vMerge w:val="restart"/>
          </w:tcPr>
          <w:p>
            <w:pPr>
              <w:ind w:left="260"/>
              <w:spacing w:after="0" w:line="68" w:lineRule="exact"/>
              <w:rPr>
                <w:sz w:val="20"/>
                <w:szCs w:val="20"/>
                <w:color w:val="auto"/>
              </w:rPr>
            </w:pPr>
            <w:r>
              <w:rPr>
                <w:rFonts w:ascii="Arial" w:cs="Arial" w:eastAsia="Arial" w:hAnsi="Arial"/>
                <w:sz w:val="7"/>
                <w:szCs w:val="7"/>
                <w:color w:val="FFFFFF"/>
              </w:rPr>
              <w:t>are evident, lenders are quick</w:t>
            </w:r>
          </w:p>
        </w:tc>
        <w:tc>
          <w:tcPr>
            <w:tcW w:w="0" w:type="dxa"/>
            <w:vAlign w:val="bottom"/>
          </w:tcPr>
          <w:p>
            <w:pPr>
              <w:spacing w:after="0" w:line="20" w:lineRule="exact"/>
              <w:rPr>
                <w:sz w:val="1"/>
                <w:szCs w:val="1"/>
                <w:color w:val="auto"/>
              </w:rPr>
            </w:pPr>
          </w:p>
        </w:tc>
      </w:tr>
      <w:tr>
        <w:trPr>
          <w:trHeight w:val="34"/>
        </w:trPr>
        <w:tc>
          <w:tcPr>
            <w:tcW w:w="7620" w:type="dxa"/>
            <w:vAlign w:val="bottom"/>
            <w:gridSpan w:val="5"/>
          </w:tcPr>
          <w:p>
            <w:pPr>
              <w:spacing w:after="0"/>
              <w:rPr>
                <w:sz w:val="20"/>
                <w:szCs w:val="20"/>
                <w:color w:val="auto"/>
              </w:rPr>
            </w:pPr>
            <w:r>
              <w:rPr>
                <w:rFonts w:ascii="Arial" w:cs="Arial" w:eastAsia="Arial" w:hAnsi="Arial"/>
                <w:sz w:val="3"/>
                <w:szCs w:val="3"/>
                <w:color w:val="FFFFFF"/>
              </w:rPr>
              <w:t>These beliefs lead to an intense and ultimately fruitless effort in boardrooms across the country to predict the timing of the next recession. When the first signs of a</w:t>
            </w: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to raise the drawbridge and batten down the hatches. These impulsive reactions invariably mean that access to credit for consumers and businesses dries up just whenslowdownit’needed most.</w:t>
            </w:r>
          </w:p>
        </w:tc>
        <w:tc>
          <w:tcPr>
            <w:tcW w:w="0" w:type="dxa"/>
            <w:vAlign w:val="bottom"/>
          </w:tcPr>
          <w:p>
            <w:pPr>
              <w:spacing w:after="0" w:line="20" w:lineRule="exact"/>
              <w:rPr>
                <w:sz w:val="1"/>
                <w:szCs w:val="1"/>
                <w:color w:val="auto"/>
              </w:rPr>
            </w:pPr>
          </w:p>
        </w:tc>
      </w:tr>
      <w:tr>
        <w:trPr>
          <w:trHeight w:val="34"/>
        </w:trPr>
        <w:tc>
          <w:tcPr>
            <w:tcW w:w="3160" w:type="dxa"/>
            <w:vAlign w:val="bottom"/>
            <w:gridSpan w:val="3"/>
          </w:tcPr>
          <w:p>
            <w:pPr>
              <w:ind w:left="80"/>
              <w:spacing w:after="0"/>
              <w:rPr>
                <w:sz w:val="20"/>
                <w:szCs w:val="20"/>
                <w:color w:val="auto"/>
              </w:rPr>
            </w:pPr>
            <w:r>
              <w:rPr>
                <w:rFonts w:ascii="Arial" w:cs="Arial" w:eastAsia="Arial" w:hAnsi="Arial"/>
                <w:sz w:val="3"/>
                <w:szCs w:val="3"/>
                <w:color w:val="FFFFFF"/>
              </w:rPr>
              <w:t>rtificial intelligence is the fix</w:t>
            </w:r>
          </w:p>
        </w:tc>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AI has the potential to add $13 trillion to the global economy by 2030 and is broadly considered one of the most important developments in the history of technology.3 Last year, Amazon’s Jeff Bezos said</w:t>
            </w:r>
          </w:p>
        </w:tc>
        <w:tc>
          <w:tcPr>
            <w:tcW w:w="0" w:type="dxa"/>
            <w:vAlign w:val="bottom"/>
          </w:tcPr>
          <w:p>
            <w:pPr>
              <w:spacing w:after="0" w:line="20" w:lineRule="exact"/>
              <w:rPr>
                <w:sz w:val="1"/>
                <w:szCs w:val="1"/>
                <w:color w:val="auto"/>
              </w:rPr>
            </w:pPr>
          </w:p>
        </w:tc>
      </w:tr>
      <w:tr>
        <w:trPr>
          <w:trHeight w:val="34"/>
        </w:trPr>
        <w:tc>
          <w:tcPr>
            <w:tcW w:w="6980" w:type="dxa"/>
            <w:vAlign w:val="bottom"/>
            <w:gridSpan w:val="4"/>
          </w:tcPr>
          <w:p>
            <w:pPr>
              <w:spacing w:after="0"/>
              <w:rPr>
                <w:sz w:val="20"/>
                <w:szCs w:val="20"/>
                <w:color w:val="auto"/>
              </w:rPr>
            </w:pPr>
            <w:r>
              <w:rPr>
                <w:rFonts w:ascii="Arial" w:cs="Arial" w:eastAsia="Arial" w:hAnsi="Arial"/>
                <w:sz w:val="3"/>
                <w:szCs w:val="3"/>
                <w:color w:val="FFFFFF"/>
              </w:rPr>
              <w:t>“we’re at the beginning of a golden age of AI. Recent advancements have already led to invention that previously lived in the realm of science fiction.”</w:t>
            </w:r>
          </w:p>
        </w:tc>
        <w:tc>
          <w:tcPr>
            <w:tcW w:w="2220" w:type="dxa"/>
            <w:vAlign w:val="bottom"/>
            <w:gridSpan w:val="2"/>
            <w:vMerge w:val="restart"/>
          </w:tcPr>
          <w:p>
            <w:pPr>
              <w:ind w:left="140"/>
              <w:spacing w:after="0" w:line="33" w:lineRule="exact"/>
              <w:rPr>
                <w:sz w:val="20"/>
                <w:szCs w:val="20"/>
                <w:color w:val="auto"/>
              </w:rPr>
            </w:pPr>
            <w:r>
              <w:rPr>
                <w:rFonts w:ascii="Arial" w:cs="Arial" w:eastAsia="Arial" w:hAnsi="Arial"/>
                <w:sz w:val="3"/>
                <w:szCs w:val="3"/>
                <w:color w:val="FFFFFF"/>
              </w:rPr>
              <w:t>there is an almost unlimited supply of data</w:t>
            </w:r>
          </w:p>
        </w:tc>
        <w:tc>
          <w:tcPr>
            <w:tcW w:w="0" w:type="dxa"/>
            <w:vAlign w:val="bottom"/>
          </w:tcPr>
          <w:p>
            <w:pPr>
              <w:spacing w:after="0" w:line="20" w:lineRule="exact"/>
              <w:rPr>
                <w:sz w:val="1"/>
                <w:szCs w:val="1"/>
                <w:color w:val="auto"/>
              </w:rPr>
            </w:pPr>
          </w:p>
        </w:tc>
      </w:tr>
      <w:tr>
        <w:trPr>
          <w:trHeight w:val="0"/>
        </w:trPr>
        <w:tc>
          <w:tcPr>
            <w:tcW w:w="6980" w:type="dxa"/>
            <w:vAlign w:val="bottom"/>
            <w:gridSpan w:val="4"/>
          </w:tcPr>
          <w:p>
            <w:pPr>
              <w:spacing w:after="0" w:line="67" w:lineRule="exact"/>
              <w:rPr>
                <w:sz w:val="20"/>
                <w:szCs w:val="20"/>
                <w:color w:val="auto"/>
              </w:rPr>
            </w:pPr>
            <w:r>
              <w:rPr>
                <w:rFonts w:ascii="Arial" w:cs="Arial" w:eastAsia="Arial" w:hAnsi="Arial"/>
                <w:sz w:val="7"/>
                <w:szCs w:val="7"/>
                <w:color w:val="FFFFFF"/>
              </w:rPr>
              <w:t>Credit is a compelling and obvious use case for AI. First, lending involves sophisticated decisioning for events that occur millions of times each day.</w:t>
            </w:r>
          </w:p>
        </w:tc>
        <w:tc>
          <w:tcPr>
            <w:tcW w:w="22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20"/>
        <w:spacing w:after="0" w:line="204" w:lineRule="auto"/>
        <w:rPr>
          <w:sz w:val="20"/>
          <w:szCs w:val="20"/>
          <w:color w:val="auto"/>
        </w:rPr>
      </w:pPr>
      <w:r>
        <w:rPr>
          <w:rFonts w:ascii="Arial" w:cs="Arial" w:eastAsia="Arial" w:hAnsi="Arial"/>
          <w:sz w:val="7"/>
          <w:szCs w:val="7"/>
          <w:color w:val="FFFFFF"/>
        </w:rPr>
        <w:t>thatdramatic.hasthe potential to improve the accuracy of credit decisions. Third, given the costs and risks associated with lending, as well as the scale of the industrySecond, the potential economic wins from AI are</w:t>
      </w:r>
    </w:p>
    <w:p>
      <w:pPr>
        <w:ind w:left="1020" w:right="2520"/>
        <w:spacing w:after="0"/>
        <w:rPr>
          <w:sz w:val="20"/>
          <w:szCs w:val="20"/>
          <w:color w:val="auto"/>
        </w:rPr>
      </w:pPr>
      <w:r>
        <w:rPr>
          <w:rFonts w:ascii="Arial" w:cs="Arial" w:eastAsia="Arial" w:hAnsi="Arial"/>
          <w:sz w:val="5"/>
          <w:szCs w:val="5"/>
          <w:color w:val="FFFFFF"/>
        </w:rPr>
        <w:t>21 antageScoresBasedStatista:onValueUpstartofLoansretrospectiveofallCommercialstudycompletedBanksinintheDecemberUnitedStates2019,fromwhichMarchdefined2014accesstoAugusttoprime2020,creditSeptemberasindividuals2018. with credit reports with V of 720 or above.</w:t>
      </w:r>
    </w:p>
    <w:p>
      <w:pPr>
        <w:spacing w:after="0" w:line="44" w:lineRule="exact"/>
        <w:rPr>
          <w:sz w:val="20"/>
          <w:szCs w:val="20"/>
          <w:color w:val="auto"/>
        </w:rPr>
      </w:pPr>
    </w:p>
    <w:p>
      <w:pPr>
        <w:ind w:left="1020"/>
        <w:spacing w:after="0"/>
        <w:rPr>
          <w:sz w:val="20"/>
          <w:szCs w:val="20"/>
          <w:color w:val="auto"/>
        </w:rPr>
      </w:pPr>
      <w:r>
        <w:rPr>
          <w:rFonts w:ascii="Arial" w:cs="Arial" w:eastAsia="Arial" w:hAnsi="Arial"/>
          <w:sz w:val="11"/>
          <w:szCs w:val="11"/>
          <w:color w:val="FFFFFF"/>
        </w:rPr>
        <w:t>II3 McKinsey Global Institute, or McKinsey, Notes From the AI Frontier: Modeling the Impact of AI on the World Economy, September 2018.</w:t>
      </w:r>
    </w:p>
    <w:p>
      <w:pPr>
        <w:sectPr>
          <w:pgSz w:w="11900" w:h="16838" w:orient="portrait"/>
          <w:cols w:equalWidth="0" w:num="1">
            <w:col w:w="10220"/>
          </w:cols>
          <w:pgMar w:left="320" w:top="407" w:right="13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9180" w:type="dxa"/>
            <w:vAlign w:val="bottom"/>
            <w:gridSpan w:val="8"/>
          </w:tcPr>
          <w:p>
            <w:pPr>
              <w:spacing w:after="0"/>
              <w:rPr>
                <w:sz w:val="20"/>
                <w:szCs w:val="20"/>
                <w:color w:val="auto"/>
              </w:rPr>
            </w:pPr>
            <w:r>
              <w:rPr>
                <w:rFonts w:ascii="Arial" w:cs="Arial" w:eastAsia="Arial" w:hAnsi="Arial"/>
                <w:sz w:val="11"/>
                <w:szCs w:val="11"/>
                <w:color w:val="FFFFFF"/>
                <w:w w:val="93"/>
              </w:rPr>
              <w:t>How does AI change lending? It starts by vastly expanding the information used to inform a credit decision. Then, it utilizes sophisticated machine learning algorithms that can tease out the relationships</w:t>
            </w:r>
          </w:p>
        </w:tc>
      </w:tr>
      <w:tr>
        <w:trPr>
          <w:trHeight w:val="34"/>
        </w:trPr>
        <w:tc>
          <w:tcPr>
            <w:tcW w:w="6220" w:type="dxa"/>
            <w:vAlign w:val="bottom"/>
            <w:gridSpan w:val="6"/>
          </w:tcPr>
          <w:p>
            <w:pPr>
              <w:spacing w:after="0"/>
              <w:rPr>
                <w:sz w:val="20"/>
                <w:szCs w:val="20"/>
                <w:color w:val="auto"/>
              </w:rPr>
            </w:pPr>
            <w:r>
              <w:rPr>
                <w:rFonts w:ascii="Arial" w:cs="Arial" w:eastAsia="Arial" w:hAnsi="Arial"/>
                <w:sz w:val="3"/>
                <w:szCs w:val="3"/>
                <w:color w:val="FFFFFF"/>
              </w:rPr>
              <w:t>between hundreds or even thousands of variables. And finally, the system learns and improves on its own, optimizing in response to</w:t>
            </w:r>
          </w:p>
        </w:tc>
        <w:tc>
          <w:tcPr>
            <w:tcW w:w="2960" w:type="dxa"/>
            <w:vAlign w:val="bottom"/>
            <w:gridSpan w:val="2"/>
          </w:tcPr>
          <w:p>
            <w:pPr>
              <w:ind w:left="20"/>
              <w:spacing w:after="0"/>
              <w:rPr>
                <w:sz w:val="20"/>
                <w:szCs w:val="20"/>
                <w:color w:val="auto"/>
              </w:rPr>
            </w:pPr>
            <w:r>
              <w:rPr>
                <w:rFonts w:ascii="Arial" w:cs="Arial" w:eastAsia="Arial" w:hAnsi="Arial"/>
                <w:sz w:val="3"/>
                <w:szCs w:val="3"/>
                <w:color w:val="FFFFFF"/>
              </w:rPr>
              <w:t>loan-level repayment and delinquency data. Our own AI system</w:t>
            </w:r>
          </w:p>
        </w:tc>
      </w:tr>
      <w:tr>
        <w:trPr>
          <w:trHeight w:val="34"/>
        </w:trPr>
        <w:tc>
          <w:tcPr>
            <w:tcW w:w="2920" w:type="dxa"/>
            <w:vAlign w:val="bottom"/>
            <w:gridSpan w:val="5"/>
          </w:tcPr>
          <w:p>
            <w:pPr>
              <w:spacing w:after="0"/>
              <w:rPr>
                <w:sz w:val="20"/>
                <w:szCs w:val="20"/>
                <w:color w:val="auto"/>
              </w:rPr>
            </w:pPr>
            <w:r>
              <w:rPr>
                <w:rFonts w:ascii="Arial" w:cs="Arial" w:eastAsia="Arial" w:hAnsi="Arial"/>
                <w:sz w:val="3"/>
                <w:szCs w:val="3"/>
                <w:color w:val="FFFFFF"/>
              </w:rPr>
              <w:t>is trained on almost 15 billion cells of performance data and</w:t>
            </w:r>
          </w:p>
        </w:tc>
        <w:tc>
          <w:tcPr>
            <w:tcW w:w="3300" w:type="dxa"/>
            <w:vAlign w:val="bottom"/>
          </w:tcPr>
          <w:p>
            <w:pPr>
              <w:ind w:left="220"/>
              <w:spacing w:after="0"/>
              <w:rPr>
                <w:sz w:val="20"/>
                <w:szCs w:val="20"/>
                <w:color w:val="auto"/>
              </w:rPr>
            </w:pPr>
            <w:r>
              <w:rPr>
                <w:rFonts w:ascii="Arial" w:cs="Arial" w:eastAsia="Arial" w:hAnsi="Arial"/>
                <w:sz w:val="3"/>
                <w:szCs w:val="3"/>
                <w:color w:val="FFFFFF"/>
              </w:rPr>
              <w:t>the specific likelihood of default or prepayment for each monthdailyof</w:t>
            </w:r>
          </w:p>
        </w:tc>
        <w:tc>
          <w:tcPr>
            <w:tcW w:w="580" w:type="dxa"/>
            <w:vAlign w:val="bottom"/>
          </w:tcPr>
          <w:p>
            <w:pPr>
              <w:spacing w:after="0"/>
              <w:rPr>
                <w:sz w:val="20"/>
                <w:szCs w:val="20"/>
                <w:color w:val="auto"/>
              </w:rPr>
            </w:pPr>
            <w:r>
              <w:rPr>
                <w:rFonts w:ascii="Arial" w:cs="Arial" w:eastAsia="Arial" w:hAnsi="Arial"/>
                <w:sz w:val="3"/>
                <w:szCs w:val="3"/>
                <w:color w:val="FFFFFF"/>
              </w:rPr>
              <w:t>loan term.4</w:t>
            </w:r>
          </w:p>
        </w:tc>
        <w:tc>
          <w:tcPr>
            <w:tcW w:w="2380" w:type="dxa"/>
            <w:vAlign w:val="bottom"/>
          </w:tcPr>
          <w:p>
            <w:pPr>
              <w:spacing w:after="0"/>
              <w:rPr>
                <w:sz w:val="2"/>
                <w:szCs w:val="2"/>
                <w:color w:val="auto"/>
              </w:rPr>
            </w:pP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As the number of variables and volume of training data in Upstart’predictsmodel have grown over time, we’ve been able to implement increasingly sophisticated machine learning algorithms, which in turn</w:t>
            </w:r>
          </w:p>
        </w:tc>
      </w:tr>
      <w:tr>
        <w:trPr>
          <w:trHeight w:val="34"/>
        </w:trPr>
        <w:tc>
          <w:tcPr>
            <w:tcW w:w="6800" w:type="dxa"/>
            <w:vAlign w:val="bottom"/>
            <w:gridSpan w:val="7"/>
          </w:tcPr>
          <w:p>
            <w:pPr>
              <w:spacing w:after="0"/>
              <w:rPr>
                <w:sz w:val="20"/>
                <w:szCs w:val="20"/>
                <w:color w:val="auto"/>
              </w:rPr>
            </w:pPr>
            <w:r>
              <w:rPr>
                <w:rFonts w:ascii="Arial" w:cs="Arial" w:eastAsia="Arial" w:hAnsi="Arial"/>
                <w:sz w:val="3"/>
                <w:szCs w:val="3"/>
                <w:color w:val="FFFFFF"/>
              </w:rPr>
              <w:t>improve the accuracy of our model and efficiency of our funnel. As good as our AI platform is today, it only scratches the surface of the accuracy</w:t>
            </w:r>
          </w:p>
        </w:tc>
        <w:tc>
          <w:tcPr>
            <w:tcW w:w="2380" w:type="dxa"/>
            <w:vAlign w:val="bottom"/>
          </w:tcPr>
          <w:p>
            <w:pPr>
              <w:ind w:left="60"/>
              <w:spacing w:after="0"/>
              <w:rPr>
                <w:sz w:val="20"/>
                <w:szCs w:val="20"/>
                <w:color w:val="auto"/>
              </w:rPr>
            </w:pPr>
            <w:r>
              <w:rPr>
                <w:rFonts w:ascii="Arial" w:cs="Arial" w:eastAsia="Arial" w:hAnsi="Arial"/>
                <w:sz w:val="3"/>
                <w:szCs w:val="3"/>
                <w:color w:val="FFFFFF"/>
              </w:rPr>
              <w:t>that are possible.</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Applied across the entire credit origination funnel, AI can reduce friction, eliminate costs, and mitigate risks associated with lending. The result is gainssuperior customer experience and improved economics</w:t>
            </w:r>
          </w:p>
        </w:tc>
      </w:tr>
      <w:tr>
        <w:trPr>
          <w:trHeight w:val="34"/>
        </w:trPr>
        <w:tc>
          <w:tcPr>
            <w:tcW w:w="2920" w:type="dxa"/>
            <w:vAlign w:val="bottom"/>
            <w:gridSpan w:val="5"/>
          </w:tcPr>
          <w:p>
            <w:pPr>
              <w:spacing w:after="0"/>
              <w:rPr>
                <w:sz w:val="20"/>
                <w:szCs w:val="20"/>
                <w:color w:val="auto"/>
              </w:rPr>
            </w:pPr>
            <w:r>
              <w:rPr>
                <w:rFonts w:ascii="Arial" w:cs="Arial" w:eastAsia="Arial" w:hAnsi="Arial"/>
                <w:sz w:val="3"/>
                <w:szCs w:val="3"/>
                <w:color w:val="FFFFFF"/>
              </w:rPr>
              <w:t>that can be shared between borrowers and lenders.</w:t>
            </w:r>
          </w:p>
        </w:tc>
        <w:tc>
          <w:tcPr>
            <w:tcW w:w="3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The wins from AI lending are compelling. Studies we completed with several large US banks suggested that Upstart’s model could approve up to three times the number of borrowers at the same loss</w:t>
            </w:r>
          </w:p>
        </w:tc>
      </w:tr>
      <w:tr>
        <w:trPr>
          <w:trHeight w:val="34"/>
        </w:trPr>
        <w:tc>
          <w:tcPr>
            <w:tcW w:w="9180" w:type="dxa"/>
            <w:vAlign w:val="bottom"/>
            <w:gridSpan w:val="8"/>
          </w:tcPr>
          <w:p>
            <w:pPr>
              <w:ind w:left="40"/>
              <w:spacing w:after="0"/>
              <w:rPr>
                <w:sz w:val="20"/>
                <w:szCs w:val="20"/>
                <w:color w:val="auto"/>
              </w:rPr>
            </w:pPr>
            <w:r>
              <w:rPr>
                <w:rFonts w:ascii="Arial" w:cs="Arial" w:eastAsia="Arial" w:hAnsi="Arial"/>
                <w:sz w:val="3"/>
                <w:szCs w:val="3"/>
                <w:color w:val="FFFFFF"/>
              </w:rPr>
              <w:t>ates as traditional models.5 Furthermore, improvements to our AI models have increased throughput of our borrower funnel by a factor of 10 since we began more than eight years ago, driving long-term</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reductions in acquisition cost and improvements to our unit economics. These improvements led to our first profitable quarter in Q4 2019 (and  net loss of $466,000 for the full-year 2019).</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What ab ut those ugly recessions? Lenders would do well to put away their crystal balls and instead focus on predicting which borrowers will pay them back in any environment. While the probability of</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default for a borrower may vary by as much as 2X6 depending on the state of the economy, our experience suggests that risk associated with two borrowers with similar credit scores can vary by at least</w:t>
            </w:r>
          </w:p>
        </w:tc>
      </w:tr>
      <w:tr>
        <w:trPr>
          <w:trHeight w:val="68"/>
        </w:trPr>
        <w:tc>
          <w:tcPr>
            <w:tcW w:w="320" w:type="dxa"/>
            <w:vAlign w:val="bottom"/>
            <w:gridSpan w:val="2"/>
          </w:tcPr>
          <w:p>
            <w:pPr>
              <w:spacing w:after="0" w:line="68" w:lineRule="exact"/>
              <w:rPr>
                <w:sz w:val="20"/>
                <w:szCs w:val="20"/>
                <w:color w:val="auto"/>
              </w:rPr>
            </w:pPr>
            <w:r>
              <w:rPr>
                <w:rFonts w:ascii="Arial" w:cs="Arial" w:eastAsia="Arial" w:hAnsi="Arial"/>
                <w:sz w:val="7"/>
                <w:szCs w:val="7"/>
                <w:color w:val="FFFFFF"/>
              </w:rPr>
              <w:t>10X.7</w:t>
            </w:r>
          </w:p>
        </w:tc>
        <w:tc>
          <w:tcPr>
            <w:tcW w:w="5900" w:type="dxa"/>
            <w:vAlign w:val="bottom"/>
            <w:gridSpan w:val="4"/>
          </w:tcPr>
          <w:p>
            <w:pPr>
              <w:ind w:left="300"/>
              <w:spacing w:after="0" w:line="68" w:lineRule="exact"/>
              <w:rPr>
                <w:sz w:val="20"/>
                <w:szCs w:val="20"/>
                <w:color w:val="auto"/>
              </w:rPr>
            </w:pPr>
            <w:r>
              <w:rPr>
                <w:rFonts w:ascii="Arial" w:cs="Arial" w:eastAsia="Arial" w:hAnsi="Arial"/>
                <w:sz w:val="7"/>
                <w:szCs w:val="7"/>
                <w:color w:val="FFFFFF"/>
              </w:rPr>
              <w:t>with an AI-based system, banks can lend responsibly in any environment, with a system that responds quickly and</w:t>
            </w:r>
          </w:p>
        </w:tc>
        <w:tc>
          <w:tcPr>
            <w:tcW w:w="2960" w:type="dxa"/>
            <w:vAlign w:val="bottom"/>
            <w:gridSpan w:val="2"/>
          </w:tcPr>
          <w:p>
            <w:pPr>
              <w:ind w:left="160"/>
              <w:spacing w:after="0" w:line="68" w:lineRule="exact"/>
              <w:rPr>
                <w:sz w:val="20"/>
                <w:szCs w:val="20"/>
                <w:color w:val="auto"/>
              </w:rPr>
            </w:pPr>
            <w:r>
              <w:rPr>
                <w:rFonts w:ascii="Arial" w:cs="Arial" w:eastAsia="Arial" w:hAnsi="Arial"/>
                <w:sz w:val="7"/>
                <w:szCs w:val="7"/>
                <w:color w:val="FFFFFF"/>
              </w:rPr>
              <w:t>to changes in employment levels and economic output. This</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Furthermore,isn’justtheory: during the employment shock of the recent COVID-19 pandemic, unemployment increased from about 4% to 14%intelligentlyjusta few weeks. While this led to a temporary decrease in loan</w:t>
            </w:r>
          </w:p>
        </w:tc>
      </w:tr>
      <w:tr>
        <w:trPr>
          <w:trHeight w:val="34"/>
        </w:trPr>
        <w:tc>
          <w:tcPr>
            <w:tcW w:w="1280" w:type="dxa"/>
            <w:vAlign w:val="bottom"/>
            <w:gridSpan w:val="3"/>
          </w:tcPr>
          <w:p>
            <w:pPr>
              <w:spacing w:after="0"/>
              <w:rPr>
                <w:sz w:val="20"/>
                <w:szCs w:val="20"/>
                <w:color w:val="auto"/>
              </w:rPr>
            </w:pPr>
            <w:r>
              <w:rPr>
                <w:rFonts w:ascii="Arial" w:cs="Arial" w:eastAsia="Arial" w:hAnsi="Arial"/>
                <w:sz w:val="3"/>
                <w:szCs w:val="3"/>
                <w:color w:val="FFFFFF"/>
              </w:rPr>
              <w:t>originations and in the</w:t>
            </w:r>
          </w:p>
        </w:tc>
        <w:tc>
          <w:tcPr>
            <w:tcW w:w="7900" w:type="dxa"/>
            <w:vAlign w:val="bottom"/>
            <w:gridSpan w:val="5"/>
          </w:tcPr>
          <w:p>
            <w:pPr>
              <w:ind w:left="300"/>
              <w:spacing w:after="0"/>
              <w:rPr>
                <w:sz w:val="20"/>
                <w:szCs w:val="20"/>
                <w:color w:val="auto"/>
              </w:rPr>
            </w:pPr>
            <w:r>
              <w:rPr>
                <w:rFonts w:ascii="Arial" w:cs="Arial" w:eastAsia="Arial" w:hAnsi="Arial"/>
                <w:sz w:val="3"/>
                <w:szCs w:val="3"/>
                <w:color w:val="FFFFFF"/>
              </w:rPr>
              <w:t>of loan funding as well as a potential for increased losses, Upstart partner banks experienced immaterial impact to the performance of their loans.8</w:t>
            </w:r>
          </w:p>
        </w:tc>
      </w:tr>
      <w:tr>
        <w:trPr>
          <w:trHeight w:val="34"/>
        </w:trPr>
        <w:tc>
          <w:tcPr>
            <w:tcW w:w="80" w:type="dxa"/>
            <w:vAlign w:val="bottom"/>
          </w:tcPr>
          <w:p>
            <w:pPr>
              <w:spacing w:after="0"/>
              <w:rPr>
                <w:sz w:val="20"/>
                <w:szCs w:val="20"/>
                <w:color w:val="auto"/>
              </w:rPr>
            </w:pPr>
            <w:r>
              <w:rPr>
                <w:rFonts w:ascii="Arial" w:cs="Arial" w:eastAsia="Arial" w:hAnsi="Arial"/>
                <w:sz w:val="3"/>
                <w:szCs w:val="3"/>
                <w:color w:val="FFFFFF"/>
              </w:rPr>
              <w:t>4</w:t>
            </w:r>
          </w:p>
        </w:tc>
        <w:tc>
          <w:tcPr>
            <w:tcW w:w="240" w:type="dxa"/>
            <w:vAlign w:val="bottom"/>
          </w:tcPr>
          <w:p>
            <w:pPr>
              <w:spacing w:after="0"/>
              <w:rPr>
                <w:sz w:val="2"/>
                <w:szCs w:val="2"/>
                <w:color w:val="auto"/>
              </w:rPr>
            </w:pPr>
          </w:p>
        </w:tc>
        <w:tc>
          <w:tcPr>
            <w:tcW w:w="5900" w:type="dxa"/>
            <w:vAlign w:val="bottom"/>
            <w:gridSpan w:val="4"/>
          </w:tcPr>
          <w:p>
            <w:pPr>
              <w:ind w:left="380"/>
              <w:spacing w:after="0"/>
              <w:rPr>
                <w:sz w:val="20"/>
                <w:szCs w:val="20"/>
                <w:color w:val="auto"/>
              </w:rPr>
            </w:pPr>
            <w:r>
              <w:rPr>
                <w:rFonts w:ascii="Arial" w:cs="Arial" w:eastAsia="Arial" w:hAnsi="Arial"/>
                <w:sz w:val="3"/>
                <w:szCs w:val="3"/>
                <w:color w:val="FFFFFF"/>
              </w:rPr>
              <w:t>data is definedavailabilityas combination of payment events and model input variables.</w:t>
            </w: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7"/>
        </w:trPr>
        <w:tc>
          <w:tcPr>
            <w:tcW w:w="9180" w:type="dxa"/>
            <w:vAlign w:val="bottom"/>
            <w:gridSpan w:val="8"/>
          </w:tcPr>
          <w:p>
            <w:pPr>
              <w:spacing w:after="0"/>
              <w:rPr>
                <w:sz w:val="20"/>
                <w:szCs w:val="20"/>
                <w:color w:val="auto"/>
              </w:rPr>
            </w:pPr>
            <w:r>
              <w:rPr>
                <w:rFonts w:ascii="Arial" w:cs="Arial" w:eastAsia="Arial" w:hAnsi="Arial"/>
                <w:sz w:val="1"/>
                <w:szCs w:val="1"/>
                <w:color w:val="FFFFFF"/>
              </w:rPr>
              <w:t>2017.PerformanceTcompare the hypothetical approval rates between Upstart’s model and each of the replicated bank models, Upstart held loss rates constant at the rate called for by each bank’s respective</w:t>
            </w:r>
          </w:p>
        </w:tc>
      </w:tr>
      <w:tr>
        <w:trPr>
          <w:trHeight w:val="17"/>
        </w:trPr>
        <w:tc>
          <w:tcPr>
            <w:tcW w:w="80" w:type="dxa"/>
            <w:vAlign w:val="bottom"/>
          </w:tcPr>
          <w:p>
            <w:pPr>
              <w:spacing w:after="0"/>
              <w:rPr>
                <w:sz w:val="20"/>
                <w:szCs w:val="20"/>
                <w:color w:val="auto"/>
              </w:rPr>
            </w:pPr>
            <w:r>
              <w:rPr>
                <w:rFonts w:ascii="Arial" w:cs="Arial" w:eastAsia="Arial" w:hAnsi="Arial"/>
                <w:sz w:val="1"/>
                <w:szCs w:val="1"/>
                <w:color w:val="FFFFFF"/>
              </w:rPr>
              <w:t>5</w:t>
            </w:r>
          </w:p>
        </w:tc>
        <w:tc>
          <w:tcPr>
            <w:tcW w:w="240" w:type="dxa"/>
            <w:vAlign w:val="bottom"/>
          </w:tcPr>
          <w:p>
            <w:pPr>
              <w:ind w:left="20"/>
              <w:spacing w:after="0"/>
              <w:rPr>
                <w:sz w:val="20"/>
                <w:szCs w:val="20"/>
                <w:color w:val="auto"/>
              </w:rPr>
            </w:pPr>
            <w:r>
              <w:rPr>
                <w:rFonts w:ascii="Arial" w:cs="Arial" w:eastAsia="Arial" w:hAnsi="Arial"/>
                <w:sz w:val="1"/>
                <w:szCs w:val="1"/>
                <w:color w:val="FFFFFF"/>
              </w:rPr>
              <w:t>In</w:t>
            </w:r>
          </w:p>
        </w:tc>
        <w:tc>
          <w:tcPr>
            <w:tcW w:w="8860" w:type="dxa"/>
            <w:vAlign w:val="bottom"/>
            <w:gridSpan w:val="6"/>
          </w:tcPr>
          <w:p>
            <w:pPr>
              <w:ind w:left="20"/>
              <w:spacing w:after="0"/>
              <w:rPr>
                <w:sz w:val="20"/>
                <w:szCs w:val="20"/>
                <w:color w:val="auto"/>
              </w:rPr>
            </w:pPr>
            <w:r>
              <w:rPr>
                <w:rFonts w:ascii="Arial" w:cs="Arial" w:eastAsia="Arial" w:hAnsi="Arial"/>
                <w:sz w:val="1"/>
                <w:szCs w:val="1"/>
                <w:color w:val="FFFFFF"/>
              </w:rPr>
              <w:t>internal study, Upstart replicated three bank models using their respective underwriting policies and evaluated their hypothetical loss rates and approval rates using Upstart’s applicant base in late</w:t>
            </w:r>
          </w:p>
        </w:tc>
      </w:tr>
      <w:tr>
        <w:trPr>
          <w:trHeight w:val="68"/>
        </w:trPr>
        <w:tc>
          <w:tcPr>
            <w:tcW w:w="9180" w:type="dxa"/>
            <w:vAlign w:val="bottom"/>
            <w:gridSpan w:val="8"/>
          </w:tcPr>
          <w:p>
            <w:pPr>
              <w:spacing w:after="0" w:line="68" w:lineRule="exact"/>
              <w:rPr>
                <w:sz w:val="20"/>
                <w:szCs w:val="20"/>
                <w:color w:val="auto"/>
              </w:rPr>
            </w:pPr>
            <w:r>
              <w:rPr>
                <w:rFonts w:ascii="Arial" w:cs="Arial" w:eastAsia="Arial" w:hAnsi="Arial"/>
                <w:sz w:val="7"/>
                <w:szCs w:val="7"/>
                <w:color w:val="FFFFFF"/>
              </w:rPr>
              <w:t>underwriting policy. Such result represents the average rate of improvement exhibited by Upstart’s platform against each of the three respective bank models.</w:t>
            </w:r>
          </w:p>
        </w:tc>
      </w:tr>
      <w:tr>
        <w:trPr>
          <w:trHeight w:val="34"/>
        </w:trPr>
        <w:tc>
          <w:tcPr>
            <w:tcW w:w="80" w:type="dxa"/>
            <w:vAlign w:val="bottom"/>
          </w:tcPr>
          <w:p>
            <w:pPr>
              <w:spacing w:after="0"/>
              <w:rPr>
                <w:sz w:val="20"/>
                <w:szCs w:val="20"/>
                <w:color w:val="auto"/>
              </w:rPr>
            </w:pPr>
            <w:r>
              <w:rPr>
                <w:rFonts w:ascii="Arial" w:cs="Arial" w:eastAsia="Arial" w:hAnsi="Arial"/>
                <w:sz w:val="3"/>
                <w:szCs w:val="3"/>
                <w:color w:val="FFFFFF"/>
              </w:rPr>
              <w:t>6</w:t>
            </w:r>
          </w:p>
        </w:tc>
        <w:tc>
          <w:tcPr>
            <w:tcW w:w="1720" w:type="dxa"/>
            <w:vAlign w:val="bottom"/>
            <w:gridSpan w:val="3"/>
          </w:tcPr>
          <w:p>
            <w:pPr>
              <w:ind w:left="20"/>
              <w:spacing w:after="0"/>
              <w:rPr>
                <w:sz w:val="20"/>
                <w:szCs w:val="20"/>
                <w:color w:val="auto"/>
              </w:rPr>
            </w:pPr>
            <w:r>
              <w:rPr>
                <w:rFonts w:ascii="Arial" w:cs="Arial" w:eastAsia="Arial" w:hAnsi="Arial"/>
                <w:sz w:val="3"/>
                <w:szCs w:val="3"/>
                <w:color w:val="FFFFFF"/>
              </w:rPr>
              <w:t>Based on a comparison of loss rates</w:t>
            </w:r>
          </w:p>
        </w:tc>
        <w:tc>
          <w:tcPr>
            <w:tcW w:w="7380" w:type="dxa"/>
            <w:vAlign w:val="bottom"/>
            <w:gridSpan w:val="4"/>
          </w:tcPr>
          <w:p>
            <w:pPr>
              <w:ind w:left="80"/>
              <w:spacing w:after="0"/>
              <w:rPr>
                <w:sz w:val="20"/>
                <w:szCs w:val="20"/>
                <w:color w:val="auto"/>
              </w:rPr>
            </w:pPr>
            <w:r>
              <w:rPr>
                <w:rFonts w:ascii="Arial" w:cs="Arial" w:eastAsia="Arial" w:hAnsi="Arial"/>
                <w:sz w:val="3"/>
                <w:szCs w:val="3"/>
                <w:color w:val="FFFFFF"/>
              </w:rPr>
              <w:t>60 day past due credit card accounts from 2004-2006 and 2009 using data obtained from Canals-Cerda and Kerr, Working Paper No. 15-08 Credit Risk Modeling</w:t>
            </w:r>
          </w:p>
        </w:tc>
      </w:tr>
      <w:tr>
        <w:trPr>
          <w:trHeight w:val="34"/>
        </w:trPr>
        <w:tc>
          <w:tcPr>
            <w:tcW w:w="6220" w:type="dxa"/>
            <w:vAlign w:val="bottom"/>
            <w:gridSpan w:val="6"/>
          </w:tcPr>
          <w:p>
            <w:pPr>
              <w:spacing w:after="0"/>
              <w:rPr>
                <w:sz w:val="20"/>
                <w:szCs w:val="20"/>
                <w:color w:val="auto"/>
              </w:rPr>
            </w:pPr>
            <w:r>
              <w:rPr>
                <w:rFonts w:ascii="Arial" w:cs="Arial" w:eastAsia="Arial" w:hAnsi="Arial"/>
                <w:sz w:val="3"/>
                <w:szCs w:val="3"/>
                <w:color w:val="FFFFFF"/>
              </w:rPr>
              <w:t>in Segmented Portfolios: An Application to Credit Cards, Federal Reserve Bank of Philadelphia, February 2015.</w:t>
            </w: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34"/>
        </w:trPr>
        <w:tc>
          <w:tcPr>
            <w:tcW w:w="80" w:type="dxa"/>
            <w:vAlign w:val="bottom"/>
          </w:tcPr>
          <w:p>
            <w:pPr>
              <w:spacing w:after="0"/>
              <w:rPr>
                <w:sz w:val="20"/>
                <w:szCs w:val="20"/>
                <w:color w:val="auto"/>
              </w:rPr>
            </w:pPr>
            <w:r>
              <w:rPr>
                <w:rFonts w:ascii="Arial" w:cs="Arial" w:eastAsia="Arial" w:hAnsi="Arial"/>
                <w:sz w:val="3"/>
                <w:szCs w:val="3"/>
                <w:color w:val="FFFFFF"/>
              </w:rPr>
              <w:t>7</w:t>
            </w:r>
          </w:p>
        </w:tc>
        <w:tc>
          <w:tcPr>
            <w:tcW w:w="9100" w:type="dxa"/>
            <w:vAlign w:val="bottom"/>
            <w:gridSpan w:val="7"/>
          </w:tcPr>
          <w:p>
            <w:pPr>
              <w:ind w:left="20"/>
              <w:spacing w:after="0"/>
              <w:rPr>
                <w:sz w:val="20"/>
                <w:szCs w:val="20"/>
                <w:color w:val="auto"/>
              </w:rPr>
            </w:pPr>
            <w:r>
              <w:rPr>
                <w:rFonts w:ascii="Arial" w:cs="Arial" w:eastAsia="Arial" w:hAnsi="Arial"/>
                <w:sz w:val="3"/>
                <w:szCs w:val="3"/>
                <w:color w:val="FFFFFF"/>
              </w:rPr>
              <w:t>Based on an internal Upstart study conducted in June 2020 comparing annualized loss rates of all Upstart-powered loans originated in 2018 by segments based on the borrower’s FICO credit score and</w:t>
            </w:r>
          </w:p>
        </w:tc>
      </w:tr>
      <w:tr>
        <w:trPr>
          <w:trHeight w:val="34"/>
        </w:trPr>
        <w:tc>
          <w:tcPr>
            <w:tcW w:w="1280" w:type="dxa"/>
            <w:vAlign w:val="bottom"/>
            <w:gridSpan w:val="3"/>
          </w:tcPr>
          <w:p>
            <w:pPr>
              <w:spacing w:after="0"/>
              <w:rPr>
                <w:sz w:val="20"/>
                <w:szCs w:val="20"/>
                <w:color w:val="auto"/>
              </w:rPr>
            </w:pPr>
            <w:r>
              <w:rPr>
                <w:rFonts w:ascii="Arial" w:cs="Arial" w:eastAsia="Arial" w:hAnsi="Arial"/>
                <w:sz w:val="3"/>
                <w:szCs w:val="3"/>
                <w:color w:val="FFFFFF"/>
              </w:rPr>
              <w:t>the risk tier assigned by</w:t>
            </w:r>
          </w:p>
        </w:tc>
        <w:tc>
          <w:tcPr>
            <w:tcW w:w="1640" w:type="dxa"/>
            <w:vAlign w:val="bottom"/>
            <w:gridSpan w:val="2"/>
          </w:tcPr>
          <w:p>
            <w:pPr>
              <w:ind w:left="180"/>
              <w:spacing w:after="0"/>
              <w:rPr>
                <w:sz w:val="20"/>
                <w:szCs w:val="20"/>
                <w:color w:val="auto"/>
              </w:rPr>
            </w:pPr>
            <w:r>
              <w:rPr>
                <w:rFonts w:ascii="Arial" w:cs="Arial" w:eastAsia="Arial" w:hAnsi="Arial"/>
                <w:sz w:val="3"/>
                <w:szCs w:val="3"/>
                <w:color w:val="FFFFFF"/>
              </w:rPr>
              <w:t>at origination.</w:t>
            </w:r>
          </w:p>
        </w:tc>
        <w:tc>
          <w:tcPr>
            <w:tcW w:w="3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78"/>
        </w:trPr>
        <w:tc>
          <w:tcPr>
            <w:tcW w:w="80" w:type="dxa"/>
            <w:vAlign w:val="bottom"/>
          </w:tcPr>
          <w:p>
            <w:pPr>
              <w:spacing w:after="0"/>
              <w:rPr>
                <w:sz w:val="20"/>
                <w:szCs w:val="20"/>
                <w:color w:val="auto"/>
              </w:rPr>
            </w:pPr>
            <w:r>
              <w:rPr>
                <w:rFonts w:ascii="Arial" w:cs="Arial" w:eastAsia="Arial" w:hAnsi="Arial"/>
                <w:sz w:val="11"/>
                <w:szCs w:val="11"/>
                <w:color w:val="FFFFFF"/>
                <w:w w:val="97"/>
              </w:rPr>
              <w:t>8</w:t>
            </w:r>
          </w:p>
        </w:tc>
        <w:tc>
          <w:tcPr>
            <w:tcW w:w="6140" w:type="dxa"/>
            <w:vAlign w:val="bottom"/>
            <w:gridSpan w:val="5"/>
          </w:tcPr>
          <w:p>
            <w:pPr>
              <w:ind w:left="20"/>
              <w:spacing w:after="0"/>
              <w:rPr>
                <w:sz w:val="20"/>
                <w:szCs w:val="20"/>
                <w:color w:val="auto"/>
              </w:rPr>
            </w:pPr>
            <w:r>
              <w:rPr>
                <w:rFonts w:ascii="Arial" w:cs="Arial" w:eastAsia="Arial" w:hAnsi="Arial"/>
                <w:sz w:val="11"/>
                <w:szCs w:val="11"/>
                <w:color w:val="FFFFFF"/>
                <w:w w:val="92"/>
              </w:rPr>
              <w:t>Bureau of Labor Statistics,Upstart.S. Department of Labor, News Release: The Employment Situation - August 2020, September 2020.</w:t>
            </w:r>
          </w:p>
        </w:tc>
        <w:tc>
          <w:tcPr>
            <w:tcW w:w="580" w:type="dxa"/>
            <w:vAlign w:val="bottom"/>
          </w:tcPr>
          <w:p>
            <w:pPr>
              <w:spacing w:after="0"/>
              <w:rPr>
                <w:sz w:val="15"/>
                <w:szCs w:val="15"/>
                <w:color w:val="auto"/>
              </w:rPr>
            </w:pPr>
          </w:p>
        </w:tc>
        <w:tc>
          <w:tcPr>
            <w:tcW w:w="2380" w:type="dxa"/>
            <w:vAlign w:val="bottom"/>
          </w:tcPr>
          <w:p>
            <w:pPr>
              <w:spacing w:after="0"/>
              <w:rPr>
                <w:sz w:val="15"/>
                <w:szCs w:val="15"/>
                <w:color w:val="auto"/>
              </w:rPr>
            </w:pPr>
          </w:p>
        </w:tc>
      </w:tr>
    </w:tbl>
    <w:p>
      <w:pPr>
        <w:sectPr>
          <w:pgSz w:w="11900" w:h="16838" w:orient="portrait"/>
          <w:cols w:equalWidth="0" w:num="1">
            <w:col w:w="10200"/>
          </w:cols>
          <w:pgMar w:left="320" w:top="407" w:right="137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9160" w:type="dxa"/>
            <w:vAlign w:val="bottom"/>
            <w:gridSpan w:val="5"/>
          </w:tcPr>
          <w:p>
            <w:pPr>
              <w:spacing w:after="0"/>
              <w:rPr>
                <w:sz w:val="20"/>
                <w:szCs w:val="20"/>
                <w:color w:val="auto"/>
              </w:rPr>
            </w:pPr>
            <w:r>
              <w:rPr>
                <w:rFonts w:ascii="Arial" w:cs="Arial" w:eastAsia="Arial" w:hAnsi="Arial"/>
                <w:sz w:val="11"/>
                <w:szCs w:val="11"/>
                <w:color w:val="FFFFFF"/>
                <w:w w:val="95"/>
              </w:rPr>
              <w:t>W don’t expect every future cycle to behave the same in terms of government stimulus and consumer dynamics. And while our model has not yet been extensively tested in  down-cycle economy or</w:t>
            </w:r>
          </w:p>
        </w:tc>
        <w:tc>
          <w:tcPr>
            <w:tcW w:w="0" w:type="dxa"/>
            <w:vAlign w:val="bottom"/>
          </w:tcPr>
          <w:p>
            <w:pPr>
              <w:spacing w:after="0"/>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recession without significant government assistance, we do expect the relative strengths of AI demonstrated during this cycle to persist. Nevertheless, it will take time for banks and capital markets to</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develop confidence necessary to continue lending through cycles, as evidenced by the fact that the COVID-19 pandemic led to a significant but temporary reduction in bank lending and loan funding on</w:t>
            </w:r>
          </w:p>
        </w:tc>
        <w:tc>
          <w:tcPr>
            <w:tcW w:w="0" w:type="dxa"/>
            <w:vAlign w:val="bottom"/>
          </w:tcPr>
          <w:p>
            <w:pPr>
              <w:spacing w:after="0" w:line="20" w:lineRule="exact"/>
              <w:rPr>
                <w:sz w:val="1"/>
                <w:szCs w:val="1"/>
                <w:color w:val="auto"/>
              </w:rPr>
            </w:pPr>
          </w:p>
        </w:tc>
      </w:tr>
      <w:tr>
        <w:trPr>
          <w:trHeight w:val="34"/>
        </w:trPr>
        <w:tc>
          <w:tcPr>
            <w:tcW w:w="1280" w:type="dxa"/>
            <w:vAlign w:val="bottom"/>
          </w:tcPr>
          <w:p>
            <w:pPr>
              <w:spacing w:after="0"/>
              <w:rPr>
                <w:sz w:val="20"/>
                <w:szCs w:val="20"/>
                <w:color w:val="auto"/>
              </w:rPr>
            </w:pPr>
            <w:r>
              <w:rPr>
                <w:rFonts w:ascii="Arial" w:cs="Arial" w:eastAsia="Arial" w:hAnsi="Arial"/>
                <w:sz w:val="3"/>
                <w:szCs w:val="3"/>
                <w:color w:val="FFFFFF"/>
              </w:rPr>
              <w:t>our platform.</w:t>
            </w: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While we expect AI to disrupt virtually all forms of credit globally Upstart is focused today on the US consumer market (and on personal loans in particular). There were more than $4.2 trillion in credit</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outstanding in December 2019 across mortgages, HELOCs, auto loans, credit cards, personal loans, and student loans - and virtually all could have been improved with AI.9</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In June 2020, we announced the expansion of our AI platform into auto lending, and the first Upstart-powered auto loan was originated in September 2020. The auto lending market is both large - at least</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five times the size of the personal loan market - and inefficient, with millions of borrowers paying interest rates that don’t reflect their true risk. 10 This is an ideal next opportunity for Upstart.</w:t>
            </w:r>
          </w:p>
        </w:tc>
        <w:tc>
          <w:tcPr>
            <w:tcW w:w="0" w:type="dxa"/>
            <w:vAlign w:val="bottom"/>
          </w:tcPr>
          <w:p>
            <w:pPr>
              <w:spacing w:after="0" w:line="20" w:lineRule="exact"/>
              <w:rPr>
                <w:sz w:val="1"/>
                <w:szCs w:val="1"/>
                <w:color w:val="auto"/>
              </w:rPr>
            </w:pPr>
          </w:p>
        </w:tc>
      </w:tr>
      <w:tr>
        <w:trPr>
          <w:trHeight w:val="34"/>
        </w:trPr>
        <w:tc>
          <w:tcPr>
            <w:tcW w:w="1280" w:type="dxa"/>
            <w:vAlign w:val="bottom"/>
          </w:tcPr>
          <w:p>
            <w:pPr>
              <w:spacing w:after="0"/>
              <w:rPr>
                <w:sz w:val="20"/>
                <w:szCs w:val="20"/>
                <w:color w:val="auto"/>
              </w:rPr>
            </w:pPr>
            <w:r>
              <w:rPr>
                <w:rFonts w:ascii="Arial" w:cs="Arial" w:eastAsia="Arial" w:hAnsi="Arial"/>
                <w:sz w:val="3"/>
                <w:szCs w:val="3"/>
                <w:color w:val="FFFFFF"/>
              </w:rPr>
              <w:t>Why now, why Upstart?</w:t>
            </w: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380" w:type="dxa"/>
            <w:vAlign w:val="bottom"/>
            <w:gridSpan w:val="2"/>
            <w:vMerge w:val="restart"/>
          </w:tcPr>
          <w:p>
            <w:pPr>
              <w:ind w:left="60"/>
              <w:spacing w:after="0" w:line="68" w:lineRule="exact"/>
              <w:rPr>
                <w:sz w:val="20"/>
                <w:szCs w:val="20"/>
                <w:color w:val="auto"/>
              </w:rPr>
            </w:pPr>
            <w:r>
              <w:rPr>
                <w:rFonts w:ascii="Arial" w:cs="Arial" w:eastAsia="Arial" w:hAnsi="Arial"/>
                <w:sz w:val="7"/>
                <w:szCs w:val="7"/>
                <w:color w:val="FFFFFF"/>
              </w:rPr>
              <w:t>“better mousetrap” in credit only to fail the test of time. 11 So it’s fair to ask what’ changed and why now is the time for AI lending.</w:t>
            </w:r>
          </w:p>
        </w:tc>
        <w:tc>
          <w:tcPr>
            <w:tcW w:w="0" w:type="dxa"/>
            <w:vAlign w:val="bottom"/>
          </w:tcPr>
          <w:p>
            <w:pPr>
              <w:spacing w:after="0" w:line="20" w:lineRule="exact"/>
              <w:rPr>
                <w:sz w:val="1"/>
                <w:szCs w:val="1"/>
                <w:color w:val="auto"/>
              </w:rPr>
            </w:pPr>
          </w:p>
        </w:tc>
      </w:tr>
      <w:tr>
        <w:trPr>
          <w:trHeight w:val="34"/>
        </w:trPr>
        <w:tc>
          <w:tcPr>
            <w:tcW w:w="2780" w:type="dxa"/>
            <w:vAlign w:val="bottom"/>
            <w:gridSpan w:val="3"/>
          </w:tcPr>
          <w:p>
            <w:pPr>
              <w:spacing w:after="0"/>
              <w:rPr>
                <w:sz w:val="20"/>
                <w:szCs w:val="20"/>
                <w:color w:val="auto"/>
              </w:rPr>
            </w:pPr>
            <w:r>
              <w:rPr>
                <w:rFonts w:ascii="Arial" w:cs="Arial" w:eastAsia="Arial" w:hAnsi="Arial"/>
                <w:sz w:val="3"/>
                <w:szCs w:val="3"/>
                <w:color w:val="FFFFFF"/>
              </w:rPr>
              <w:t>History is littered with compan es who claimed to have built</w:t>
            </w:r>
          </w:p>
        </w:tc>
        <w:tc>
          <w:tcPr>
            <w:tcW w:w="63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First, the building blocks for this transformation came into place only in the last decade or so. The science underpinning AI has gone from research labs to mainstream in just a few years. And cloud</w:t>
            </w:r>
          </w:p>
        </w:tc>
        <w:tc>
          <w:tcPr>
            <w:tcW w:w="0" w:type="dxa"/>
            <w:vAlign w:val="bottom"/>
          </w:tcPr>
          <w:p>
            <w:pPr>
              <w:spacing w:after="0" w:line="20" w:lineRule="exact"/>
              <w:rPr>
                <w:sz w:val="1"/>
                <w:szCs w:val="1"/>
                <w:color w:val="auto"/>
              </w:rPr>
            </w:pPr>
          </w:p>
        </w:tc>
      </w:tr>
      <w:tr>
        <w:trPr>
          <w:trHeight w:val="34"/>
        </w:trPr>
        <w:tc>
          <w:tcPr>
            <w:tcW w:w="4440" w:type="dxa"/>
            <w:vAlign w:val="bottom"/>
            <w:gridSpan w:val="4"/>
          </w:tcPr>
          <w:p>
            <w:pPr>
              <w:spacing w:after="0"/>
              <w:rPr>
                <w:sz w:val="20"/>
                <w:szCs w:val="20"/>
                <w:color w:val="auto"/>
              </w:rPr>
            </w:pPr>
            <w:r>
              <w:rPr>
                <w:rFonts w:ascii="Arial" w:cs="Arial" w:eastAsia="Arial" w:hAnsi="Arial"/>
                <w:sz w:val="3"/>
                <w:szCs w:val="3"/>
                <w:color w:val="FFFFFF"/>
              </w:rPr>
              <w:t>computing has unlocked the ability to apply the enormous power of computation required by AI</w:t>
            </w:r>
          </w:p>
        </w:tc>
        <w:tc>
          <w:tcPr>
            <w:tcW w:w="4720" w:type="dxa"/>
            <w:vAlign w:val="bottom"/>
          </w:tcPr>
          <w:p>
            <w:pPr>
              <w:ind w:left="120"/>
              <w:spacing w:after="0"/>
              <w:rPr>
                <w:sz w:val="20"/>
                <w:szCs w:val="20"/>
                <w:color w:val="auto"/>
              </w:rPr>
            </w:pPr>
            <w:r>
              <w:rPr>
                <w:rFonts w:ascii="Arial" w:cs="Arial" w:eastAsia="Arial" w:hAnsi="Arial"/>
                <w:sz w:val="3"/>
                <w:szCs w:val="3"/>
                <w:color w:val="FFFFFF"/>
              </w:rPr>
              <w:t>single credit decision in just  few seconds.</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Second, change is hard, and change at the core of credit is really hard. The data science, the regulatory hurdles, the financial risk-add these up and it’s no secret why the pre-eminent lending institutions in</w:t>
            </w:r>
          </w:p>
        </w:tc>
        <w:tc>
          <w:tcPr>
            <w:tcW w:w="0" w:type="dxa"/>
            <w:vAlign w:val="bottom"/>
          </w:tcPr>
          <w:p>
            <w:pPr>
              <w:spacing w:after="0" w:line="20" w:lineRule="exact"/>
              <w:rPr>
                <w:sz w:val="1"/>
                <w:szCs w:val="1"/>
                <w:color w:val="auto"/>
              </w:rPr>
            </w:pPr>
          </w:p>
        </w:tc>
      </w:tr>
      <w:tr>
        <w:trPr>
          <w:trHeight w:val="34"/>
        </w:trPr>
        <w:tc>
          <w:tcPr>
            <w:tcW w:w="2780" w:type="dxa"/>
            <w:vAlign w:val="bottom"/>
            <w:gridSpan w:val="3"/>
          </w:tcPr>
          <w:p>
            <w:pPr>
              <w:spacing w:after="0"/>
              <w:rPr>
                <w:sz w:val="20"/>
                <w:szCs w:val="20"/>
                <w:color w:val="auto"/>
              </w:rPr>
            </w:pPr>
            <w:r>
              <w:rPr>
                <w:rFonts w:ascii="Arial" w:cs="Arial" w:eastAsia="Arial" w:hAnsi="Arial"/>
                <w:sz w:val="3"/>
                <w:szCs w:val="3"/>
                <w:color w:val="FFFFFF"/>
              </w:rPr>
              <w:t>the US (banks) have yet to take on the challenge of building</w:t>
            </w:r>
          </w:p>
        </w:tc>
        <w:tc>
          <w:tcPr>
            <w:tcW w:w="1660" w:type="dxa"/>
            <w:vAlign w:val="bottom"/>
          </w:tcPr>
          <w:p>
            <w:pPr>
              <w:ind w:left="100"/>
              <w:spacing w:after="0"/>
              <w:rPr>
                <w:sz w:val="20"/>
                <w:szCs w:val="20"/>
                <w:color w:val="auto"/>
              </w:rPr>
            </w:pPr>
            <w:r>
              <w:rPr>
                <w:rFonts w:ascii="Arial" w:cs="Arial" w:eastAsia="Arial" w:hAnsi="Arial"/>
                <w:sz w:val="3"/>
                <w:szCs w:val="3"/>
                <w:color w:val="FFFFFF"/>
              </w:rPr>
              <w:t>AI model.</w:t>
            </w:r>
          </w:p>
        </w:tc>
        <w:tc>
          <w:tcPr>
            <w:tcW w:w="4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At Upstart, we built the right team to take on this challenge and paired it with the right mission to inspire us. Every single day, we focus maniacally on helping our bank partners approve more borrowers</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ind w:left="120"/>
              <w:spacing w:after="0"/>
              <w:rPr>
                <w:sz w:val="20"/>
                <w:szCs w:val="20"/>
                <w:color w:val="auto"/>
              </w:rPr>
            </w:pPr>
            <w:r>
              <w:rPr>
                <w:rFonts w:ascii="Arial" w:cs="Arial" w:eastAsia="Arial" w:hAnsi="Arial"/>
                <w:sz w:val="3"/>
                <w:szCs w:val="3"/>
                <w:color w:val="FFFFFF"/>
              </w:rPr>
              <w:t>lower rates while eliminating every bit of friction associated with the process. With our eight-year head start, we believe our AI lending platform is well-positioned to help power one of the largest</w:t>
            </w:r>
          </w:p>
        </w:tc>
        <w:tc>
          <w:tcPr>
            <w:tcW w:w="0" w:type="dxa"/>
            <w:vAlign w:val="bottom"/>
          </w:tcPr>
          <w:p>
            <w:pPr>
              <w:spacing w:after="0" w:line="20" w:lineRule="exact"/>
              <w:rPr>
                <w:sz w:val="1"/>
                <w:szCs w:val="1"/>
                <w:color w:val="auto"/>
              </w:rPr>
            </w:pPr>
          </w:p>
        </w:tc>
      </w:tr>
      <w:tr>
        <w:trPr>
          <w:trHeight w:val="34"/>
        </w:trPr>
        <w:tc>
          <w:tcPr>
            <w:tcW w:w="2780" w:type="dxa"/>
            <w:vAlign w:val="bottom"/>
            <w:gridSpan w:val="3"/>
          </w:tcPr>
          <w:p>
            <w:pPr>
              <w:spacing w:after="0"/>
              <w:rPr>
                <w:sz w:val="20"/>
                <w:szCs w:val="20"/>
                <w:color w:val="auto"/>
              </w:rPr>
            </w:pPr>
            <w:r>
              <w:rPr>
                <w:rFonts w:ascii="Arial" w:cs="Arial" w:eastAsia="Arial" w:hAnsi="Arial"/>
                <w:sz w:val="3"/>
                <w:szCs w:val="3"/>
                <w:color w:val="FFFFFF"/>
              </w:rPr>
              <w:t>transformations facing the financi l services industry.</w:t>
            </w:r>
          </w:p>
        </w:tc>
        <w:tc>
          <w:tcPr>
            <w:tcW w:w="16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800" w:type="dxa"/>
            <w:vAlign w:val="bottom"/>
            <w:gridSpan w:val="2"/>
          </w:tcPr>
          <w:p>
            <w:pPr>
              <w:spacing w:after="0"/>
              <w:rPr>
                <w:sz w:val="20"/>
                <w:szCs w:val="20"/>
                <w:color w:val="auto"/>
              </w:rPr>
            </w:pPr>
            <w:r>
              <w:rPr>
                <w:rFonts w:ascii="Arial" w:cs="Arial" w:eastAsia="Arial" w:hAnsi="Arial"/>
                <w:sz w:val="3"/>
                <w:szCs w:val="3"/>
                <w:color w:val="FFFFFF"/>
              </w:rPr>
              <w:t>6 Based on a comparison of loss rates</w:t>
            </w:r>
          </w:p>
        </w:tc>
        <w:tc>
          <w:tcPr>
            <w:tcW w:w="7360" w:type="dxa"/>
            <w:vAlign w:val="bottom"/>
            <w:gridSpan w:val="3"/>
          </w:tcPr>
          <w:p>
            <w:pPr>
              <w:ind w:left="80"/>
              <w:spacing w:after="0"/>
              <w:rPr>
                <w:sz w:val="20"/>
                <w:szCs w:val="20"/>
                <w:color w:val="auto"/>
              </w:rPr>
            </w:pPr>
            <w:r>
              <w:rPr>
                <w:rFonts w:ascii="Arial" w:cs="Arial" w:eastAsia="Arial" w:hAnsi="Arial"/>
                <w:sz w:val="3"/>
                <w:szCs w:val="3"/>
                <w:color w:val="FFFFFF"/>
              </w:rPr>
              <w:t>60 day past due credit card accounts from 2004-2006 and 2009 using data obtained from Canals-Cerda and Kerr, Working Paper No. 15-08 Credit Risk Modeling</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in Segmented Portfolios: An Application to Credit Cards, Federal Reserve Bank of Philadelphia, February 2015.</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7 Based on an internal Upstart study conducted in June 2020 comparing annualized loss rates of all Upstart-powered loans originated in 2018 by segments based on the borrower’s FICO credit score and</w:t>
            </w:r>
          </w:p>
        </w:tc>
        <w:tc>
          <w:tcPr>
            <w:tcW w:w="0" w:type="dxa"/>
            <w:vAlign w:val="bottom"/>
          </w:tcPr>
          <w:p>
            <w:pPr>
              <w:spacing w:after="0" w:line="20" w:lineRule="exact"/>
              <w:rPr>
                <w:sz w:val="1"/>
                <w:szCs w:val="1"/>
                <w:color w:val="auto"/>
              </w:rPr>
            </w:pPr>
          </w:p>
        </w:tc>
      </w:tr>
      <w:tr>
        <w:trPr>
          <w:trHeight w:val="0"/>
        </w:trPr>
        <w:tc>
          <w:tcPr>
            <w:tcW w:w="1280" w:type="dxa"/>
            <w:vAlign w:val="bottom"/>
          </w:tcPr>
          <w:p>
            <w:pPr>
              <w:spacing w:after="0" w:line="67" w:lineRule="exact"/>
              <w:rPr>
                <w:sz w:val="20"/>
                <w:szCs w:val="20"/>
                <w:color w:val="auto"/>
              </w:rPr>
            </w:pPr>
            <w:r>
              <w:rPr>
                <w:rFonts w:ascii="Arial" w:cs="Arial" w:eastAsia="Arial" w:hAnsi="Arial"/>
                <w:sz w:val="7"/>
                <w:szCs w:val="7"/>
                <w:color w:val="FFFFFF"/>
              </w:rPr>
              <w:t>the risk tier assigned by</w:t>
            </w:r>
          </w:p>
        </w:tc>
        <w:tc>
          <w:tcPr>
            <w:tcW w:w="1500" w:type="dxa"/>
            <w:vAlign w:val="bottom"/>
            <w:gridSpan w:val="2"/>
          </w:tcPr>
          <w:p>
            <w:pPr>
              <w:ind w:left="180"/>
              <w:spacing w:after="0" w:line="67" w:lineRule="exact"/>
              <w:rPr>
                <w:sz w:val="20"/>
                <w:szCs w:val="20"/>
                <w:color w:val="auto"/>
              </w:rPr>
            </w:pPr>
            <w:r>
              <w:rPr>
                <w:rFonts w:ascii="Arial" w:cs="Arial" w:eastAsia="Arial" w:hAnsi="Arial"/>
                <w:sz w:val="7"/>
                <w:szCs w:val="7"/>
                <w:color w:val="FFFFFF"/>
              </w:rPr>
              <w:t>at origination.</w:t>
            </w:r>
          </w:p>
        </w:tc>
        <w:tc>
          <w:tcPr>
            <w:tcW w:w="16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34"/>
        </w:trPr>
        <w:tc>
          <w:tcPr>
            <w:tcW w:w="80" w:type="dxa"/>
            <w:vAlign w:val="bottom"/>
          </w:tcPr>
          <w:p>
            <w:pPr>
              <w:jc w:val="right"/>
              <w:spacing w:after="0"/>
              <w:rPr>
                <w:sz w:val="20"/>
                <w:szCs w:val="20"/>
                <w:color w:val="auto"/>
              </w:rPr>
            </w:pPr>
            <w:r>
              <w:rPr>
                <w:rFonts w:ascii="Arial" w:cs="Arial" w:eastAsia="Arial" w:hAnsi="Arial"/>
                <w:sz w:val="10"/>
                <w:szCs w:val="10"/>
                <w:color w:val="FFFFFF"/>
                <w:w w:val="71"/>
              </w:rPr>
              <w:t>8</w:t>
            </w:r>
          </w:p>
        </w:tc>
        <w:tc>
          <w:tcPr>
            <w:tcW w:w="5880" w:type="dxa"/>
            <w:vAlign w:val="bottom"/>
          </w:tcPr>
          <w:p>
            <w:pPr>
              <w:ind w:left="20"/>
              <w:spacing w:after="0"/>
              <w:rPr>
                <w:sz w:val="20"/>
                <w:szCs w:val="20"/>
                <w:color w:val="auto"/>
              </w:rPr>
            </w:pPr>
            <w:r>
              <w:rPr>
                <w:rFonts w:ascii="Arial" w:cs="Arial" w:eastAsia="Arial" w:hAnsi="Arial"/>
                <w:sz w:val="11"/>
                <w:szCs w:val="11"/>
                <w:color w:val="FFFFFF"/>
                <w:w w:val="89"/>
              </w:rPr>
              <w:t>Bureau of Labor Statistics,Upstart. . Department of Labor, News Release: The Employment Situation - August 2020, September 2020.</w:t>
            </w:r>
          </w:p>
        </w:tc>
      </w:tr>
      <w:tr>
        <w:trPr>
          <w:trHeight w:val="0"/>
        </w:trPr>
        <w:tc>
          <w:tcPr>
            <w:tcW w:w="80" w:type="dxa"/>
            <w:vAlign w:val="bottom"/>
          </w:tcPr>
          <w:p>
            <w:pPr>
              <w:jc w:val="right"/>
              <w:spacing w:after="0" w:line="33" w:lineRule="exact"/>
              <w:rPr>
                <w:sz w:val="20"/>
                <w:szCs w:val="20"/>
                <w:color w:val="auto"/>
              </w:rPr>
            </w:pPr>
            <w:r>
              <w:rPr>
                <w:rFonts w:ascii="Arial" w:cs="Arial" w:eastAsia="Arial" w:hAnsi="Arial"/>
                <w:sz w:val="3"/>
                <w:szCs w:val="3"/>
                <w:color w:val="FFFFFF"/>
              </w:rPr>
              <w:t>9</w:t>
            </w:r>
          </w:p>
        </w:tc>
        <w:tc>
          <w:tcPr>
            <w:tcW w:w="5880" w:type="dxa"/>
            <w:vAlign w:val="bottom"/>
          </w:tcPr>
          <w:p>
            <w:pPr>
              <w:ind w:left="20"/>
              <w:spacing w:after="0" w:line="33" w:lineRule="exact"/>
              <w:rPr>
                <w:sz w:val="20"/>
                <w:szCs w:val="20"/>
                <w:color w:val="auto"/>
              </w:rPr>
            </w:pPr>
            <w:r>
              <w:rPr>
                <w:rFonts w:ascii="Arial" w:cs="Arial" w:eastAsia="Arial" w:hAnsi="Arial"/>
                <w:sz w:val="3"/>
                <w:szCs w:val="3"/>
                <w:color w:val="FFFFFF"/>
              </w:rPr>
              <w:t>The Federal Reserve Board, Statistical Release: Consumer Credit, or Federal Reserve Consumer Credit, December 2019.</w:t>
            </w:r>
          </w:p>
        </w:tc>
      </w:tr>
    </w:tbl>
    <w:p>
      <w:pPr>
        <w:ind w:left="1020"/>
        <w:spacing w:after="0" w:line="181" w:lineRule="auto"/>
        <w:rPr>
          <w:sz w:val="20"/>
          <w:szCs w:val="20"/>
          <w:color w:val="auto"/>
        </w:rPr>
      </w:pPr>
      <w:r>
        <w:rPr>
          <w:rFonts w:ascii="Arial" w:cs="Arial" w:eastAsia="Arial" w:hAnsi="Arial"/>
          <w:sz w:val="2"/>
          <w:szCs w:val="2"/>
          <w:color w:val="FFFFFF"/>
        </w:rPr>
        <w:t>10</w:t>
      </w:r>
      <w:r>
        <w:rPr>
          <w:rFonts w:ascii="Arial" w:cs="Arial" w:eastAsia="Arial" w:hAnsi="Arial"/>
          <w:sz w:val="4"/>
          <w:szCs w:val="4"/>
          <w:color w:val="FFFFFF"/>
          <w:vertAlign w:val="superscript"/>
        </w:rPr>
        <w:t>2020</w:t>
      </w:r>
      <w:r>
        <w:rPr>
          <w:rFonts w:ascii="Arial" w:cs="Arial" w:eastAsia="Arial" w:hAnsi="Arial"/>
          <w:sz w:val="2"/>
          <w:szCs w:val="2"/>
          <w:color w:val="FFFFFF"/>
        </w:rPr>
        <w:t>Based. on an internal Upstart study conducted in July 2020. Market size data obtained from Matt Komos, TransUnion: Consumer Credit Origination, Balance and Delinquency Trends: Q1 2020, June</w:t>
      </w:r>
    </w:p>
    <w:p>
      <w:pPr>
        <w:ind w:left="1020"/>
        <w:spacing w:after="0"/>
        <w:rPr>
          <w:sz w:val="20"/>
          <w:szCs w:val="20"/>
          <w:color w:val="auto"/>
        </w:rPr>
      </w:pPr>
      <w:r>
        <w:rPr>
          <w:rFonts w:ascii="Arial" w:cs="Arial" w:eastAsia="Arial" w:hAnsi="Arial"/>
          <w:sz w:val="11"/>
          <w:szCs w:val="11"/>
          <w:color w:val="FFFFFF"/>
        </w:rPr>
        <w:t>11 Hansell, Saul, Technology; U.S. Seizes Bank Business of Web Credit Card Issuer, The New York Times, February 2002.</w:t>
      </w:r>
    </w:p>
    <w:p>
      <w:pPr>
        <w:sectPr>
          <w:pgSz w:w="11900" w:h="16838" w:orient="portrait"/>
          <w:cols w:equalWidth="0" w:num="1">
            <w:col w:w="10180"/>
          </w:cols>
          <w:pgMar w:left="320" w:top="407" w:right="139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440" w:type="dxa"/>
            <w:vAlign w:val="bottom"/>
            <w:gridSpan w:val="2"/>
          </w:tcPr>
          <w:p>
            <w:pPr>
              <w:spacing w:after="0"/>
              <w:rPr>
                <w:sz w:val="20"/>
                <w:szCs w:val="20"/>
                <w:color w:val="auto"/>
              </w:rPr>
            </w:pPr>
            <w:r>
              <w:rPr>
                <w:rFonts w:ascii="Arial" w:cs="Arial" w:eastAsia="Arial" w:hAnsi="Arial"/>
                <w:sz w:val="11"/>
                <w:szCs w:val="11"/>
                <w:color w:val="FFFFFF"/>
              </w:rPr>
              <w:t>A partner to banks</w:t>
            </w:r>
          </w:p>
        </w:tc>
        <w:tc>
          <w:tcPr>
            <w:tcW w:w="4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While many Fintech companies aspire to become the bank of the future, we’re not one of them. Instead of competing with banks, we decided to partner with them, helping banks navigate and thrive</w:t>
            </w:r>
          </w:p>
        </w:tc>
        <w:tc>
          <w:tcPr>
            <w:tcW w:w="0" w:type="dxa"/>
            <w:vAlign w:val="bottom"/>
          </w:tcPr>
          <w:p>
            <w:pPr>
              <w:spacing w:after="0" w:line="20" w:lineRule="exact"/>
              <w:rPr>
                <w:sz w:val="1"/>
                <w:szCs w:val="1"/>
                <w:color w:val="auto"/>
              </w:rPr>
            </w:pPr>
          </w:p>
        </w:tc>
      </w:tr>
      <w:tr>
        <w:trPr>
          <w:trHeight w:val="34"/>
        </w:trPr>
        <w:tc>
          <w:tcPr>
            <w:tcW w:w="3440" w:type="dxa"/>
            <w:vAlign w:val="bottom"/>
            <w:gridSpan w:val="2"/>
          </w:tcPr>
          <w:p>
            <w:pPr>
              <w:spacing w:after="0"/>
              <w:rPr>
                <w:sz w:val="20"/>
                <w:szCs w:val="20"/>
                <w:color w:val="auto"/>
              </w:rPr>
            </w:pPr>
            <w:r>
              <w:rPr>
                <w:rFonts w:ascii="Arial" w:cs="Arial" w:eastAsia="Arial" w:hAnsi="Arial"/>
                <w:sz w:val="3"/>
                <w:szCs w:val="3"/>
                <w:color w:val="FFFFFF"/>
              </w:rPr>
              <w:t>through one of the most foundational technology transformations in history.</w:t>
            </w:r>
          </w:p>
        </w:tc>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For our first four years, we worked with  single bank partner, Cross River Bank, to build our models and refine our processes. We decided at that point to partner with banks rather than to become one, so</w:t>
            </w:r>
          </w:p>
        </w:tc>
        <w:tc>
          <w:tcPr>
            <w:tcW w:w="0" w:type="dxa"/>
            <w:vAlign w:val="bottom"/>
          </w:tcPr>
          <w:p>
            <w:pPr>
              <w:spacing w:after="0" w:line="20" w:lineRule="exact"/>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began to work with other banks. As of today, there are 10 banks on our platform, though Cross River Bank still originated 89% of our volume in 2019 and 72% in the first three quarters of 2020.</w:t>
            </w:r>
          </w:p>
        </w:tc>
        <w:tc>
          <w:tcPr>
            <w:tcW w:w="0" w:type="dxa"/>
            <w:vAlign w:val="bottom"/>
          </w:tcPr>
          <w:p>
            <w:pPr>
              <w:spacing w:after="0" w:line="20" w:lineRule="exact"/>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While a handful of our country’s largest banks may aspire to build an AI-powered lending platform, thousands of others will look to form strong and reliable technology partnerships in order to secure</w:t>
            </w:r>
          </w:p>
        </w:tc>
        <w:tc>
          <w:tcPr>
            <w:tcW w:w="0" w:type="dxa"/>
            <w:vAlign w:val="bottom"/>
          </w:tcPr>
          <w:p>
            <w:pPr>
              <w:spacing w:after="0" w:line="20" w:lineRule="exact"/>
              <w:rPr>
                <w:sz w:val="1"/>
                <w:szCs w:val="1"/>
                <w:color w:val="auto"/>
              </w:rPr>
            </w:pPr>
          </w:p>
        </w:tc>
      </w:tr>
      <w:tr>
        <w:trPr>
          <w:trHeight w:val="34"/>
        </w:trPr>
        <w:tc>
          <w:tcPr>
            <w:tcW w:w="3440" w:type="dxa"/>
            <w:vAlign w:val="bottom"/>
            <w:gridSpan w:val="2"/>
          </w:tcPr>
          <w:p>
            <w:pPr>
              <w:spacing w:after="0"/>
              <w:rPr>
                <w:sz w:val="20"/>
                <w:szCs w:val="20"/>
                <w:color w:val="auto"/>
              </w:rPr>
            </w:pPr>
            <w:r>
              <w:rPr>
                <w:rFonts w:ascii="Arial" w:cs="Arial" w:eastAsia="Arial" w:hAnsi="Arial"/>
                <w:sz w:val="3"/>
                <w:szCs w:val="3"/>
                <w:color w:val="FFFFFF"/>
              </w:rPr>
              <w:t>their future. W aim to partner with them.</w:t>
            </w:r>
          </w:p>
        </w:tc>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3440" w:type="dxa"/>
            <w:vAlign w:val="bottom"/>
            <w:gridSpan w:val="2"/>
          </w:tcPr>
          <w:p>
            <w:pPr>
              <w:spacing w:after="0"/>
              <w:rPr>
                <w:sz w:val="20"/>
                <w:szCs w:val="20"/>
                <w:color w:val="auto"/>
              </w:rPr>
            </w:pPr>
            <w:r>
              <w:rPr>
                <w:rFonts w:ascii="Arial" w:cs="Arial" w:eastAsia="Arial" w:hAnsi="Arial"/>
                <w:sz w:val="3"/>
                <w:szCs w:val="3"/>
                <w:color w:val="FFFFFF"/>
              </w:rPr>
              <w:t>What motivates</w:t>
            </w:r>
          </w:p>
        </w:tc>
        <w:tc>
          <w:tcPr>
            <w:tcW w:w="4520" w:type="dxa"/>
            <w:vAlign w:val="bottom"/>
            <w:vMerge w:val="restart"/>
          </w:tcPr>
          <w:p>
            <w:pPr>
              <w:ind w:left="20"/>
              <w:spacing w:after="0" w:line="68" w:lineRule="exact"/>
              <w:rPr>
                <w:sz w:val="20"/>
                <w:szCs w:val="20"/>
                <w:color w:val="auto"/>
              </w:rPr>
            </w:pPr>
            <w:r>
              <w:rPr>
                <w:rFonts w:ascii="Arial" w:cs="Arial" w:eastAsia="Arial" w:hAnsi="Arial"/>
                <w:sz w:val="7"/>
                <w:szCs w:val="7"/>
                <w:color w:val="FFFFFF"/>
              </w:rPr>
              <w:t>day in and day out. But Paul, Anna and I are still here. We’re different people, from different</w:t>
            </w:r>
          </w:p>
        </w:tc>
        <w:tc>
          <w:tcPr>
            <w:tcW w:w="1220" w:type="dxa"/>
            <w:vAlign w:val="bottom"/>
            <w:vMerge w:val="restart"/>
          </w:tcPr>
          <w:p>
            <w:pPr>
              <w:ind w:left="300"/>
              <w:spacing w:after="0" w:line="68" w:lineRule="exact"/>
              <w:rPr>
                <w:sz w:val="20"/>
                <w:szCs w:val="20"/>
                <w:color w:val="auto"/>
              </w:rPr>
            </w:pPr>
            <w:r>
              <w:rPr>
                <w:rFonts w:ascii="Arial" w:cs="Arial" w:eastAsia="Arial" w:hAnsi="Arial"/>
                <w:sz w:val="7"/>
                <w:szCs w:val="7"/>
                <w:color w:val="FFFFFF"/>
              </w:rPr>
              <w:t>and even different</w:t>
            </w:r>
          </w:p>
        </w:tc>
        <w:tc>
          <w:tcPr>
            <w:tcW w:w="0" w:type="dxa"/>
            <w:vAlign w:val="bottom"/>
          </w:tcPr>
          <w:p>
            <w:pPr>
              <w:spacing w:after="0" w:line="20" w:lineRule="exact"/>
              <w:rPr>
                <w:sz w:val="1"/>
                <w:szCs w:val="1"/>
                <w:color w:val="auto"/>
              </w:rPr>
            </w:pPr>
          </w:p>
        </w:tc>
      </w:tr>
      <w:tr>
        <w:trPr>
          <w:trHeight w:val="34"/>
        </w:trPr>
        <w:tc>
          <w:tcPr>
            <w:tcW w:w="3440" w:type="dxa"/>
            <w:vAlign w:val="bottom"/>
            <w:gridSpan w:val="2"/>
          </w:tcPr>
          <w:p>
            <w:pPr>
              <w:spacing w:after="0"/>
              <w:rPr>
                <w:sz w:val="20"/>
                <w:szCs w:val="20"/>
                <w:color w:val="auto"/>
              </w:rPr>
            </w:pPr>
            <w:r>
              <w:rPr>
                <w:rFonts w:ascii="Arial" w:cs="Arial" w:eastAsia="Arial" w:hAnsi="Arial"/>
                <w:sz w:val="3"/>
                <w:szCs w:val="3"/>
                <w:color w:val="FFFFFF"/>
              </w:rPr>
              <w:t>Eight years in, it’us unusual for three founders   continue to</w:t>
            </w:r>
          </w:p>
        </w:tc>
        <w:tc>
          <w:tcPr>
            <w:tcW w:w="452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generations. But we figured out how to work together to buildlead companythat none of us could have built alone. We do have some things in common-we each come from backgroundsmodestbackground, where</w:t>
            </w:r>
          </w:p>
        </w:tc>
        <w:tc>
          <w:tcPr>
            <w:tcW w:w="0" w:type="dxa"/>
            <w:vAlign w:val="bottom"/>
          </w:tcPr>
          <w:p>
            <w:pPr>
              <w:spacing w:after="0" w:line="20" w:lineRule="exact"/>
              <w:rPr>
                <w:sz w:val="1"/>
                <w:szCs w:val="1"/>
                <w:color w:val="auto"/>
              </w:rPr>
            </w:pPr>
          </w:p>
        </w:tc>
      </w:tr>
      <w:tr>
        <w:trPr>
          <w:trHeight w:val="0"/>
        </w:trPr>
        <w:tc>
          <w:tcPr>
            <w:tcW w:w="300" w:type="dxa"/>
            <w:vAlign w:val="bottom"/>
          </w:tcPr>
          <w:p>
            <w:pPr>
              <w:spacing w:after="0" w:line="67" w:lineRule="exact"/>
              <w:rPr>
                <w:sz w:val="20"/>
                <w:szCs w:val="20"/>
                <w:color w:val="auto"/>
              </w:rPr>
            </w:pPr>
            <w:r>
              <w:rPr>
                <w:rFonts w:ascii="Arial" w:cs="Arial" w:eastAsia="Arial" w:hAnsi="Arial"/>
                <w:sz w:val="7"/>
                <w:szCs w:val="7"/>
                <w:color w:val="FFFFFF"/>
              </w:rPr>
              <w:t>af</w:t>
            </w:r>
          </w:p>
        </w:tc>
        <w:tc>
          <w:tcPr>
            <w:tcW w:w="3140" w:type="dxa"/>
            <w:vAlign w:val="bottom"/>
          </w:tcPr>
          <w:p>
            <w:pPr>
              <w:ind w:left="200"/>
              <w:spacing w:after="0" w:line="67" w:lineRule="exact"/>
              <w:rPr>
                <w:sz w:val="20"/>
                <w:szCs w:val="20"/>
                <w:color w:val="auto"/>
              </w:rPr>
            </w:pPr>
            <w:r>
              <w:rPr>
                <w:rFonts w:ascii="Arial" w:cs="Arial" w:eastAsia="Arial" w:hAnsi="Arial"/>
                <w:sz w:val="7"/>
                <w:szCs w:val="7"/>
                <w:color w:val="FFFFFF"/>
              </w:rPr>
              <w:t>credit was central to our unique pursuit of the American dream.</w:t>
            </w:r>
          </w:p>
        </w:tc>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20" w:right="60"/>
        <w:spacing w:after="0"/>
        <w:rPr>
          <w:sz w:val="20"/>
          <w:szCs w:val="20"/>
          <w:color w:val="auto"/>
        </w:rPr>
      </w:pPr>
      <w:r>
        <w:rPr>
          <w:rFonts w:ascii="Arial" w:cs="Arial" w:eastAsia="Arial" w:hAnsi="Arial"/>
          <w:sz w:val="3"/>
          <w:szCs w:val="3"/>
          <w:color w:val="FFFFFF"/>
        </w:rPr>
        <w:t>Wfordablehave “true north” at Upstart-to bring more people into the world where the credit system works, to unlock opportunity and mobility for them so that money isn’t a daily concern, and to write a story about lending of which we can all be proud.</w:t>
      </w:r>
    </w:p>
    <w:p>
      <w:pPr>
        <w:ind w:left="1020"/>
        <w:spacing w:after="0"/>
        <w:rPr>
          <w:sz w:val="20"/>
          <w:szCs w:val="20"/>
          <w:color w:val="auto"/>
        </w:rPr>
      </w:pPr>
      <w:r>
        <w:rPr>
          <w:rFonts w:ascii="Arial" w:cs="Arial" w:eastAsia="Arial" w:hAnsi="Arial"/>
          <w:sz w:val="11"/>
          <w:szCs w:val="11"/>
          <w:color w:val="FFFFFF"/>
        </w:rPr>
        <w:t>Dave on behalf of Paul and Anna</w:t>
      </w:r>
    </w:p>
    <w:p>
      <w:pPr>
        <w:sectPr>
          <w:pgSz w:w="11900" w:h="16838" w:orient="portrait"/>
          <w:cols w:equalWidth="0" w:num="1">
            <w:col w:w="10200"/>
          </w:cols>
          <w:pgMar w:left="320" w:top="407" w:right="137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8820" w:type="dxa"/>
            <w:vAlign w:val="bottom"/>
          </w:tcPr>
          <w:p>
            <w:pPr>
              <w:ind w:left="3800"/>
              <w:spacing w:after="0"/>
              <w:rPr>
                <w:sz w:val="20"/>
                <w:szCs w:val="20"/>
                <w:color w:val="auto"/>
              </w:rPr>
            </w:pPr>
            <w:r>
              <w:rPr>
                <w:rFonts w:ascii="Arial" w:cs="Arial" w:eastAsia="Arial" w:hAnsi="Arial"/>
                <w:sz w:val="15"/>
                <w:szCs w:val="15"/>
                <w:b w:val="1"/>
                <w:bCs w:val="1"/>
                <w:color w:val="auto"/>
              </w:rPr>
              <w:t>TABLE OF CONTENTS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820" w:type="dxa"/>
            <w:vAlign w:val="bottom"/>
          </w:tcPr>
          <w:p>
            <w:pPr>
              <w:ind w:left="4200"/>
              <w:spacing w:after="0"/>
              <w:rPr>
                <w:sz w:val="20"/>
                <w:szCs w:val="20"/>
                <w:color w:val="auto"/>
              </w:rPr>
            </w:pPr>
            <w:r>
              <w:rPr>
                <w:rFonts w:ascii="Arial" w:cs="Arial" w:eastAsia="Arial" w:hAnsi="Arial"/>
                <w:sz w:val="15"/>
                <w:szCs w:val="15"/>
                <w:b w:val="1"/>
                <w:bCs w:val="1"/>
                <w:color w:val="auto"/>
              </w:rPr>
              <w:t>Prospectus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820" w:type="dxa"/>
            <w:vAlign w:val="bottom"/>
            <w:vMerge w:val="restart"/>
          </w:tcPr>
          <w:p>
            <w:pPr>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0"/>
        </w:trPr>
        <w:tc>
          <w:tcPr>
            <w:tcW w:w="8820" w:type="dxa"/>
            <w:vAlign w:val="bottom"/>
            <w:vMerge w:val="continue"/>
          </w:tcPr>
          <w:p>
            <w:pPr>
              <w:spacing w:after="0"/>
              <w:rPr>
                <w:sz w:val="13"/>
                <w:szCs w:val="13"/>
                <w:color w:val="auto"/>
              </w:rPr>
            </w:pPr>
          </w:p>
        </w:tc>
        <w:tc>
          <w:tcPr>
            <w:tcW w:w="3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Risk Factors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97">
              <w:r>
                <w:rPr>
                  <w:rFonts w:ascii="Arial" w:cs="Arial" w:eastAsia="Arial" w:hAnsi="Arial"/>
                  <w:sz w:val="15"/>
                  <w:szCs w:val="15"/>
                  <w:u w:val="single" w:color="auto"/>
                  <w:color w:val="0000EE"/>
                </w:rPr>
                <w:t>Special Note Regarding Forward-Looking Statements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Industry, Market and Other Data</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1">
              <w:r>
                <w:rPr>
                  <w:rFonts w:ascii="Arial" w:cs="Arial" w:eastAsia="Arial" w:hAnsi="Arial"/>
                  <w:sz w:val="15"/>
                  <w:szCs w:val="15"/>
                  <w:u w:val="single" w:color="auto"/>
                  <w:color w:val="0000EE"/>
                </w:rPr>
                <w:t>Use of Proceeds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2">
              <w:r>
                <w:rPr>
                  <w:rFonts w:ascii="Arial" w:cs="Arial" w:eastAsia="Arial" w:hAnsi="Arial"/>
                  <w:sz w:val="15"/>
                  <w:szCs w:val="15"/>
                  <w:u w:val="single" w:color="auto"/>
                  <w:color w:val="0000EE"/>
                </w:rPr>
                <w:t>Dividend Policy</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3">
              <w:r>
                <w:rPr>
                  <w:rFonts w:ascii="Arial" w:cs="Arial" w:eastAsia="Arial" w:hAnsi="Arial"/>
                  <w:sz w:val="15"/>
                  <w:szCs w:val="15"/>
                  <w:u w:val="single" w:color="auto"/>
                  <w:color w:val="0000EE"/>
                </w:rPr>
                <w:t>Capitalization</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5">
              <w:r>
                <w:rPr>
                  <w:rFonts w:ascii="Arial" w:cs="Arial" w:eastAsia="Arial" w:hAnsi="Arial"/>
                  <w:sz w:val="15"/>
                  <w:szCs w:val="15"/>
                  <w:u w:val="single" w:color="auto"/>
                  <w:color w:val="0000EE"/>
                </w:rPr>
                <w:t>Dilution</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8">
              <w:r>
                <w:rPr>
                  <w:rFonts w:ascii="Arial" w:cs="Arial" w:eastAsia="Arial" w:hAnsi="Arial"/>
                  <w:sz w:val="15"/>
                  <w:szCs w:val="15"/>
                  <w:u w:val="single" w:color="auto"/>
                  <w:color w:val="0000EE"/>
                </w:rPr>
                <w:t>Selected Consolidated Financial and Other Data</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11">
              <w:r>
                <w:rPr>
                  <w:rFonts w:ascii="Arial" w:cs="Arial" w:eastAsia="Arial" w:hAnsi="Arial"/>
                  <w:sz w:val="15"/>
                  <w:szCs w:val="15"/>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48">
              <w:r>
                <w:rPr>
                  <w:rFonts w:ascii="Arial" w:cs="Arial" w:eastAsia="Arial" w:hAnsi="Arial"/>
                  <w:sz w:val="15"/>
                  <w:szCs w:val="15"/>
                  <w:u w:val="single" w:color="auto"/>
                  <w:color w:val="0000EE"/>
                </w:rPr>
                <w:t>Business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78">
              <w:r>
                <w:rPr>
                  <w:rFonts w:ascii="Arial" w:cs="Arial" w:eastAsia="Arial" w:hAnsi="Arial"/>
                  <w:sz w:val="15"/>
                  <w:szCs w:val="15"/>
                  <w:u w:val="single" w:color="auto"/>
                  <w:color w:val="0000EE"/>
                </w:rPr>
                <w:t>Management</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89">
              <w:r>
                <w:rPr>
                  <w:rFonts w:ascii="Arial" w:cs="Arial" w:eastAsia="Arial" w:hAnsi="Arial"/>
                  <w:sz w:val="15"/>
                  <w:szCs w:val="15"/>
                  <w:u w:val="single" w:color="auto"/>
                  <w:color w:val="0000EE"/>
                </w:rPr>
                <w:t>Executive Compensation</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05">
              <w:r>
                <w:rPr>
                  <w:rFonts w:ascii="Arial" w:cs="Arial" w:eastAsia="Arial" w:hAnsi="Arial"/>
                  <w:sz w:val="15"/>
                  <w:szCs w:val="15"/>
                  <w:u w:val="single" w:color="auto"/>
                  <w:color w:val="0000EE"/>
                </w:rPr>
                <w:t>Certain Relationships and Related Party Transactions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11">
              <w:r>
                <w:rPr>
                  <w:rFonts w:ascii="Arial" w:cs="Arial" w:eastAsia="Arial" w:hAnsi="Arial"/>
                  <w:sz w:val="15"/>
                  <w:szCs w:val="15"/>
                  <w:u w:val="single" w:color="auto"/>
                  <w:color w:val="0000EE"/>
                </w:rPr>
                <w:t>Principal and Selling Stockholders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15">
              <w:r>
                <w:rPr>
                  <w:rFonts w:ascii="Arial" w:cs="Arial" w:eastAsia="Arial" w:hAnsi="Arial"/>
                  <w:sz w:val="15"/>
                  <w:szCs w:val="15"/>
                  <w:u w:val="single" w:color="auto"/>
                  <w:color w:val="0000EE"/>
                </w:rPr>
                <w:t>Description of Capital Stock</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21">
              <w:r>
                <w:rPr>
                  <w:rFonts w:ascii="Arial" w:cs="Arial" w:eastAsia="Arial" w:hAnsi="Arial"/>
                  <w:sz w:val="15"/>
                  <w:szCs w:val="15"/>
                  <w:u w:val="single" w:color="auto"/>
                  <w:color w:val="0000EE"/>
                </w:rPr>
                <w:t>Shares Eligible for Future Sale</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24">
              <w:r>
                <w:rPr>
                  <w:rFonts w:ascii="Arial" w:cs="Arial" w:eastAsia="Arial" w:hAnsi="Arial"/>
                  <w:sz w:val="15"/>
                  <w:szCs w:val="15"/>
                  <w:u w:val="single" w:color="auto"/>
                  <w:color w:val="0000EE"/>
                </w:rPr>
                <w:t>Material U.S. Federal Income Tax Consequences to Non-U.S. Holders of Our Common Stock</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29">
              <w:r>
                <w:rPr>
                  <w:rFonts w:ascii="Arial" w:cs="Arial" w:eastAsia="Arial" w:hAnsi="Arial"/>
                  <w:sz w:val="15"/>
                  <w:szCs w:val="15"/>
                  <w:u w:val="single" w:color="auto"/>
                  <w:color w:val="0000EE"/>
                </w:rPr>
                <w:t>Underwriting</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36">
              <w:r>
                <w:rPr>
                  <w:rFonts w:ascii="Arial" w:cs="Arial" w:eastAsia="Arial" w:hAnsi="Arial"/>
                  <w:sz w:val="15"/>
                  <w:szCs w:val="15"/>
                  <w:u w:val="single" w:color="auto"/>
                  <w:color w:val="0000EE"/>
                </w:rPr>
                <w:t>Validity of Common Stock</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36">
              <w:r>
                <w:rPr>
                  <w:rFonts w:ascii="Arial" w:cs="Arial" w:eastAsia="Arial" w:hAnsi="Arial"/>
                  <w:sz w:val="15"/>
                  <w:szCs w:val="15"/>
                  <w:u w:val="single" w:color="auto"/>
                  <w:color w:val="0000EE"/>
                </w:rPr>
                <w:t>Experts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36">
              <w:r>
                <w:rPr>
                  <w:rFonts w:ascii="Arial" w:cs="Arial" w:eastAsia="Arial" w:hAnsi="Arial"/>
                  <w:sz w:val="15"/>
                  <w:szCs w:val="15"/>
                  <w:u w:val="single" w:color="auto"/>
                  <w:color w:val="0000EE"/>
                </w:rPr>
                <w:t>Where You Can Find Additional Information</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80"/>
        </w:trPr>
        <w:tc>
          <w:tcPr>
            <w:tcW w:w="8820" w:type="dxa"/>
            <w:vAlign w:val="bottom"/>
          </w:tcPr>
          <w:p>
            <w:pPr>
              <w:spacing w:after="0"/>
              <w:rPr>
                <w:rFonts w:ascii="Arial" w:cs="Arial" w:eastAsia="Arial" w:hAnsi="Arial"/>
                <w:sz w:val="15"/>
                <w:szCs w:val="15"/>
                <w:u w:val="single" w:color="auto"/>
                <w:color w:val="0000EE"/>
              </w:rPr>
            </w:pPr>
            <w:hyperlink w:anchor="page237">
              <w:r>
                <w:rPr>
                  <w:rFonts w:ascii="Arial" w:cs="Arial" w:eastAsia="Arial" w:hAnsi="Arial"/>
                  <w:sz w:val="15"/>
                  <w:szCs w:val="15"/>
                  <w:u w:val="single" w:color="auto"/>
                  <w:color w:val="0000EE"/>
                </w:rPr>
                <w:t>Index to Consolidated 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186690</wp:posOffset>
            </wp:positionV>
            <wp:extent cx="12306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20" w:right="240" w:firstLine="460"/>
        <w:spacing w:after="0" w:line="246" w:lineRule="auto"/>
        <w:rPr>
          <w:sz w:val="20"/>
          <w:szCs w:val="20"/>
          <w:color w:val="auto"/>
        </w:rPr>
      </w:pPr>
      <w:r>
        <w:rPr>
          <w:rFonts w:ascii="Arial" w:cs="Arial" w:eastAsia="Arial" w:hAnsi="Arial"/>
          <w:sz w:val="15"/>
          <w:szCs w:val="15"/>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178435</wp:posOffset>
            </wp:positionV>
            <wp:extent cx="12306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Neither we, the selling stockholders nor any of the underwriters have authorized anyone to provide any information or to make any representations other than those contained in this prospectus or in any free writing prospectuses we have prepared. We, the selling stockholders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0180"/>
          </w:cols>
          <w:pgMar w:left="320" w:top="407" w:right="139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42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3905" cy="4842510"/>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PROSPECTUS SUMMARY</w:t>
      </w:r>
    </w:p>
    <w:p>
      <w:pPr>
        <w:spacing w:after="0" w:line="179" w:lineRule="exact"/>
        <w:rPr>
          <w:sz w:val="20"/>
          <w:szCs w:val="20"/>
          <w:color w:val="auto"/>
        </w:rPr>
      </w:pPr>
    </w:p>
    <w:p>
      <w:pPr>
        <w:ind w:left="1180" w:right="119" w:firstLine="444"/>
        <w:spacing w:after="0"/>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“Upstart,” “the company,” “we,” “us” and “our” in this prospectus refer to Upstart Holdings, Inc. and its consolidated subsidiaries. Our fiscal year end is December 31, and our fiscal quarters end on March 31, June 30, September 30 and December 31.</w:t>
      </w:r>
    </w:p>
    <w:p>
      <w:pPr>
        <w:spacing w:after="0" w:line="244"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Overview</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Our mission is to enable effortless credit based on true risk.</w:t>
      </w:r>
    </w:p>
    <w:p>
      <w:pPr>
        <w:spacing w:after="0" w:line="177"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We are a leading, cloud-based artificial intelligence lending platform. Artificial intelligence, or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 Since inception, our bank partners have originated over 620,000 personal loans that have generated more than 9 million repayment events. In the nine months ended September 30, 2020, approximately 70% of Upstart-powered loans were entirely automated.</w:t>
      </w:r>
    </w:p>
    <w:p>
      <w:pPr>
        <w:spacing w:after="0" w:line="171" w:lineRule="exact"/>
        <w:rPr>
          <w:sz w:val="20"/>
          <w:szCs w:val="20"/>
          <w:color w:val="auto"/>
        </w:rPr>
      </w:pPr>
    </w:p>
    <w:p>
      <w:pPr>
        <w:ind w:left="1180" w:right="239" w:firstLine="444"/>
        <w:spacing w:after="0" w:line="238" w:lineRule="auto"/>
        <w:rPr>
          <w:sz w:val="20"/>
          <w:szCs w:val="20"/>
          <w:color w:val="auto"/>
        </w:rPr>
      </w:pPr>
      <w:r>
        <w:rPr>
          <w:rFonts w:ascii="Arial" w:cs="Arial" w:eastAsia="Arial" w:hAnsi="Arial"/>
          <w:sz w:val="15"/>
          <w:szCs w:val="15"/>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w:t>
      </w:r>
      <w:r>
        <w:rPr>
          <w:rFonts w:ascii="Arial" w:cs="Arial" w:eastAsia="Arial" w:hAnsi="Arial"/>
          <w:sz w:val="12"/>
          <w:szCs w:val="12"/>
          <w:color w:val="auto"/>
        </w:rPr>
        <w:t>12</w:t>
      </w:r>
      <w:r>
        <w:rPr>
          <w:rFonts w:ascii="Arial" w:cs="Arial" w:eastAsia="Arial" w:hAnsi="Arial"/>
          <w:sz w:val="15"/>
          <w:szCs w:val="15"/>
          <w:color w:val="auto"/>
        </w:rPr>
        <w:t xml:space="preserv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r>
        <w:rPr>
          <w:rFonts w:ascii="Arial" w:cs="Arial" w:eastAsia="Arial" w:hAnsi="Arial"/>
          <w:sz w:val="12"/>
          <w:szCs w:val="12"/>
          <w:color w:val="auto"/>
        </w:rPr>
        <w:t>13</w:t>
      </w:r>
    </w:p>
    <w:p>
      <w:pPr>
        <w:spacing w:after="0" w:line="170"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The first generation of online lenders focused on bringing credit online. Analogous to earlier internet pioneers, these companies made shopping for and accessing credit simpler and easier for consumers and businesses. It was no longer necessary to stand in line at a bank branch, to sit across the desk from a loan officer and to wait weeks or months for a decision. These lenders enabled the emergence of personal loan products that were previously unprofitable for banks to offer. While they brought the credit process online, they inherited the decision frameworks that banks had used for decades and did not address the more rewarding and challenging opportunity of reinventing the credit decision.</w:t>
      </w:r>
    </w:p>
    <w:p>
      <w:pPr>
        <w:spacing w:after="0" w:line="172" w:lineRule="exact"/>
        <w:rPr>
          <w:sz w:val="20"/>
          <w:szCs w:val="20"/>
          <w:color w:val="auto"/>
        </w:rPr>
      </w:pPr>
    </w:p>
    <w:p>
      <w:pPr>
        <w:ind w:left="1180" w:right="679" w:firstLine="444"/>
        <w:spacing w:after="0" w:line="245" w:lineRule="auto"/>
        <w:rPr>
          <w:sz w:val="20"/>
          <w:szCs w:val="20"/>
          <w:color w:val="auto"/>
        </w:rPr>
      </w:pPr>
      <w:r>
        <w:rPr>
          <w:rFonts w:ascii="Arial" w:cs="Arial" w:eastAsia="Arial" w:hAnsi="Arial"/>
          <w:sz w:val="15"/>
          <w:szCs w:val="15"/>
          <w:color w:val="auto"/>
        </w:rPr>
        <w:t>We leverage the power of AI to more accurately quantify the true risk of a loan. Our AI models have been continuously upgraded, trained and refined for more than eight years. We have discrete AI</w:t>
      </w:r>
    </w:p>
    <w:p>
      <w:pPr>
        <w:spacing w:after="0" w:line="54" w:lineRule="exact"/>
        <w:rPr>
          <w:sz w:val="20"/>
          <w:szCs w:val="20"/>
          <w:color w:val="auto"/>
        </w:rPr>
      </w:pPr>
    </w:p>
    <w:p>
      <w:pPr>
        <w:ind w:left="1620" w:hanging="441"/>
        <w:spacing w:after="0"/>
        <w:tabs>
          <w:tab w:leader="none" w:pos="16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Rob Kaufman, myFico Blog: The History of the FICO Score, August 2018.</w:t>
      </w:r>
    </w:p>
    <w:p>
      <w:pPr>
        <w:ind w:left="1620" w:right="299" w:hanging="441"/>
        <w:spacing w:after="0" w:line="182" w:lineRule="auto"/>
        <w:tabs>
          <w:tab w:leader="none" w:pos="16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Patrice Ficklin and Paul Watkins, Consumer Financial Protection Bureau Blog: An Update on Credit Access and the Bureau’s First No-Action Letter, August 2019.</w:t>
      </w: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407" w:right="1440"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13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3905" cy="51358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spacing w:after="0" w:line="238" w:lineRule="auto"/>
        <w:rPr>
          <w:sz w:val="20"/>
          <w:szCs w:val="20"/>
          <w:color w:val="auto"/>
        </w:rPr>
      </w:pPr>
      <w:r>
        <w:rPr>
          <w:rFonts w:ascii="Arial" w:cs="Arial" w:eastAsia="Arial" w:hAnsi="Arial"/>
          <w:sz w:val="15"/>
          <w:szCs w:val="15"/>
          <w:color w:val="auto"/>
        </w:rPr>
        <w:t>models that target fee optimization, income fraud, acquisition targeting, loan stacking, prepayment prediction, identity fraud and time-delimited default prediction. Our models incorporate more than 1,600 variables and benefit from a rapidly growing training dataset that currently contains more than 9 million repayment events.</w:t>
      </w:r>
      <w:r>
        <w:rPr>
          <w:rFonts w:ascii="Arial" w:cs="Arial" w:eastAsia="Arial" w:hAnsi="Arial"/>
          <w:sz w:val="12"/>
          <w:szCs w:val="12"/>
          <w:color w:val="auto"/>
        </w:rPr>
        <w:t>14</w:t>
      </w:r>
      <w:r>
        <w:rPr>
          <w:rFonts w:ascii="Arial" w:cs="Arial" w:eastAsia="Arial" w:hAnsi="Arial"/>
          <w:sz w:val="15"/>
          <w:szCs w:val="15"/>
          <w:color w:val="auto"/>
        </w:rPr>
        <w:t xml:space="preserve"> The network effects generated by our constantly improving AI models provide a significant competitive advantage—more training data leads to higher approval rates and lower interest rates at the same loss rate.</w:t>
      </w:r>
    </w:p>
    <w:p>
      <w:pPr>
        <w:spacing w:after="0" w:line="170" w:lineRule="exact"/>
        <w:rPr>
          <w:sz w:val="20"/>
          <w:szCs w:val="20"/>
          <w:color w:val="auto"/>
        </w:rPr>
      </w:pPr>
    </w:p>
    <w:p>
      <w:pPr>
        <w:ind w:left="1180" w:right="139" w:firstLine="444"/>
        <w:spacing w:after="0" w:line="236" w:lineRule="auto"/>
        <w:rPr>
          <w:sz w:val="20"/>
          <w:szCs w:val="20"/>
          <w:color w:val="auto"/>
        </w:rPr>
      </w:pPr>
      <w:r>
        <w:rPr>
          <w:rFonts w:ascii="Arial" w:cs="Arial" w:eastAsia="Arial" w:hAnsi="Arial"/>
          <w:sz w:val="15"/>
          <w:szCs w:val="15"/>
          <w:color w:val="auto"/>
        </w:rPr>
        <w:t>We have been able to demonstrate through several studies that AI lending works. First, in 2019 the Consumer Financial Protection Bureau, or CFPB, reported that a study by Upstart of its data using a methodology specified by the CFPB showed that our AI model approves 27% more borrowers than a high-quality traditional model, with a 16% lower average APR for approved loans.</w:t>
      </w:r>
      <w:r>
        <w:rPr>
          <w:rFonts w:ascii="Arial" w:cs="Arial" w:eastAsia="Arial" w:hAnsi="Arial"/>
          <w:sz w:val="12"/>
          <w:szCs w:val="12"/>
          <w:color w:val="auto"/>
        </w:rPr>
        <w:t>15</w:t>
      </w:r>
      <w:r>
        <w:rPr>
          <w:rFonts w:ascii="Arial" w:cs="Arial" w:eastAsia="Arial" w:hAnsi="Arial"/>
          <w:sz w:val="15"/>
          <w:szCs w:val="15"/>
          <w:color w:val="auto"/>
        </w:rPr>
        <w:t xml:space="preserve"> Second, when compared to credit models from several large banks, our AI models approve approximately 2.7 times as many borrowers at the same loss rate.</w:t>
      </w:r>
      <w:r>
        <w:rPr>
          <w:rFonts w:ascii="Arial" w:cs="Arial" w:eastAsia="Arial" w:hAnsi="Arial"/>
          <w:sz w:val="12"/>
          <w:szCs w:val="12"/>
          <w:color w:val="auto"/>
        </w:rPr>
        <w:t>16</w:t>
      </w:r>
      <w:r>
        <w:rPr>
          <w:rFonts w:ascii="Arial" w:cs="Arial" w:eastAsia="Arial" w:hAnsi="Arial"/>
          <w:sz w:val="15"/>
          <w:szCs w:val="15"/>
          <w:color w:val="auto"/>
        </w:rPr>
        <w:t xml:space="preserve"> Third, for pools of securitized loans, our realized loss rates were only approximately half of those predicted by Kroll, a prominent credit rating agency; over that same time period, realized losses for the same pool of loans were on average only 5% different than our internal forecasts.</w:t>
      </w:r>
      <w:r>
        <w:rPr>
          <w:rFonts w:ascii="Arial" w:cs="Arial" w:eastAsia="Arial" w:hAnsi="Arial"/>
          <w:sz w:val="12"/>
          <w:szCs w:val="12"/>
          <w:color w:val="auto"/>
        </w:rPr>
        <w:t>17</w:t>
      </w:r>
      <w:r>
        <w:rPr>
          <w:rFonts w:ascii="Arial" w:cs="Arial" w:eastAsia="Arial" w:hAnsi="Arial"/>
          <w:sz w:val="15"/>
          <w:szCs w:val="15"/>
          <w:color w:val="auto"/>
        </w:rPr>
        <w:t xml:space="preserve"> And finally, we regularly monitor the accuracy of our AI models in comparison with simple credit score-based models and have observed higher model accuracy across a variety of statistical measures relating to each model’s predictive accuracy.</w:t>
      </w:r>
      <w:r>
        <w:rPr>
          <w:rFonts w:ascii="Arial" w:cs="Arial" w:eastAsia="Arial" w:hAnsi="Arial"/>
          <w:sz w:val="12"/>
          <w:szCs w:val="12"/>
          <w:color w:val="auto"/>
        </w:rPr>
        <w:t>18</w:t>
      </w:r>
    </w:p>
    <w:p>
      <w:pPr>
        <w:spacing w:after="0" w:line="175" w:lineRule="exact"/>
        <w:rPr>
          <w:sz w:val="20"/>
          <w:szCs w:val="20"/>
          <w:color w:val="auto"/>
        </w:rPr>
      </w:pPr>
    </w:p>
    <w:p>
      <w:pPr>
        <w:ind w:left="1180" w:right="159" w:firstLine="444"/>
        <w:spacing w:after="0" w:line="237" w:lineRule="auto"/>
        <w:rPr>
          <w:sz w:val="20"/>
          <w:szCs w:val="20"/>
          <w:color w:val="auto"/>
        </w:rPr>
      </w:pPr>
      <w:r>
        <w:rPr>
          <w:rFonts w:ascii="Arial" w:cs="Arial" w:eastAsia="Arial" w:hAnsi="Arial"/>
          <w:sz w:val="15"/>
          <w:szCs w:val="15"/>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172" w:lineRule="exact"/>
        <w:rPr>
          <w:sz w:val="20"/>
          <w:szCs w:val="20"/>
          <w:color w:val="auto"/>
        </w:rPr>
      </w:pPr>
    </w:p>
    <w:p>
      <w:pPr>
        <w:ind w:left="1180" w:right="159" w:firstLine="444"/>
        <w:spacing w:after="0" w:line="245" w:lineRule="auto"/>
        <w:rPr>
          <w:sz w:val="20"/>
          <w:szCs w:val="20"/>
          <w:color w:val="auto"/>
        </w:rPr>
      </w:pPr>
      <w:r>
        <w:rPr>
          <w:rFonts w:ascii="Arial" w:cs="Arial" w:eastAsia="Arial" w:hAnsi="Arial"/>
          <w:sz w:val="15"/>
          <w:szCs w:val="15"/>
          <w:color w:val="auto"/>
        </w:rPr>
        <w:t>Consumers can discover Upstart-powered loans in one of two ways: either via Upstart.com or through a white-labeled product on our bank partners’ own websites.</w:t>
      </w:r>
    </w:p>
    <w:p>
      <w:pPr>
        <w:spacing w:after="0" w:line="166"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Loans issued through our platform can be retained by our originating bank partners, distributed to our broad base of approximately 100 institutional investors and buyers that invest in Upstart-powered loans or funded by Upstart’s balance sheet. In the third quarter of 2020, 22% of the loans funded through our platform were retained by the originating bank and 76% of loans were purchased by</w:t>
      </w:r>
    </w:p>
    <w:p>
      <w:pPr>
        <w:spacing w:after="0" w:line="60" w:lineRule="exact"/>
        <w:rPr>
          <w:sz w:val="20"/>
          <w:szCs w:val="20"/>
          <w:color w:val="auto"/>
        </w:rPr>
      </w:pPr>
    </w:p>
    <w:p>
      <w:pPr>
        <w:ind w:left="1620" w:hanging="441"/>
        <w:spacing w:after="0"/>
        <w:tabs>
          <w:tab w:leader="none" w:pos="162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References to variables in this prospectus refer to all raw variables and certain combined variables considered in our AI models.</w:t>
      </w:r>
    </w:p>
    <w:p>
      <w:pPr>
        <w:ind w:left="1620" w:hanging="441"/>
        <w:spacing w:after="0" w:line="188" w:lineRule="auto"/>
        <w:tabs>
          <w:tab w:leader="none" w:pos="1620" w:val="left"/>
        </w:tabs>
        <w:numPr>
          <w:ilvl w:val="0"/>
          <w:numId w:val="4"/>
        </w:numPr>
        <w:rPr>
          <w:rFonts w:ascii="Arial" w:cs="Arial" w:eastAsia="Arial" w:hAnsi="Arial"/>
          <w:sz w:val="15"/>
          <w:szCs w:val="15"/>
          <w:color w:val="auto"/>
          <w:vertAlign w:val="superscript"/>
        </w:rPr>
      </w:pPr>
      <w:r>
        <w:rPr>
          <w:rFonts w:ascii="Arial" w:cs="Arial" w:eastAsia="Arial" w:hAnsi="Arial"/>
          <w:sz w:val="10"/>
          <w:szCs w:val="10"/>
          <w:color w:val="auto"/>
        </w:rPr>
        <w:t>Ficklin and Watkins; see the section titled “Industry, Market and Other Data.”</w:t>
      </w:r>
    </w:p>
    <w:p>
      <w:pPr>
        <w:jc w:val="both"/>
        <w:ind w:left="1620" w:right="199" w:hanging="441"/>
        <w:spacing w:after="0" w:line="192" w:lineRule="auto"/>
        <w:tabs>
          <w:tab w:leader="none" w:pos="162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ind w:left="1620" w:right="179" w:hanging="441"/>
        <w:spacing w:after="0" w:line="211" w:lineRule="auto"/>
        <w:tabs>
          <w:tab w:leader="none" w:pos="162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compared the actual realized loss rates of Upstart loans securitized in five securitization transactions between June 2017 and September 2019 and the loss rate predictions for those loans obtained from KBRA Surveillance Reports published by Kroll Bond Rating Agency in December 2019. As compared to Kroll’s loss predictions, actual realized losses were approximately 31% to 71% lower, with an average deviation across all five securitization transactions of -48%. As compared to our internal forecasts, actual realized losses ranged from approximately 35% higher (for the earliest securitization transaction) to approximately 17% lower (for the most recent securitization transaction), with an average absolute deviation across all of five securitization transactions of approximately 13%.</w:t>
      </w:r>
    </w:p>
    <w:p>
      <w:pPr>
        <w:spacing w:after="0" w:line="2" w:lineRule="exact"/>
        <w:rPr>
          <w:rFonts w:ascii="Arial" w:cs="Arial" w:eastAsia="Arial" w:hAnsi="Arial"/>
          <w:sz w:val="20"/>
          <w:szCs w:val="20"/>
          <w:color w:val="auto"/>
          <w:vertAlign w:val="superscript"/>
        </w:rPr>
      </w:pPr>
    </w:p>
    <w:p>
      <w:pPr>
        <w:ind w:left="1620" w:right="179" w:hanging="441"/>
        <w:spacing w:after="0" w:line="216" w:lineRule="auto"/>
        <w:tabs>
          <w:tab w:leader="none" w:pos="162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Upstart compares on a monthly basis its AI models to (i) a FICO-only model and (ii) a “FICO+” model, which considers loan amount, debt-to-income ratio, monthly income, number of inquiries and number of trade accounts in addition to FICO score, which we believe is representative of the model many of our sophisticated competitors would use. To conduct a comparison of the Upstart AI models to the models described in (i) and (ii), we run applicant information through the Upstart AI models, the FICO-only model, and FICO+ model, comparing performance by analyzing five commonly-used statistical metrics, each of which measures the deviation between predicted losses and actual losses for each model. These metrics include: the root mean square error of net present value of losses, normalized logistic loss, ratio of the gini coefficients of predicted to observed rankings, the area under the receiver operating characteristics curve, and the Kolmogorov-Smirnov statistic.</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39"/>
          </w:cols>
          <w:pgMar w:left="320" w:top="407" w:right="1440"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42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3905" cy="47421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spacing w:after="0" w:line="237" w:lineRule="auto"/>
        <w:rPr>
          <w:sz w:val="20"/>
          <w:szCs w:val="20"/>
          <w:color w:val="auto"/>
        </w:rPr>
      </w:pPr>
      <w:r>
        <w:rPr>
          <w:rFonts w:ascii="Arial" w:cs="Arial" w:eastAsia="Arial" w:hAnsi="Arial"/>
          <w:sz w:val="15"/>
          <w:szCs w:val="15"/>
          <w:color w:val="auto"/>
        </w:rPr>
        <w:t>institutional investors through our loan funding programs. Our institutional investors and buyers that participate in our loan funding programs, which include Goldman Sachs, PIMCO and funds managed by Morgan Stanley Investment Management, invest in Upstart-powered loans through whole loan purchases, purchases of pass-through certificates and investments in asset-backed securitizations. We enter into nonexclusive agreements with our whole loan purchasers and each of the grantor trust entities in our asset-backed securitizations, or ABS, under which our ABS investors benefit from our loan servicing capabilities.</w:t>
      </w:r>
      <w:r>
        <w:rPr>
          <w:rFonts w:ascii="Arial" w:cs="Arial" w:eastAsia="Arial" w:hAnsi="Arial"/>
          <w:sz w:val="12"/>
          <w:szCs w:val="12"/>
          <w:color w:val="auto"/>
        </w:rPr>
        <w:t>19</w:t>
      </w:r>
      <w:r>
        <w:rPr>
          <w:rFonts w:ascii="Arial" w:cs="Arial" w:eastAsia="Arial" w:hAnsi="Arial"/>
          <w:sz w:val="15"/>
          <w:szCs w:val="15"/>
          <w:color w:val="auto"/>
        </w:rPr>
        <w:t xml:space="preserve"> The remaining 2% of loans funded through our platform in the third quarter of 2020 were funded through our balance sheet.</w:t>
      </w:r>
    </w:p>
    <w:p>
      <w:pPr>
        <w:spacing w:after="0" w:line="172" w:lineRule="exact"/>
        <w:rPr>
          <w:sz w:val="20"/>
          <w:szCs w:val="20"/>
          <w:color w:val="auto"/>
        </w:rPr>
      </w:pPr>
    </w:p>
    <w:p>
      <w:pPr>
        <w:ind w:left="1180" w:right="99" w:firstLine="444"/>
        <w:spacing w:after="0" w:line="236" w:lineRule="auto"/>
        <w:rPr>
          <w:sz w:val="20"/>
          <w:szCs w:val="20"/>
          <w:color w:val="auto"/>
        </w:rPr>
      </w:pPr>
      <w:r>
        <w:rPr>
          <w:rFonts w:ascii="Arial" w:cs="Arial" w:eastAsia="Arial" w:hAnsi="Arial"/>
          <w:sz w:val="15"/>
          <w:szCs w:val="15"/>
          <w:color w:val="auto"/>
        </w:rPr>
        <w:t>Our revenue is primarily comprised of fees paid by banks. We charge banks referral fees for each loan referred through Upstart.com and originated by a bank partner, platform fees for each loan originated (regardless of its source) and loan servicing fees as consumers repay their loans. Our agreements with our bank partners are nonexclusive, generally have 12-month terms that automatically renew, subject to certain early termination provisions and minimum fee amounts, and do not include any minimum origination obligation or origination limits. As a usage-based platform, we target positive unit economics on each transaction, resulting in a cash efficient business model that features both high growth rates and profitability. As of September 30, 2020, we had 10 bank partners. In the nine months ended September 30, 2020, Cross River Bank originated 72% of the loans facilitated on our platform and fees received from Cross River Bank accounted for 65% of our total revenue.</w:t>
      </w:r>
      <w:r>
        <w:rPr>
          <w:rFonts w:ascii="Arial" w:cs="Arial" w:eastAsia="Arial" w:hAnsi="Arial"/>
          <w:sz w:val="12"/>
          <w:szCs w:val="12"/>
          <w:color w:val="auto"/>
        </w:rPr>
        <w:t>20</w:t>
      </w:r>
      <w:r>
        <w:rPr>
          <w:rFonts w:ascii="Arial" w:cs="Arial" w:eastAsia="Arial" w:hAnsi="Arial"/>
          <w:sz w:val="15"/>
          <w:szCs w:val="15"/>
          <w:color w:val="auto"/>
        </w:rPr>
        <w:t xml:space="preserve"> Our current agreement with Cross River Bank began on January 1, 2019 and has an initial four year term, with a renewal term for an additional two years following the initial four year term.</w:t>
      </w:r>
    </w:p>
    <w:p>
      <w:pPr>
        <w:spacing w:after="0" w:line="174" w:lineRule="exact"/>
        <w:rPr>
          <w:sz w:val="20"/>
          <w:szCs w:val="20"/>
          <w:color w:val="auto"/>
        </w:rPr>
      </w:pPr>
    </w:p>
    <w:p>
      <w:pPr>
        <w:ind w:left="1180" w:right="79" w:firstLine="444"/>
        <w:spacing w:after="0" w:line="235" w:lineRule="auto"/>
        <w:rPr>
          <w:sz w:val="20"/>
          <w:szCs w:val="20"/>
          <w:color w:val="auto"/>
        </w:rPr>
      </w:pPr>
      <w:r>
        <w:rPr>
          <w:rFonts w:ascii="Arial" w:cs="Arial" w:eastAsia="Arial" w:hAnsi="Arial"/>
          <w:sz w:val="15"/>
          <w:szCs w:val="15"/>
          <w:color w:val="auto"/>
        </w:rPr>
        <w:t>We have achieved rapid growth while improving our margin profile in recent years. The number of loans facilitated on our platform increased by 88% from 114,125 in 2018 to 215,122 in 2019, and 30% from 136,468 in the nine months ended September 30, 2019 to 176,983 over the same period in 2020. Our revenue for the nine months ended September 30, 2019 and 2020 was</w:t>
      </w:r>
    </w:p>
    <w:p>
      <w:pPr>
        <w:ind w:left="1180" w:right="79"/>
        <w:spacing w:after="0" w:line="245" w:lineRule="auto"/>
        <w:rPr>
          <w:sz w:val="20"/>
          <w:szCs w:val="20"/>
          <w:color w:val="auto"/>
        </w:rPr>
      </w:pPr>
      <w:r>
        <w:rPr>
          <w:rFonts w:ascii="Arial" w:cs="Arial" w:eastAsia="Arial" w:hAnsi="Arial"/>
          <w:sz w:val="15"/>
          <w:szCs w:val="15"/>
          <w:color w:val="auto"/>
        </w:rPr>
        <w:t>$101.6 million and $146.7 million, respectively, representing an increase of 44%. For the nine months ended September 30, 2019 and 2020, our net income (loss) was $(6.5) million and $5.0 million, respectively.</w:t>
      </w:r>
      <w:r>
        <w:rPr>
          <w:rFonts w:ascii="Arial" w:cs="Arial" w:eastAsia="Arial" w:hAnsi="Arial"/>
          <w:sz w:val="12"/>
          <w:szCs w:val="12"/>
          <w:color w:val="auto"/>
        </w:rPr>
        <w:t>21</w:t>
      </w:r>
    </w:p>
    <w:p>
      <w:pPr>
        <w:spacing w:after="0" w:line="23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Industry Overview</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Affordable Credit is Critical to Unlocking Upward Mobility and Opportunity</w:t>
      </w:r>
    </w:p>
    <w:p>
      <w:pPr>
        <w:spacing w:after="0" w:line="103"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With $3.6 trillion of consumer credit originated between April 2019 and March 2020,</w:t>
      </w:r>
      <w:r>
        <w:rPr>
          <w:rFonts w:ascii="Arial" w:cs="Arial" w:eastAsia="Arial" w:hAnsi="Arial"/>
          <w:sz w:val="12"/>
          <w:szCs w:val="12"/>
          <w:color w:val="auto"/>
        </w:rPr>
        <w:t>22</w:t>
      </w:r>
      <w:r>
        <w:rPr>
          <w:rFonts w:ascii="Arial" w:cs="Arial" w:eastAsia="Arial" w:hAnsi="Arial"/>
          <w:sz w:val="15"/>
          <w:szCs w:val="15"/>
          <w:color w:val="auto"/>
        </w:rPr>
        <w:t xml:space="preserve"> credit is a cornerstone of the U.S. economy. Access to affordable credit is central to unlocking upward mobility and opportunity. Reducing the price of borrowing for consumers has the potential to dramatically improve the quality of life for millions of people. Studies have demonstrated a strong statistical link among access to affordable credit, personal well-being and income growth.</w:t>
      </w:r>
      <w:r>
        <w:rPr>
          <w:rFonts w:ascii="Arial" w:cs="Arial" w:eastAsia="Arial" w:hAnsi="Arial"/>
          <w:sz w:val="12"/>
          <w:szCs w:val="12"/>
          <w:color w:val="auto"/>
        </w:rPr>
        <w:t>23</w:t>
      </w:r>
      <w:r>
        <w:rPr>
          <w:rFonts w:ascii="Arial" w:cs="Arial" w:eastAsia="Arial" w:hAnsi="Arial"/>
          <w:sz w:val="15"/>
          <w:szCs w:val="15"/>
          <w:color w:val="auto"/>
        </w:rPr>
        <w:t xml:space="preserve"> The average American has approximately $29,800 in personal debt.</w:t>
      </w:r>
      <w:r>
        <w:rPr>
          <w:rFonts w:ascii="Arial" w:cs="Arial" w:eastAsia="Arial" w:hAnsi="Arial"/>
          <w:sz w:val="12"/>
          <w:szCs w:val="12"/>
          <w:color w:val="auto"/>
        </w:rPr>
        <w:t>24</w:t>
      </w:r>
      <w:r>
        <w:rPr>
          <w:rFonts w:ascii="Arial" w:cs="Arial" w:eastAsia="Arial" w:hAnsi="Arial"/>
          <w:sz w:val="15"/>
          <w:szCs w:val="15"/>
          <w:color w:val="auto"/>
        </w:rPr>
        <w:t xml:space="preserve"> While access to affordable credit has allowed Americans to purchase and improve their homes, buy cars, pay for college tuition and cover emergency expenses, high interest</w:t>
      </w:r>
    </w:p>
    <w:p>
      <w:pPr>
        <w:spacing w:after="0" w:line="152" w:lineRule="exact"/>
        <w:rPr>
          <w:sz w:val="20"/>
          <w:szCs w:val="20"/>
          <w:color w:val="auto"/>
        </w:rPr>
      </w:pPr>
    </w:p>
    <w:p>
      <w:pPr>
        <w:ind w:left="1620" w:right="179" w:hanging="441"/>
        <w:spacing w:after="0" w:line="201" w:lineRule="auto"/>
        <w:tabs>
          <w:tab w:leader="none" w:pos="1620"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See the sections titled “Management’s Discussion and Analysis of Financial Condition and Results of Operations—Liquidity and Capital Resources—Term loans and revolving loan facilities”, “Business—Institutional Investors” and Note 7 to our consolidated financial statements for more information about our loan funding programs, including the role of our warehouse credit facilities and special purpose entities and our arrangements with institutional investors. See “Note 3. Securitizations and Variable Interest Entities” to our consolidated financial statements for additional information regarding transactions with our VIEs.</w:t>
      </w:r>
    </w:p>
    <w:p>
      <w:pPr>
        <w:spacing w:after="0" w:line="1" w:lineRule="exact"/>
        <w:rPr>
          <w:rFonts w:ascii="Arial" w:cs="Arial" w:eastAsia="Arial" w:hAnsi="Arial"/>
          <w:sz w:val="20"/>
          <w:szCs w:val="20"/>
          <w:color w:val="auto"/>
          <w:vertAlign w:val="superscript"/>
        </w:rPr>
      </w:pPr>
    </w:p>
    <w:p>
      <w:pPr>
        <w:ind w:left="1620" w:hanging="441"/>
        <w:spacing w:after="0" w:line="188" w:lineRule="auto"/>
        <w:tabs>
          <w:tab w:leader="none" w:pos="1620"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See the section titled “Business—Bank Partnerships” for more information about our arrangements with CRB and other bank partners.</w:t>
      </w:r>
    </w:p>
    <w:p>
      <w:pPr>
        <w:ind w:left="1620" w:hanging="441"/>
        <w:spacing w:after="0" w:line="188" w:lineRule="auto"/>
        <w:tabs>
          <w:tab w:leader="none" w:pos="1620"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Unless otherwise noted, “net loss” refers to “net loss attributable to Upstart Holdings, Inc. common stockholders.”</w:t>
      </w:r>
    </w:p>
    <w:p>
      <w:pPr>
        <w:ind w:left="1620" w:hanging="441"/>
        <w:spacing w:after="0" w:line="188" w:lineRule="auto"/>
        <w:tabs>
          <w:tab w:leader="none" w:pos="1620"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620" w:hanging="441"/>
        <w:spacing w:after="0" w:line="188" w:lineRule="auto"/>
        <w:tabs>
          <w:tab w:leader="none" w:pos="1620"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Kirsten Wysen, Open Source Solutions: Why Credit Scores and Payday Lending Matter for Health, October 2019.</w:t>
      </w:r>
    </w:p>
    <w:p>
      <w:pPr>
        <w:ind w:left="1620" w:hanging="441"/>
        <w:spacing w:after="0" w:line="188" w:lineRule="auto"/>
        <w:tabs>
          <w:tab w:leader="none" w:pos="1620" w:val="left"/>
        </w:tabs>
        <w:numPr>
          <w:ilvl w:val="0"/>
          <w:numId w:val="5"/>
        </w:numPr>
        <w:rPr>
          <w:rFonts w:ascii="Arial" w:cs="Arial" w:eastAsia="Arial" w:hAnsi="Arial"/>
          <w:sz w:val="16"/>
          <w:szCs w:val="16"/>
          <w:color w:val="auto"/>
          <w:vertAlign w:val="superscript"/>
        </w:rPr>
      </w:pPr>
      <w:r>
        <w:rPr>
          <w:rFonts w:ascii="Arial" w:cs="Arial" w:eastAsia="Arial" w:hAnsi="Arial"/>
          <w:sz w:val="10"/>
          <w:szCs w:val="10"/>
          <w:color w:val="auto"/>
        </w:rPr>
        <w:t>Northwestern Mutual, 2019 Planning &amp; Progress Study: The Debt Debacle, 2019.</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7"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312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3905" cy="43129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459"/>
        <w:spacing w:after="0"/>
        <w:rPr>
          <w:sz w:val="20"/>
          <w:szCs w:val="20"/>
          <w:color w:val="auto"/>
        </w:rPr>
      </w:pPr>
      <w:r>
        <w:rPr>
          <w:rFonts w:ascii="Arial" w:cs="Arial" w:eastAsia="Arial" w:hAnsi="Arial"/>
          <w:sz w:val="15"/>
          <w:szCs w:val="15"/>
          <w:color w:val="auto"/>
        </w:rPr>
        <w:t>rates can negatively impact a consumer’s financial health. The U.S. Federal Reserve reports that on average, 10% of household disposable personal income is spent on debt repayment.</w:t>
      </w:r>
      <w:r>
        <w:rPr>
          <w:rFonts w:ascii="Arial" w:cs="Arial" w:eastAsia="Arial" w:hAnsi="Arial"/>
          <w:sz w:val="12"/>
          <w:szCs w:val="12"/>
          <w:color w:val="auto"/>
        </w:rPr>
        <w:t>25</w:t>
      </w:r>
      <w:r>
        <w:rPr>
          <w:rFonts w:ascii="Arial" w:cs="Arial" w:eastAsia="Arial" w:hAnsi="Arial"/>
          <w:sz w:val="15"/>
          <w:szCs w:val="15"/>
          <w:color w:val="auto"/>
        </w:rPr>
        <w:t xml:space="preserve"> In addition, 16% of Americans spend 50% to 100% of their monthly income repaying debt.</w:t>
      </w:r>
      <w:r>
        <w:rPr>
          <w:rFonts w:ascii="Arial" w:cs="Arial" w:eastAsia="Arial" w:hAnsi="Arial"/>
          <w:sz w:val="12"/>
          <w:szCs w:val="12"/>
          <w:color w:val="auto"/>
        </w:rPr>
        <w:t>26</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Affordable Credit Is Inaccessible for Millions because Existing Systems Fail to Accurately Quantify Risk</w:t>
      </w:r>
    </w:p>
    <w:p>
      <w:pPr>
        <w:spacing w:after="0" w:line="103"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The FICO score was invented in 1989 and has not fundamentally changed since that time.</w:t>
      </w:r>
      <w:r>
        <w:rPr>
          <w:rFonts w:ascii="Arial" w:cs="Arial" w:eastAsia="Arial" w:hAnsi="Arial"/>
          <w:sz w:val="12"/>
          <w:szCs w:val="12"/>
          <w:color w:val="auto"/>
        </w:rPr>
        <w:t>27</w:t>
      </w:r>
      <w:r>
        <w:rPr>
          <w:rFonts w:ascii="Arial" w:cs="Arial" w:eastAsia="Arial" w:hAnsi="Arial"/>
          <w:sz w:val="15"/>
          <w:szCs w:val="15"/>
          <w:color w:val="auto"/>
        </w:rPr>
        <w:t xml:space="preserve"> The FICO score is used by over 90% of lenders to determine who is approved for credit and at what interest rate.</w:t>
      </w:r>
      <w:r>
        <w:rPr>
          <w:rFonts w:ascii="Arial" w:cs="Arial" w:eastAsia="Arial" w:hAnsi="Arial"/>
          <w:sz w:val="12"/>
          <w:szCs w:val="12"/>
          <w:color w:val="auto"/>
        </w:rPr>
        <w:t>28</w:t>
      </w:r>
      <w:r>
        <w:rPr>
          <w:rFonts w:ascii="Arial" w:cs="Arial" w:eastAsia="Arial" w:hAnsi="Arial"/>
          <w:sz w:val="15"/>
          <w:szCs w:val="15"/>
          <w:color w:val="auto"/>
        </w:rPr>
        <w:t xml:space="preserve"> While FICO is rarely used in isolation, many credit models are simple, rules-based systems. A leading expert found that bank credit models commonly incorporate eight to 15 variables, with the more sophisticated models using as many as 30.</w:t>
      </w:r>
      <w:r>
        <w:rPr>
          <w:rFonts w:ascii="Arial" w:cs="Arial" w:eastAsia="Arial" w:hAnsi="Arial"/>
          <w:sz w:val="12"/>
          <w:szCs w:val="12"/>
          <w:color w:val="auto"/>
        </w:rPr>
        <w:t>29</w:t>
      </w:r>
      <w:r>
        <w:rPr>
          <w:rFonts w:ascii="Arial" w:cs="Arial" w:eastAsia="Arial" w:hAnsi="Arial"/>
          <w:sz w:val="15"/>
          <w:szCs w:val="15"/>
          <w:color w:val="auto"/>
        </w:rPr>
        <w:t xml:space="preserve"> Unsurprisingly, the world is more complicated than can be represented by these models, so they are limited in their ability to reliably estimate the probability of default.</w:t>
      </w:r>
    </w:p>
    <w:p>
      <w:pPr>
        <w:spacing w:after="0" w:line="172"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Many borrowers suffer from the effects of inaccurate credit models. Many are approved for a loan that they ultimately will be unable to repay, negatively impacting both the consumer and the lender. Many others may be declined for a loan that they could have successfully repaid if given the opportunity—again doing harm to both consumer and lender. According to an Upstart retrospective study completed in December 2019, four out of five Americans who have taken out a loan have never defaulted, yet less than half of Americans have access to prime credit.</w:t>
      </w:r>
      <w:r>
        <w:rPr>
          <w:rFonts w:ascii="Arial" w:cs="Arial" w:eastAsia="Arial" w:hAnsi="Arial"/>
          <w:sz w:val="12"/>
          <w:szCs w:val="12"/>
          <w:color w:val="auto"/>
        </w:rPr>
        <w:t>30</w:t>
      </w:r>
      <w:r>
        <w:rPr>
          <w:rFonts w:ascii="Arial" w:cs="Arial" w:eastAsia="Arial" w:hAnsi="Arial"/>
          <w:sz w:val="15"/>
          <w:szCs w:val="15"/>
          <w:color w:val="auto"/>
        </w:rPr>
        <w:t xml:space="preserve"> Even consumers with high credit scores tend to pay too much for loans because the rates they pay effectively subsidize the losses from borrowers who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hanging="441"/>
        <w:spacing w:after="0"/>
        <w:tabs>
          <w:tab w:leader="none" w:pos="1620"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The Federal Reserve Board, Household Debt Service and Financial Obligations Ratios, or Federal Reserve Household Debt, December 2019.</w:t>
      </w:r>
    </w:p>
    <w:p>
      <w:pPr>
        <w:ind w:left="1620" w:hanging="441"/>
        <w:spacing w:after="0" w:line="188" w:lineRule="auto"/>
        <w:tabs>
          <w:tab w:leader="none" w:pos="162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620" w:hanging="441"/>
        <w:spacing w:after="0" w:line="188" w:lineRule="auto"/>
        <w:tabs>
          <w:tab w:leader="none" w:pos="162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620" w:hanging="441"/>
        <w:spacing w:after="0" w:line="188" w:lineRule="auto"/>
        <w:tabs>
          <w:tab w:leader="none" w:pos="162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620" w:hanging="441"/>
        <w:spacing w:after="0" w:line="188" w:lineRule="auto"/>
        <w:tabs>
          <w:tab w:leader="none" w:pos="162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Naeem Siddiqi, Intelligent Credit Scoring: Building and Implementing Better Credit Risk Scorecards—2</w:t>
      </w:r>
      <w:r>
        <w:rPr>
          <w:rFonts w:ascii="Arial" w:cs="Arial" w:eastAsia="Arial" w:hAnsi="Arial"/>
          <w:sz w:val="15"/>
          <w:szCs w:val="15"/>
          <w:color w:val="auto"/>
          <w:vertAlign w:val="superscript"/>
        </w:rPr>
        <w:t>nd</w:t>
      </w:r>
      <w:r>
        <w:rPr>
          <w:rFonts w:ascii="Arial" w:cs="Arial" w:eastAsia="Arial" w:hAnsi="Arial"/>
          <w:sz w:val="10"/>
          <w:szCs w:val="10"/>
          <w:color w:val="auto"/>
        </w:rPr>
        <w:t xml:space="preserve"> Edition, 2017.</w:t>
      </w:r>
    </w:p>
    <w:p>
      <w:pPr>
        <w:ind w:left="1620" w:hanging="441"/>
        <w:spacing w:after="0" w:line="188" w:lineRule="auto"/>
        <w:tabs>
          <w:tab w:leader="none" w:pos="1620" w:val="left"/>
        </w:tabs>
        <w:numPr>
          <w:ilvl w:val="0"/>
          <w:numId w:val="6"/>
        </w:numPr>
        <w:rPr>
          <w:rFonts w:ascii="Arial" w:cs="Arial" w:eastAsia="Arial" w:hAnsi="Arial"/>
          <w:sz w:val="16"/>
          <w:szCs w:val="16"/>
          <w:color w:val="auto"/>
          <w:vertAlign w:val="superscript"/>
        </w:rPr>
      </w:pPr>
      <w:r>
        <w:rPr>
          <w:rFonts w:ascii="Arial" w:cs="Arial" w:eastAsia="Arial" w:hAnsi="Arial"/>
          <w:sz w:val="10"/>
          <w:szCs w:val="10"/>
          <w:color w:val="auto"/>
        </w:rPr>
        <w:t>The study defined access to prime credit as individuals with credit reports with VantageScores of 720 or above.</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7"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92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3905" cy="4992370"/>
                    </a:xfrm>
                    <a:prstGeom prst="rect">
                      <a:avLst/>
                    </a:prstGeom>
                    <a:noFill/>
                  </pic:spPr>
                </pic:pic>
              </a:graphicData>
            </a:graphic>
          </wp:anchor>
        </w:drawing>
      </w:r>
    </w:p>
    <w:p>
      <w:pPr>
        <w:spacing w:after="0" w:line="389"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Banks Will Continue to be at the Forefront of Consumer Lending</w:t>
      </w:r>
    </w:p>
    <w:p>
      <w:pPr>
        <w:spacing w:after="0" w:line="105" w:lineRule="exact"/>
        <w:rPr>
          <w:sz w:val="20"/>
          <w:szCs w:val="20"/>
          <w:color w:val="auto"/>
        </w:rPr>
      </w:pPr>
    </w:p>
    <w:p>
      <w:pPr>
        <w:ind w:left="1180" w:right="179" w:firstLine="444"/>
        <w:spacing w:after="0" w:line="237" w:lineRule="auto"/>
        <w:rPr>
          <w:sz w:val="20"/>
          <w:szCs w:val="20"/>
          <w:color w:val="auto"/>
        </w:rPr>
      </w:pPr>
      <w:r>
        <w:rPr>
          <w:rFonts w:ascii="Arial" w:cs="Arial" w:eastAsia="Arial" w:hAnsi="Arial"/>
          <w:sz w:val="15"/>
          <w:szCs w:val="15"/>
          <w:color w:val="auto"/>
        </w:rPr>
        <w:t>Banks have been at the forefront of consumer lending in the U.S. for more than a century. They benefit from long-term structural advantages, including a low cost of funding, a unique regulatory framework, and high levels of consumer trust. Through large and reliable deposit bases, banks are able to maintain a very low cost of funds—approximately 1% on average.</w:t>
      </w:r>
      <w:r>
        <w:rPr>
          <w:rFonts w:ascii="Arial" w:cs="Arial" w:eastAsia="Arial" w:hAnsi="Arial"/>
          <w:sz w:val="12"/>
          <w:szCs w:val="12"/>
          <w:color w:val="auto"/>
        </w:rPr>
        <w:t>31</w:t>
      </w:r>
      <w:r>
        <w:rPr>
          <w:rFonts w:ascii="Arial" w:cs="Arial" w:eastAsia="Arial" w:hAnsi="Arial"/>
          <w:sz w:val="15"/>
          <w:szCs w:val="15"/>
          <w:color w:val="auto"/>
        </w:rPr>
        <w:t xml:space="preserve"> These cost savings are passed through to borrowers in the form of lower interest rates, a significant competitive advantage over non-depository lending institutions. Banks also benefit from a regulatory framework that allows them to create nation-wide lending programs that are largely uniform. Given these advantages, we believe that a partnership-based bank enablement approach will be more successful than a disruption strategy.</w:t>
      </w:r>
    </w:p>
    <w:p>
      <w:pPr>
        <w:spacing w:after="0" w:line="243"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Banks Must Undergo a Digital Transformation to Remain Competitive</w:t>
      </w:r>
    </w:p>
    <w:p>
      <w:pPr>
        <w:spacing w:after="0" w:line="103" w:lineRule="exact"/>
        <w:rPr>
          <w:sz w:val="20"/>
          <w:szCs w:val="20"/>
          <w:color w:val="auto"/>
        </w:rPr>
      </w:pPr>
    </w:p>
    <w:p>
      <w:pPr>
        <w:ind w:left="1180" w:right="199" w:firstLine="444"/>
        <w:spacing w:after="0" w:line="238" w:lineRule="auto"/>
        <w:rPr>
          <w:sz w:val="20"/>
          <w:szCs w:val="20"/>
          <w:color w:val="auto"/>
        </w:rPr>
      </w:pPr>
      <w:r>
        <w:rPr>
          <w:rFonts w:ascii="Arial" w:cs="Arial" w:eastAsia="Arial" w:hAnsi="Arial"/>
          <w:sz w:val="15"/>
          <w:szCs w:val="15"/>
          <w:color w:val="auto"/>
        </w:rPr>
        <w:t>The largest four U.S. banks spend an estimated $38 billion on technology and innovation annually.</w:t>
      </w:r>
      <w:r>
        <w:rPr>
          <w:rFonts w:ascii="Arial" w:cs="Arial" w:eastAsia="Arial" w:hAnsi="Arial"/>
          <w:sz w:val="12"/>
          <w:szCs w:val="12"/>
          <w:color w:val="auto"/>
        </w:rPr>
        <w:t>32</w:t>
      </w:r>
      <w:r>
        <w:rPr>
          <w:rFonts w:ascii="Arial" w:cs="Arial" w:eastAsia="Arial" w:hAnsi="Arial"/>
          <w:sz w:val="15"/>
          <w:szCs w:val="15"/>
          <w:color w:val="auto"/>
        </w:rPr>
        <w:t xml:space="preserve"> These four banks may attempt to build AI lending models over time, once general market acceptance has been achieved. However, outside the largest four banks, there are approximately 5,200 FDIC insured institutions</w:t>
      </w:r>
      <w:r>
        <w:rPr>
          <w:rFonts w:ascii="Arial" w:cs="Arial" w:eastAsia="Arial" w:hAnsi="Arial"/>
          <w:sz w:val="12"/>
          <w:szCs w:val="12"/>
          <w:color w:val="auto"/>
        </w:rPr>
        <w:t>33</w:t>
      </w:r>
      <w:r>
        <w:rPr>
          <w:rFonts w:ascii="Arial" w:cs="Arial" w:eastAsia="Arial" w:hAnsi="Arial"/>
          <w:sz w:val="15"/>
          <w:szCs w:val="15"/>
          <w:color w:val="auto"/>
        </w:rPr>
        <w:t xml:space="preserve"> that are at risk of falling behind. Despite holding over $8 trillion in deposits,</w:t>
      </w:r>
      <w:r>
        <w:rPr>
          <w:rFonts w:ascii="Arial" w:cs="Arial" w:eastAsia="Arial" w:hAnsi="Arial"/>
          <w:sz w:val="12"/>
          <w:szCs w:val="12"/>
          <w:color w:val="auto"/>
        </w:rPr>
        <w:t>34</w:t>
      </w:r>
      <w:r>
        <w:rPr>
          <w:rFonts w:ascii="Arial" w:cs="Arial" w:eastAsia="Arial" w:hAnsi="Arial"/>
          <w:sz w:val="15"/>
          <w:szCs w:val="15"/>
          <w:color w:val="auto"/>
        </w:rPr>
        <w:t xml:space="preserve"> we believe these banks, particularly small to medium-sized banks, have outdated technology and lack the technical resources of larger banks to fund the digitization process.</w:t>
      </w:r>
    </w:p>
    <w:p>
      <w:pPr>
        <w:spacing w:after="0" w:line="170" w:lineRule="exact"/>
        <w:rPr>
          <w:sz w:val="20"/>
          <w:szCs w:val="20"/>
          <w:color w:val="auto"/>
        </w:rPr>
      </w:pPr>
    </w:p>
    <w:p>
      <w:pPr>
        <w:ind w:left="1180" w:right="119" w:firstLine="444"/>
        <w:spacing w:after="0" w:line="239" w:lineRule="auto"/>
        <w:rPr>
          <w:sz w:val="20"/>
          <w:szCs w:val="20"/>
          <w:color w:val="auto"/>
        </w:rPr>
      </w:pPr>
      <w:r>
        <w:rPr>
          <w:rFonts w:ascii="Arial" w:cs="Arial" w:eastAsia="Arial" w:hAnsi="Arial"/>
          <w:sz w:val="15"/>
          <w:szCs w:val="15"/>
          <w:color w:val="auto"/>
        </w:rPr>
        <w:t>At the same time, consumers are increasingly seeking digital, personalized and automated experiences.</w:t>
      </w:r>
      <w:r>
        <w:rPr>
          <w:rFonts w:ascii="Arial" w:cs="Arial" w:eastAsia="Arial" w:hAnsi="Arial"/>
          <w:sz w:val="12"/>
          <w:szCs w:val="12"/>
          <w:color w:val="auto"/>
        </w:rPr>
        <w:t>35</w:t>
      </w:r>
      <w:r>
        <w:rPr>
          <w:rFonts w:ascii="Arial" w:cs="Arial" w:eastAsia="Arial" w:hAnsi="Arial"/>
          <w:sz w:val="15"/>
          <w:szCs w:val="15"/>
          <w:color w:val="auto"/>
        </w:rPr>
        <w:t xml:space="preserve"> A 2017 Bain survey found that approximately 50% of the U.S. population would be comfortable buying financial products from technology companies.</w:t>
      </w:r>
      <w:r>
        <w:rPr>
          <w:rFonts w:ascii="Arial" w:cs="Arial" w:eastAsia="Arial" w:hAnsi="Arial"/>
          <w:sz w:val="12"/>
          <w:szCs w:val="12"/>
          <w:color w:val="auto"/>
        </w:rPr>
        <w:t>36</w:t>
      </w:r>
      <w:r>
        <w:rPr>
          <w:rFonts w:ascii="Arial" w:cs="Arial" w:eastAsia="Arial" w:hAnsi="Arial"/>
          <w:sz w:val="15"/>
          <w:szCs w:val="15"/>
          <w:color w:val="auto"/>
        </w:rPr>
        <w:t xml:space="preserve"> We believe that as consumers, both young and old, move their financial lives online, small and medium-sized banks will be increasingly ill-equipped to serve them.</w:t>
      </w:r>
    </w:p>
    <w:p>
      <w:pPr>
        <w:spacing w:after="0" w:line="171" w:lineRule="exact"/>
        <w:rPr>
          <w:sz w:val="20"/>
          <w:szCs w:val="20"/>
          <w:color w:val="auto"/>
        </w:rPr>
      </w:pPr>
    </w:p>
    <w:p>
      <w:pPr>
        <w:ind w:left="1180" w:right="299" w:firstLine="444"/>
        <w:spacing w:after="0"/>
        <w:rPr>
          <w:sz w:val="20"/>
          <w:szCs w:val="20"/>
          <w:color w:val="auto"/>
        </w:rPr>
      </w:pPr>
      <w:r>
        <w:rPr>
          <w:rFonts w:ascii="Arial" w:cs="Arial" w:eastAsia="Arial" w:hAnsi="Arial"/>
          <w:sz w:val="15"/>
          <w:szCs w:val="15"/>
          <w:color w:val="auto"/>
        </w:rPr>
        <w:t>We believe that these trends have been accelerated by the COVID-19 pandemic, as the lack of access to physical bank branches has increased the banking industry’s focus on digital capabilities. The performance of our platform through this crisis has also given existing and prospective bank partners an important new data point to underpin their growing confidence in our solution.</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Increasing Recognition from Regulators</w:t>
      </w:r>
    </w:p>
    <w:p>
      <w:pPr>
        <w:spacing w:after="0" w:line="105"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Many regulators including the Federal Deposit Insurance Corporation, or FDIC, the Office of the Comptroller of the Currency, or OCC, the Federal Reserve and the CFPB increasingly recognize the opportunity to modernize techniques used in lending.</w:t>
      </w:r>
      <w:r>
        <w:rPr>
          <w:rFonts w:ascii="Arial" w:cs="Arial" w:eastAsia="Arial" w:hAnsi="Arial"/>
          <w:sz w:val="12"/>
          <w:szCs w:val="12"/>
          <w:color w:val="auto"/>
        </w:rPr>
        <w:t>37</w:t>
      </w:r>
      <w:r>
        <w:rPr>
          <w:rFonts w:ascii="Arial" w:cs="Arial" w:eastAsia="Arial" w:hAnsi="Arial"/>
          <w:sz w:val="15"/>
          <w:szCs w:val="15"/>
          <w:color w:val="auto"/>
        </w:rPr>
        <w:t xml:space="preserve"> In December 2019, these agencies issued an inter-agency report in support of the use of alternative data in lending decisions.</w:t>
      </w:r>
      <w:r>
        <w:rPr>
          <w:rFonts w:ascii="Arial" w:cs="Arial" w:eastAsia="Arial" w:hAnsi="Arial"/>
          <w:sz w:val="12"/>
          <w:szCs w:val="12"/>
          <w:color w:val="auto"/>
        </w:rPr>
        <w:t>38</w:t>
      </w:r>
      <w:r>
        <w:rPr>
          <w:rFonts w:ascii="Arial" w:cs="Arial" w:eastAsia="Arial" w:hAnsi="Arial"/>
          <w:sz w:val="15"/>
          <w:szCs w:val="15"/>
          <w:color w:val="auto"/>
        </w:rPr>
        <w:t xml:space="preserve"> Additionally, in November 2019, the CFPB director noted that despite external uncertainty regarding how AI will fit into</w:t>
      </w:r>
    </w:p>
    <w:p>
      <w:pPr>
        <w:spacing w:after="0" w:line="60" w:lineRule="exact"/>
        <w:rPr>
          <w:sz w:val="20"/>
          <w:szCs w:val="20"/>
          <w:color w:val="auto"/>
        </w:rPr>
      </w:pPr>
    </w:p>
    <w:p>
      <w:pPr>
        <w:ind w:left="1620" w:hanging="441"/>
        <w:spacing w:after="0"/>
        <w:tabs>
          <w:tab w:leader="none" w:pos="162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Federal Home Loan Bank of San Francisco, Cost of Funds Index, December 2019.</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Adrian D. Garcia, Bankrate: JPM, Big Banks Spend Billions on Tech but Innovation Lags, July 2018.</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Federal Deposit Insurance Corporation, or FDIC, Statistics on Depository Institutions, December 2019.</w:t>
      </w:r>
    </w:p>
    <w:p>
      <w:pPr>
        <w:ind w:left="1620" w:right="239" w:hanging="441"/>
        <w:spacing w:after="0" w:line="182" w:lineRule="auto"/>
        <w:tabs>
          <w:tab w:leader="none" w:pos="1620" w:val="left"/>
        </w:tabs>
        <w:numPr>
          <w:ilvl w:val="0"/>
          <w:numId w:val="7"/>
        </w:numPr>
        <w:rPr>
          <w:rFonts w:ascii="Arial" w:cs="Arial" w:eastAsia="Arial" w:hAnsi="Arial"/>
          <w:sz w:val="19"/>
          <w:szCs w:val="19"/>
          <w:color w:val="auto"/>
          <w:vertAlign w:val="superscript"/>
        </w:rPr>
      </w:pPr>
      <w:r>
        <w:rPr>
          <w:rFonts w:ascii="Arial" w:cs="Arial" w:eastAsia="Arial" w:hAnsi="Arial"/>
          <w:sz w:val="12"/>
          <w:szCs w:val="12"/>
          <w:color w:val="auto"/>
        </w:rPr>
        <w:t>The dollar amount of deposits held by banks, other than the largest four banks, was aggregated by Upstart using data provided by the FDIC; see the section titled “Industry, Market and Other Data.”</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Bain &amp; Company, Inc., or Bain, Evolving the Customer Experience in Banking, 2017. PricewaterhouseCoopers LLP, or PwC, Experience Is Everything: Here’s</w:t>
      </w:r>
    </w:p>
    <w:p>
      <w:pPr>
        <w:ind w:left="1620" w:right="479"/>
        <w:spacing w:after="0" w:line="235" w:lineRule="auto"/>
        <w:rPr>
          <w:rFonts w:ascii="Arial" w:cs="Arial" w:eastAsia="Arial" w:hAnsi="Arial"/>
          <w:sz w:val="15"/>
          <w:szCs w:val="15"/>
          <w:color w:val="auto"/>
          <w:vertAlign w:val="superscript"/>
        </w:rPr>
      </w:pPr>
      <w:r>
        <w:rPr>
          <w:rFonts w:ascii="Arial" w:cs="Arial" w:eastAsia="Arial" w:hAnsi="Arial"/>
          <w:sz w:val="12"/>
          <w:szCs w:val="12"/>
          <w:color w:val="auto"/>
        </w:rPr>
        <w:t>How To Get It Right, 2018. RedPoint Global and the Harris Poll, or RedPoint Global, Addressing the Gaps in Customer Experience: A Benchmark Study Exploring the Ever Evolving Customer Experience and How Marketers and Consumers Are Adapting, March 2019.</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Bain; see the section titled “Industry, Market and Other Data.”</w:t>
      </w:r>
    </w:p>
    <w:p>
      <w:pPr>
        <w:ind w:left="1620" w:right="99" w:hanging="441"/>
        <w:spacing w:after="0" w:line="192" w:lineRule="auto"/>
        <w:tabs>
          <w:tab w:leader="none" w:pos="162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Board of Governors of the Federal Reserve System, Consumer Financial Protection Bureau, Federal Deposit Insurance Corporation, National Credit Union Administration and Office of the Comptroller of the Currency, Interagency Statement on the Use of Alternative Data in Credit Underwriting, or FDIC Interagency Statement, December 2019.</w:t>
      </w:r>
    </w:p>
    <w:p>
      <w:pPr>
        <w:ind w:left="1620" w:hanging="441"/>
        <w:spacing w:after="0" w:line="188" w:lineRule="auto"/>
        <w:tabs>
          <w:tab w:leader="none" w:pos="1620" w:val="left"/>
        </w:tabs>
        <w:numPr>
          <w:ilvl w:val="0"/>
          <w:numId w:val="7"/>
        </w:numPr>
        <w:rPr>
          <w:rFonts w:ascii="Arial" w:cs="Arial" w:eastAsia="Arial" w:hAnsi="Arial"/>
          <w:sz w:val="16"/>
          <w:szCs w:val="16"/>
          <w:color w:val="auto"/>
          <w:vertAlign w:val="superscript"/>
        </w:rPr>
      </w:pPr>
      <w:r>
        <w:rPr>
          <w:rFonts w:ascii="Arial" w:cs="Arial" w:eastAsia="Arial" w:hAnsi="Arial"/>
          <w:sz w:val="10"/>
          <w:szCs w:val="10"/>
          <w:color w:val="auto"/>
        </w:rPr>
        <w:t>FDIC Interagency Statement; see the section titled “Industry, Market and Other Data.”</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7"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70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3905" cy="44704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19"/>
        <w:spacing w:after="0" w:line="237" w:lineRule="auto"/>
        <w:rPr>
          <w:sz w:val="20"/>
          <w:szCs w:val="20"/>
          <w:color w:val="auto"/>
        </w:rPr>
      </w:pPr>
      <w:r>
        <w:rPr>
          <w:rFonts w:ascii="Arial" w:cs="Arial" w:eastAsia="Arial" w:hAnsi="Arial"/>
          <w:sz w:val="15"/>
          <w:szCs w:val="15"/>
          <w:color w:val="auto"/>
        </w:rPr>
        <w:t>regulatory frameworks, the CFPB is focused on ensuring a path to regulatory clarity because it recognizes the value AI lending products can offer consumers.</w:t>
      </w:r>
      <w:r>
        <w:rPr>
          <w:rFonts w:ascii="Arial" w:cs="Arial" w:eastAsia="Arial" w:hAnsi="Arial"/>
          <w:sz w:val="12"/>
          <w:szCs w:val="12"/>
          <w:color w:val="auto"/>
        </w:rPr>
        <w:t>39</w:t>
      </w:r>
      <w:r>
        <w:rPr>
          <w:rFonts w:ascii="Arial" w:cs="Arial" w:eastAsia="Arial" w:hAnsi="Arial"/>
          <w:sz w:val="15"/>
          <w:szCs w:val="15"/>
          <w:color w:val="auto"/>
        </w:rPr>
        <w:t xml:space="preserve"> In fact, in 2017, in response to a request by Upstart, the CFPB issued Upstart the first no-action letter, which provides that the CFPB has no present intention to recommend enforcement action with regard to the application of the Equal Credit Opportunity Act against Upstart for its use of alternative variables and AI and machine learning in credit decision-making.</w:t>
      </w:r>
      <w:r>
        <w:rPr>
          <w:rFonts w:ascii="Arial" w:cs="Arial" w:eastAsia="Arial" w:hAnsi="Arial"/>
          <w:sz w:val="12"/>
          <w:szCs w:val="12"/>
          <w:color w:val="auto"/>
        </w:rPr>
        <w:t>40</w:t>
      </w:r>
      <w:r>
        <w:rPr>
          <w:rFonts w:ascii="Arial" w:cs="Arial" w:eastAsia="Arial" w:hAnsi="Arial"/>
          <w:sz w:val="15"/>
          <w:szCs w:val="15"/>
          <w:color w:val="auto"/>
        </w:rPr>
        <w:t xml:space="preserve"> This no-action letter expired on December 1, 2020. On November 30, 2020, the CFPB issued a new no-action letter to Upstart under the CFPB’s revised 2018 policy on no-action letters. This new no-action letter, which will expire on November 30, 2023, covers the use of our Al model to underwrite and price unsecured closed-end loans, and is conditional on our implementation of a Model Risk Assessment Plan that was developed with the CFPB.</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The AI Opportunity</w:t>
      </w:r>
    </w:p>
    <w:p>
      <w:pPr>
        <w:spacing w:after="0" w:line="103" w:lineRule="exact"/>
        <w:rPr>
          <w:sz w:val="20"/>
          <w:szCs w:val="20"/>
          <w:color w:val="auto"/>
        </w:rPr>
      </w:pPr>
    </w:p>
    <w:p>
      <w:pPr>
        <w:ind w:left="1180" w:right="339" w:firstLine="444"/>
        <w:spacing w:after="0" w:line="241" w:lineRule="auto"/>
        <w:rPr>
          <w:sz w:val="20"/>
          <w:szCs w:val="20"/>
          <w:color w:val="auto"/>
        </w:rPr>
      </w:pPr>
      <w:r>
        <w:rPr>
          <w:rFonts w:ascii="Arial" w:cs="Arial" w:eastAsia="Arial" w:hAnsi="Arial"/>
          <w:sz w:val="15"/>
          <w:szCs w:val="15"/>
          <w:color w:val="auto"/>
        </w:rPr>
        <w:t>AI has the potential to add $13 trillion to the current global economic output by 2030, a 16% increase over today’s output.</w:t>
      </w:r>
      <w:r>
        <w:rPr>
          <w:rFonts w:ascii="Arial" w:cs="Arial" w:eastAsia="Arial" w:hAnsi="Arial"/>
          <w:sz w:val="12"/>
          <w:szCs w:val="12"/>
          <w:color w:val="auto"/>
        </w:rPr>
        <w:t>41</w:t>
      </w:r>
      <w:r>
        <w:rPr>
          <w:rFonts w:ascii="Arial" w:cs="Arial" w:eastAsia="Arial" w:hAnsi="Arial"/>
          <w:sz w:val="15"/>
          <w:szCs w:val="15"/>
          <w:color w:val="auto"/>
        </w:rPr>
        <w:t xml:space="preserve"> According to the McKinsey Global Institute, AI will be slowly adopted in its early stages, followed by steep acceleration as the technology matures and companies learn how to best deploy it.</w:t>
      </w:r>
      <w:r>
        <w:rPr>
          <w:rFonts w:ascii="Arial" w:cs="Arial" w:eastAsia="Arial" w:hAnsi="Arial"/>
          <w:sz w:val="12"/>
          <w:szCs w:val="12"/>
          <w:color w:val="auto"/>
        </w:rPr>
        <w:t>42</w:t>
      </w:r>
      <w:r>
        <w:rPr>
          <w:rFonts w:ascii="Arial" w:cs="Arial" w:eastAsia="Arial" w:hAnsi="Arial"/>
          <w:sz w:val="15"/>
          <w:szCs w:val="15"/>
          <w:color w:val="auto"/>
        </w:rPr>
        <w:t xml:space="preserve"> We believe the lending industry will follow this path.</w:t>
      </w:r>
    </w:p>
    <w:p>
      <w:pPr>
        <w:spacing w:after="0" w:line="170"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Lending is a compelling application for AI. First, it involves sophisticated decisioning for events that occur millions of times each day. Second, there is an almost unlimited supply of data that has the potential to be predictive and improve the accuracy of credit decisions. Third, given the costs and risks associated with lending, the economic wins from AI are dramatic for both banks and consumers. This means that the significant investment required to overcome the technical and regulatory hurdles is well worth the effort.</w:t>
      </w:r>
    </w:p>
    <w:p>
      <w:pPr>
        <w:spacing w:after="0" w:line="170" w:lineRule="exact"/>
        <w:rPr>
          <w:sz w:val="20"/>
          <w:szCs w:val="20"/>
          <w:color w:val="auto"/>
        </w:rPr>
      </w:pPr>
    </w:p>
    <w:p>
      <w:pPr>
        <w:ind w:left="1180" w:right="99" w:firstLine="444"/>
        <w:spacing w:after="0" w:line="236" w:lineRule="auto"/>
        <w:rPr>
          <w:sz w:val="20"/>
          <w:szCs w:val="20"/>
          <w:color w:val="auto"/>
        </w:rPr>
      </w:pPr>
      <w:r>
        <w:rPr>
          <w:rFonts w:ascii="Arial" w:cs="Arial" w:eastAsia="Arial" w:hAnsi="Arial"/>
          <w:sz w:val="15"/>
          <w:szCs w:val="15"/>
          <w:color w:val="auto"/>
        </w:rPr>
        <w:t>With our eight-year head start, our AI lending platform is well-positioned to power a significant portion of the U.S. credit market. To date, we have focused on the unsecured personal loan market, one of the fastest-growing segment of consumer credit.</w:t>
      </w:r>
      <w:r>
        <w:rPr>
          <w:rFonts w:ascii="Arial" w:cs="Arial" w:eastAsia="Arial" w:hAnsi="Arial"/>
          <w:sz w:val="12"/>
          <w:szCs w:val="12"/>
          <w:color w:val="auto"/>
        </w:rPr>
        <w:t>43</w:t>
      </w:r>
      <w:r>
        <w:rPr>
          <w:rFonts w:ascii="Arial" w:cs="Arial" w:eastAsia="Arial" w:hAnsi="Arial"/>
          <w:sz w:val="15"/>
          <w:szCs w:val="15"/>
          <w:color w:val="auto"/>
        </w:rPr>
        <w:t xml:space="preserve"> From April 2019 to March 2020, there were $118 billion</w:t>
      </w:r>
      <w:r>
        <w:rPr>
          <w:rFonts w:ascii="Arial" w:cs="Arial" w:eastAsia="Arial" w:hAnsi="Arial"/>
          <w:sz w:val="12"/>
          <w:szCs w:val="12"/>
          <w:color w:val="auto"/>
        </w:rPr>
        <w:t>44</w:t>
      </w:r>
      <w:r>
        <w:rPr>
          <w:rFonts w:ascii="Arial" w:cs="Arial" w:eastAsia="Arial" w:hAnsi="Arial"/>
          <w:sz w:val="15"/>
          <w:szCs w:val="15"/>
          <w:color w:val="auto"/>
        </w:rPr>
        <w:t xml:space="preserve"> in U.S. unsecured personal loan originations, representing 8% growth over the prior year. In the same period, we facilitated the origination of $3.5 billion in unsecured personal loans, or less than 5% of the total market.</w:t>
      </w:r>
      <w:r>
        <w:rPr>
          <w:rFonts w:ascii="Arial" w:cs="Arial" w:eastAsia="Arial" w:hAnsi="Arial"/>
          <w:sz w:val="12"/>
          <w:szCs w:val="12"/>
          <w:color w:val="auto"/>
        </w:rPr>
        <w:t>45</w:t>
      </w:r>
      <w:r>
        <w:rPr>
          <w:rFonts w:ascii="Arial" w:cs="Arial" w:eastAsia="Arial" w:hAnsi="Arial"/>
          <w:sz w:val="15"/>
          <w:szCs w:val="15"/>
          <w:color w:val="auto"/>
        </w:rPr>
        <w:t xml:space="preserve"> We not only have a large opportunity to capture market share in unsecured personal loans, but by applying our AI models and technology to adjacent opportunities, we believe we are well-positioned to address the U.S. auto loan, credit card and mortgage markets. From April 2019 to March 2020, there were $625 billion in U.S. auto loan originations, $363 billion in U.S. credit card originations and $ 2.5 trillion in U.S. mortgage originations.</w:t>
      </w:r>
      <w:r>
        <w:rPr>
          <w:rFonts w:ascii="Arial" w:cs="Arial" w:eastAsia="Arial" w:hAnsi="Arial"/>
          <w:sz w:val="12"/>
          <w:szCs w:val="12"/>
          <w:color w:val="auto"/>
        </w:rPr>
        <w:t>46</w:t>
      </w:r>
      <w:r>
        <w:rPr>
          <w:rFonts w:ascii="Arial" w:cs="Arial" w:eastAsia="Arial" w:hAnsi="Arial"/>
          <w:sz w:val="15"/>
          <w:szCs w:val="15"/>
          <w:color w:val="auto"/>
        </w:rPr>
        <w:t xml:space="preserve"> In June 2020, we began offering auto loans on our platform, and in September 2020, the first auto loan was originated through the Upstart platform. Over time, we believe we are also capable of capturing market share in student loans, point-of-sales loans and Home Equity Lines of Credit, or HELOCs.</w:t>
      </w:r>
    </w:p>
    <w:p>
      <w:pPr>
        <w:spacing w:after="0" w:line="62" w:lineRule="exact"/>
        <w:rPr>
          <w:sz w:val="20"/>
          <w:szCs w:val="20"/>
          <w:color w:val="auto"/>
        </w:rPr>
      </w:pPr>
    </w:p>
    <w:p>
      <w:pPr>
        <w:ind w:left="1620" w:hanging="441"/>
        <w:spacing w:after="0"/>
        <w:tabs>
          <w:tab w:leader="none" w:pos="1620"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Kathleen L. Kraninger, Consumer Financial Protection Bureau: Director Kraninger’s Remarks at TCH-BPI Conference, November 2019.</w:t>
      </w:r>
    </w:p>
    <w:p>
      <w:pPr>
        <w:ind w:left="1620" w:right="199" w:hanging="441"/>
        <w:spacing w:after="0" w:line="182" w:lineRule="auto"/>
        <w:tabs>
          <w:tab w:leader="none" w:pos="1620" w:val="left"/>
        </w:tabs>
        <w:numPr>
          <w:ilvl w:val="0"/>
          <w:numId w:val="8"/>
        </w:numPr>
        <w:rPr>
          <w:rFonts w:ascii="Arial" w:cs="Arial" w:eastAsia="Arial" w:hAnsi="Arial"/>
          <w:sz w:val="19"/>
          <w:szCs w:val="19"/>
          <w:color w:val="auto"/>
          <w:vertAlign w:val="superscript"/>
        </w:rPr>
      </w:pPr>
      <w:r>
        <w:rPr>
          <w:rFonts w:ascii="Arial" w:cs="Arial" w:eastAsia="Arial" w:hAnsi="Arial"/>
          <w:sz w:val="12"/>
          <w:szCs w:val="12"/>
          <w:color w:val="auto"/>
        </w:rPr>
        <w:t>Consumer Financial Protection Bureau, No-Action Letter to Upstart Network, Inc. dated September 14, 2017, and as modified on September 11, 2020, or the CFPB No-Action Letter.</w:t>
      </w:r>
    </w:p>
    <w:p>
      <w:pPr>
        <w:ind w:left="1620" w:hanging="441"/>
        <w:spacing w:after="0" w:line="188" w:lineRule="auto"/>
        <w:tabs>
          <w:tab w:leader="none" w:pos="1620" w:val="left"/>
        </w:tabs>
        <w:numPr>
          <w:ilvl w:val="0"/>
          <w:numId w:val="8"/>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620" w:hanging="441"/>
        <w:spacing w:after="0" w:line="188" w:lineRule="auto"/>
        <w:tabs>
          <w:tab w:leader="none" w:pos="1620" w:val="left"/>
        </w:tabs>
        <w:numPr>
          <w:ilvl w:val="0"/>
          <w:numId w:val="8"/>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620" w:hanging="441"/>
        <w:spacing w:after="0" w:line="188" w:lineRule="auto"/>
        <w:tabs>
          <w:tab w:leader="none" w:pos="1620" w:val="left"/>
        </w:tabs>
        <w:numPr>
          <w:ilvl w:val="0"/>
          <w:numId w:val="8"/>
        </w:numPr>
        <w:rPr>
          <w:rFonts w:ascii="Arial" w:cs="Arial" w:eastAsia="Arial" w:hAnsi="Arial"/>
          <w:sz w:val="15"/>
          <w:szCs w:val="15"/>
          <w:color w:val="auto"/>
          <w:vertAlign w:val="superscript"/>
        </w:rPr>
      </w:pPr>
      <w:r>
        <w:rPr>
          <w:rFonts w:ascii="Arial" w:cs="Arial" w:eastAsia="Arial" w:hAnsi="Arial"/>
          <w:sz w:val="10"/>
          <w:szCs w:val="10"/>
          <w:color w:val="auto"/>
        </w:rPr>
        <w:t>Eldar Beiseitov, Federal Reserve Bank of St. Louis: Unsecured Personal Loans Get a Boost From Fintech Lenders, July 2019.</w:t>
      </w:r>
    </w:p>
    <w:p>
      <w:pPr>
        <w:ind w:left="1620" w:hanging="441"/>
        <w:spacing w:after="0" w:line="188" w:lineRule="auto"/>
        <w:tabs>
          <w:tab w:leader="none" w:pos="1620" w:val="left"/>
        </w:tabs>
        <w:numPr>
          <w:ilvl w:val="0"/>
          <w:numId w:val="8"/>
        </w:numPr>
        <w:rPr>
          <w:rFonts w:ascii="Arial" w:cs="Arial" w:eastAsia="Arial" w:hAnsi="Arial"/>
          <w:sz w:val="15"/>
          <w:szCs w:val="15"/>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620" w:hanging="441"/>
        <w:spacing w:after="0" w:line="188" w:lineRule="auto"/>
        <w:tabs>
          <w:tab w:leader="none" w:pos="1620" w:val="left"/>
        </w:tabs>
        <w:numPr>
          <w:ilvl w:val="0"/>
          <w:numId w:val="8"/>
        </w:numPr>
        <w:rPr>
          <w:rFonts w:ascii="Arial" w:cs="Arial" w:eastAsia="Arial" w:hAnsi="Arial"/>
          <w:sz w:val="15"/>
          <w:szCs w:val="15"/>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620" w:hanging="441"/>
        <w:spacing w:after="0" w:line="188" w:lineRule="auto"/>
        <w:tabs>
          <w:tab w:leader="none" w:pos="1620" w:val="left"/>
        </w:tabs>
        <w:numPr>
          <w:ilvl w:val="0"/>
          <w:numId w:val="8"/>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71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3905" cy="497141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AI Lending Platform</w:t>
      </w:r>
    </w:p>
    <w:p>
      <w:pPr>
        <w:spacing w:after="0" w:line="10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Our AI models are central to our value proposition and unique position in the industry. Our models incorporate more than 1,600 variables, which are analogous to the columns in a spreadsheet. They have been trained by more than 9 million repayment events, analogous to rows of data in a spreadsheet. Interpreting these almost 15 billion cells of data are increasingly sophisticated machine learning algorithms that enable a more predictive model.</w:t>
      </w:r>
    </w:p>
    <w:p>
      <w:pPr>
        <w:spacing w:after="0" w:line="172"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“Business—Evolution of Upstart’s AI Model.”</w:t>
      </w:r>
    </w:p>
    <w:p>
      <w:pPr>
        <w:spacing w:after="0" w:line="171" w:lineRule="exact"/>
        <w:rPr>
          <w:sz w:val="20"/>
          <w:szCs w:val="20"/>
          <w:color w:val="auto"/>
        </w:rPr>
      </w:pPr>
    </w:p>
    <w:p>
      <w:pPr>
        <w:ind w:left="1180" w:right="159" w:firstLine="444"/>
        <w:spacing w:after="0" w:line="237" w:lineRule="auto"/>
        <w:rPr>
          <w:sz w:val="20"/>
          <w:szCs w:val="20"/>
          <w:color w:val="auto"/>
        </w:rPr>
      </w:pPr>
      <w:r>
        <w:rPr>
          <w:rFonts w:ascii="Arial" w:cs="Arial" w:eastAsia="Arial" w:hAnsi="Arial"/>
          <w:sz w:val="15"/>
          <w:szCs w:val="15"/>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172" w:lineRule="exact"/>
        <w:rPr>
          <w:sz w:val="20"/>
          <w:szCs w:val="20"/>
          <w:color w:val="auto"/>
        </w:rPr>
      </w:pPr>
    </w:p>
    <w:p>
      <w:pPr>
        <w:ind w:left="1180" w:right="159" w:firstLine="444"/>
        <w:spacing w:after="0" w:line="237" w:lineRule="auto"/>
        <w:rPr>
          <w:sz w:val="20"/>
          <w:szCs w:val="20"/>
          <w:color w:val="auto"/>
        </w:rPr>
      </w:pPr>
      <w:r>
        <w:rPr>
          <w:rFonts w:ascii="Arial" w:cs="Arial" w:eastAsia="Arial" w:hAnsi="Arial"/>
          <w:sz w:val="15"/>
          <w:szCs w:val="15"/>
          <w:color w:val="auto"/>
        </w:rPr>
        <w:t>Our platform benefits from powerful flywheel effects that drive continuous improvements as our business scales. Our platform benefits first from increasingly sophisticated models, variable expansion and rapid growth of training data. Upgrades to our platform allow us to offer higher approval rates and lower interest rates to consumers, which increases the number of borrowers on our platform. Upgrades to our platform also lead to better borrower selection, which lowers losses and lowers interest rates to borrowers. The flywheel effect created by self-reinforcing AI increases the economic opportunity that can be shared by borrowers and lenders over time.</w:t>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Upstart’s AI Flywheel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7"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450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3905" cy="545020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Ecosystem</w:t>
      </w:r>
    </w:p>
    <w:p>
      <w:pPr>
        <w:spacing w:after="0" w:line="105"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Our platform connects consumers, banks and institutional investors through a shared AI lending platform. Because AI is a new and disruptive technology, and banking is a traditionally conservative industry, we have brought our technology to market in a way that allows us to grow rapidly and improve on our AI models, while allowing banks to take a prudent and responsible approach to assessing and adopting our platform.</w:t>
      </w:r>
    </w:p>
    <w:p>
      <w:pPr>
        <w:spacing w:after="0" w:line="172"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white-labeled interface on their own website or mobile application. Consumers on our platform are generally offered unsecured personal loans ranging from $1,000 to $50,000 in size, at APRs typically ranging from approximately 6.5% to 35.99%, with terms typically ranging from three to five years, with a monthly repayment schedule and no prepayment penalty.</w:t>
      </w:r>
    </w:p>
    <w:p>
      <w:pPr>
        <w:spacing w:after="0" w:line="170" w:lineRule="exact"/>
        <w:rPr>
          <w:sz w:val="20"/>
          <w:szCs w:val="20"/>
          <w:color w:val="auto"/>
        </w:rPr>
      </w:pPr>
    </w:p>
    <w:p>
      <w:pPr>
        <w:jc w:val="both"/>
        <w:ind w:left="1180" w:right="259" w:firstLine="444"/>
        <w:spacing w:after="0"/>
        <w:rPr>
          <w:sz w:val="20"/>
          <w:szCs w:val="20"/>
          <w:color w:val="auto"/>
        </w:rPr>
      </w:pPr>
      <w:r>
        <w:rPr>
          <w:rFonts w:ascii="Arial" w:cs="Arial" w:eastAsia="Arial" w:hAnsi="Arial"/>
          <w:sz w:val="15"/>
          <w:szCs w:val="15"/>
          <w:color w:val="auto"/>
        </w:rPr>
        <w:t>On the funding side, our bank partners can retain loans that align with their business and risk objectives, while the remainder can be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Upstart’s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Value Proposition to Consumers</w:t>
      </w:r>
    </w:p>
    <w:p>
      <w:pPr>
        <w:spacing w:after="0" w:line="100" w:lineRule="exact"/>
        <w:rPr>
          <w:sz w:val="20"/>
          <w:szCs w:val="20"/>
          <w:color w:val="auto"/>
        </w:rPr>
      </w:pPr>
    </w:p>
    <w:p>
      <w:pPr>
        <w:ind w:left="1780" w:right="99" w:hanging="161"/>
        <w:spacing w:after="0" w:line="246"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Higher approval rates and lower interest rates</w:t>
      </w:r>
      <w:r>
        <w:rPr>
          <w:rFonts w:ascii="Arial" w:cs="Arial" w:eastAsia="Arial" w:hAnsi="Arial"/>
          <w:sz w:val="15"/>
          <w:szCs w:val="15"/>
          <w:color w:val="auto"/>
        </w:rPr>
        <w:t>—The CFPB reported that a study by Upstart of its data using a methodology</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by the CFPB, showed that our AI model approves 27% more borrowers than high-quality traditional lending models with a 16% lower average APR for approved loans.</w:t>
      </w:r>
      <w:r>
        <w:rPr>
          <w:rFonts w:ascii="Arial" w:cs="Arial" w:eastAsia="Arial" w:hAnsi="Arial"/>
          <w:sz w:val="12"/>
          <w:szCs w:val="12"/>
          <w:color w:val="auto"/>
        </w:rPr>
        <w:t>47</w:t>
      </w:r>
      <w:r>
        <w:rPr>
          <w:rFonts w:ascii="Arial" w:cs="Arial" w:eastAsia="Arial" w:hAnsi="Arial"/>
          <w:sz w:val="15"/>
          <w:szCs w:val="15"/>
          <w:color w:val="auto"/>
        </w:rPr>
        <w:t xml:space="preserve"> Our analyses suggest that our loan offers have improved significantly over time relative to those of competitors.</w:t>
      </w:r>
      <w:r>
        <w:rPr>
          <w:rFonts w:ascii="Arial" w:cs="Arial" w:eastAsia="Arial" w:hAnsi="Arial"/>
          <w:sz w:val="12"/>
          <w:szCs w:val="12"/>
          <w:color w:val="auto"/>
        </w:rPr>
        <w:t>48</w:t>
      </w:r>
    </w:p>
    <w:p>
      <w:pPr>
        <w:spacing w:after="0" w:line="53" w:lineRule="exact"/>
        <w:rPr>
          <w:sz w:val="20"/>
          <w:szCs w:val="20"/>
          <w:color w:val="auto"/>
        </w:rPr>
      </w:pPr>
    </w:p>
    <w:p>
      <w:pPr>
        <w:ind w:left="1620" w:hanging="441"/>
        <w:spacing w:after="0"/>
        <w:tabs>
          <w:tab w:leader="none" w:pos="1620"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620" w:right="199" w:hanging="441"/>
        <w:spacing w:after="0" w:line="182" w:lineRule="auto"/>
        <w:tabs>
          <w:tab w:leader="none" w:pos="1620" w:val="left"/>
        </w:tabs>
        <w:numPr>
          <w:ilvl w:val="0"/>
          <w:numId w:val="10"/>
        </w:numPr>
        <w:rPr>
          <w:rFonts w:ascii="Arial" w:cs="Arial" w:eastAsia="Arial" w:hAnsi="Arial"/>
          <w:sz w:val="20"/>
          <w:szCs w:val="20"/>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7"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70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3905" cy="4770755"/>
                    </a:xfrm>
                    <a:prstGeom prst="rect">
                      <a:avLst/>
                    </a:prstGeom>
                    <a:noFill/>
                  </pic:spPr>
                </pic:pic>
              </a:graphicData>
            </a:graphic>
          </wp:anchor>
        </w:drawing>
      </w:r>
    </w:p>
    <w:p>
      <w:pPr>
        <w:spacing w:after="0" w:line="391" w:lineRule="exact"/>
        <w:rPr>
          <w:sz w:val="20"/>
          <w:szCs w:val="20"/>
          <w:color w:val="auto"/>
        </w:rPr>
      </w:pPr>
    </w:p>
    <w:p>
      <w:pPr>
        <w:ind w:left="1780" w:right="159" w:hanging="161"/>
        <w:spacing w:after="0" w:line="241" w:lineRule="auto"/>
        <w:tabs>
          <w:tab w:leader="none" w:pos="17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Superior digital experience</w:t>
      </w:r>
      <w:r>
        <w:rPr>
          <w:rFonts w:ascii="Arial" w:cs="Arial" w:eastAsia="Arial" w:hAnsi="Arial"/>
          <w:sz w:val="15"/>
          <w:szCs w:val="15"/>
          <w:color w:val="auto"/>
        </w:rPr>
        <w:t>—Whether consumers apply for a loan through Upstart.com or directly through a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website, the application experience is streamlined into a single application process and the loan offers provided are firm. In the third quarter of 2020, approximately 70%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243"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Value Proposition to Bank Partners</w:t>
      </w:r>
    </w:p>
    <w:p>
      <w:pPr>
        <w:spacing w:after="0" w:line="100" w:lineRule="exact"/>
        <w:rPr>
          <w:sz w:val="20"/>
          <w:szCs w:val="20"/>
          <w:color w:val="auto"/>
        </w:rPr>
      </w:pPr>
    </w:p>
    <w:p>
      <w:pPr>
        <w:ind w:left="1780" w:right="279" w:hanging="161"/>
        <w:spacing w:after="0" w:line="251" w:lineRule="auto"/>
        <w:tabs>
          <w:tab w:leader="none" w:pos="17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Competitive digital lending experience</w:t>
      </w:r>
      <w:r>
        <w:rPr>
          <w:rFonts w:ascii="Arial" w:cs="Arial" w:eastAsia="Arial" w:hAnsi="Arial"/>
          <w:sz w:val="15"/>
          <w:szCs w:val="15"/>
          <w:color w:val="auto"/>
        </w:rPr>
        <w:t>—We provide regional banks and credit unions with a cost effective way to compete</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technology budgets of their much larger competitors. The Net Promoter Scores, or NPS, for our bank partners’ lending programs are approximately 79, well above published benchmarks for the largest banks.</w:t>
      </w:r>
      <w:r>
        <w:rPr>
          <w:rFonts w:ascii="Arial" w:cs="Arial" w:eastAsia="Arial" w:hAnsi="Arial"/>
          <w:sz w:val="12"/>
          <w:szCs w:val="12"/>
          <w:color w:val="auto"/>
        </w:rPr>
        <w:t>49</w:t>
      </w:r>
    </w:p>
    <w:p>
      <w:pPr>
        <w:spacing w:after="0" w:line="67" w:lineRule="exact"/>
        <w:rPr>
          <w:rFonts w:ascii="Arial" w:cs="Arial" w:eastAsia="Arial" w:hAnsi="Arial"/>
          <w:sz w:val="15"/>
          <w:szCs w:val="15"/>
          <w:color w:val="auto"/>
        </w:rPr>
      </w:pPr>
    </w:p>
    <w:p>
      <w:pPr>
        <w:jc w:val="both"/>
        <w:ind w:left="1780" w:right="159" w:hanging="161"/>
        <w:spacing w:after="0" w:line="251" w:lineRule="auto"/>
        <w:tabs>
          <w:tab w:leader="none" w:pos="17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Expanded customer base</w:t>
      </w:r>
      <w:r>
        <w:rPr>
          <w:rFonts w:ascii="Arial" w:cs="Arial" w:eastAsia="Arial" w:hAnsi="Arial"/>
          <w:sz w:val="15"/>
          <w:szCs w:val="15"/>
          <w:color w:val="auto"/>
        </w:rPr>
        <w:t>—We refer customers that apply for loans through Upstart.com to our bank partners, helping them</w:t>
      </w:r>
      <w:r>
        <w:rPr>
          <w:rFonts w:ascii="Arial" w:cs="Arial" w:eastAsia="Arial" w:hAnsi="Arial"/>
          <w:sz w:val="15"/>
          <w:szCs w:val="15"/>
          <w:i w:val="1"/>
          <w:iCs w:val="1"/>
          <w:color w:val="auto"/>
        </w:rPr>
        <w:t xml:space="preserve"> </w:t>
      </w:r>
      <w:r>
        <w:rPr>
          <w:rFonts w:ascii="Arial" w:cs="Arial" w:eastAsia="Arial" w:hAnsi="Arial"/>
          <w:sz w:val="15"/>
          <w:szCs w:val="15"/>
          <w:color w:val="auto"/>
        </w:rPr>
        <w:t>grow both loan volumes and number of customers. The most common age of Upstart-referred borrowers in the third quarter of 2020 was 28 years old, a compelling demographic that is often challenging for banks to access.</w:t>
      </w:r>
    </w:p>
    <w:p>
      <w:pPr>
        <w:spacing w:after="0" w:line="67" w:lineRule="exact"/>
        <w:rPr>
          <w:rFonts w:ascii="Arial" w:cs="Arial" w:eastAsia="Arial" w:hAnsi="Arial"/>
          <w:sz w:val="15"/>
          <w:szCs w:val="15"/>
          <w:color w:val="auto"/>
        </w:rPr>
      </w:pPr>
    </w:p>
    <w:p>
      <w:pPr>
        <w:ind w:left="1780" w:right="419" w:hanging="161"/>
        <w:spacing w:after="0" w:line="267" w:lineRule="auto"/>
        <w:tabs>
          <w:tab w:leader="none" w:pos="17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Lower loss rates</w:t>
      </w:r>
      <w:r>
        <w:rPr>
          <w:rFonts w:ascii="Arial" w:cs="Arial" w:eastAsia="Arial" w:hAnsi="Arial"/>
          <w:sz w:val="15"/>
          <w:szCs w:val="15"/>
          <w:color w:val="auto"/>
        </w:rPr>
        <w:t>—An internal study comparing our model to that of several large U.S. banks found that our model could</w:t>
      </w:r>
      <w:r>
        <w:rPr>
          <w:rFonts w:ascii="Arial" w:cs="Arial" w:eastAsia="Arial" w:hAnsi="Arial"/>
          <w:sz w:val="15"/>
          <w:szCs w:val="15"/>
          <w:i w:val="1"/>
          <w:iCs w:val="1"/>
          <w:color w:val="auto"/>
        </w:rPr>
        <w:t xml:space="preserve"> </w:t>
      </w:r>
      <w:r>
        <w:rPr>
          <w:rFonts w:ascii="Arial" w:cs="Arial" w:eastAsia="Arial" w:hAnsi="Arial"/>
          <w:sz w:val="15"/>
          <w:szCs w:val="15"/>
          <w:color w:val="auto"/>
        </w:rPr>
        <w:t>enable these banks to lower loss rates by almost 75% while keeping approval rates constant.</w:t>
      </w:r>
      <w:r>
        <w:rPr>
          <w:rFonts w:ascii="Arial" w:cs="Arial" w:eastAsia="Arial" w:hAnsi="Arial"/>
          <w:sz w:val="12"/>
          <w:szCs w:val="12"/>
          <w:color w:val="auto"/>
        </w:rPr>
        <w:t>50</w:t>
      </w:r>
    </w:p>
    <w:p>
      <w:pPr>
        <w:spacing w:after="0" w:line="55" w:lineRule="exact"/>
        <w:rPr>
          <w:rFonts w:ascii="Arial" w:cs="Arial" w:eastAsia="Arial" w:hAnsi="Arial"/>
          <w:sz w:val="15"/>
          <w:szCs w:val="15"/>
          <w:color w:val="auto"/>
        </w:rPr>
      </w:pPr>
    </w:p>
    <w:p>
      <w:pPr>
        <w:ind w:left="1780" w:right="459" w:hanging="161"/>
        <w:spacing w:after="0" w:line="267" w:lineRule="auto"/>
        <w:tabs>
          <w:tab w:leader="none" w:pos="17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New product offering</w:t>
      </w:r>
      <w:r>
        <w:rPr>
          <w:rFonts w:ascii="Arial" w:cs="Arial" w:eastAsia="Arial" w:hAnsi="Arial"/>
          <w:sz w:val="15"/>
          <w:szCs w:val="15"/>
          <w:color w:val="auto"/>
        </w:rPr>
        <w:t>—Personal loans are one of the fastest-growing segment of credit in the U.S.</w:t>
      </w:r>
      <w:r>
        <w:rPr>
          <w:rFonts w:ascii="Arial" w:cs="Arial" w:eastAsia="Arial" w:hAnsi="Arial"/>
          <w:sz w:val="12"/>
          <w:szCs w:val="12"/>
          <w:color w:val="auto"/>
        </w:rPr>
        <w:t>51</w:t>
      </w:r>
      <w:r>
        <w:rPr>
          <w:rFonts w:ascii="Arial" w:cs="Arial" w:eastAsia="Arial" w:hAnsi="Arial"/>
          <w:sz w:val="15"/>
          <w:szCs w:val="15"/>
          <w:i w:val="1"/>
          <w:iCs w:val="1"/>
          <w:color w:val="auto"/>
        </w:rPr>
        <w:t xml:space="preserve"> </w:t>
      </w:r>
      <w:r>
        <w:rPr>
          <w:rFonts w:ascii="Arial" w:cs="Arial" w:eastAsia="Arial" w:hAnsi="Arial"/>
          <w:sz w:val="15"/>
          <w:szCs w:val="15"/>
          <w:color w:val="auto"/>
        </w:rPr>
        <w:t>Our platform helps</w:t>
      </w:r>
      <w:r>
        <w:rPr>
          <w:rFonts w:ascii="Arial" w:cs="Arial" w:eastAsia="Arial" w:hAnsi="Arial"/>
          <w:sz w:val="15"/>
          <w:szCs w:val="15"/>
          <w:i w:val="1"/>
          <w:iCs w:val="1"/>
          <w:color w:val="auto"/>
        </w:rPr>
        <w:t xml:space="preserve"> </w:t>
      </w:r>
      <w:r>
        <w:rPr>
          <w:rFonts w:ascii="Arial" w:cs="Arial" w:eastAsia="Arial" w:hAnsi="Arial"/>
          <w:sz w:val="15"/>
          <w:szCs w:val="15"/>
          <w:color w:val="auto"/>
        </w:rPr>
        <w:t>banks provide a product their customers want, rather than letting customers seek loans from competitors.</w:t>
      </w:r>
    </w:p>
    <w:p>
      <w:pPr>
        <w:spacing w:after="0" w:line="55" w:lineRule="exact"/>
        <w:rPr>
          <w:rFonts w:ascii="Arial" w:cs="Arial" w:eastAsia="Arial" w:hAnsi="Arial"/>
          <w:sz w:val="15"/>
          <w:szCs w:val="15"/>
          <w:color w:val="auto"/>
        </w:rPr>
      </w:pPr>
    </w:p>
    <w:p>
      <w:pPr>
        <w:ind w:left="1780" w:right="379" w:hanging="161"/>
        <w:spacing w:after="0" w:line="251" w:lineRule="auto"/>
        <w:tabs>
          <w:tab w:leader="none" w:pos="17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Institutional investor acceptance</w:t>
      </w:r>
      <w:r>
        <w:rPr>
          <w:rFonts w:ascii="Arial" w:cs="Arial" w:eastAsia="Arial" w:hAnsi="Arial"/>
          <w:sz w:val="15"/>
          <w:szCs w:val="15"/>
          <w:color w:val="auto"/>
        </w:rPr>
        <w:t>—Analyses by credit rating agencies, loan and bond buying institutions, and credit</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underwriters help banks gain confidence that Upstart-powered loans are subject to significant and constant scrutiny from experts, the results of which are often publicly available.</w:t>
      </w:r>
    </w:p>
    <w:p>
      <w:pPr>
        <w:spacing w:after="0" w:line="23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Competitive Strengths</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Constantly Improving AI Models</w:t>
      </w:r>
    </w:p>
    <w:p>
      <w:pPr>
        <w:spacing w:after="0" w:line="105" w:lineRule="exact"/>
        <w:rPr>
          <w:sz w:val="20"/>
          <w:szCs w:val="20"/>
          <w:color w:val="auto"/>
        </w:rPr>
      </w:pPr>
    </w:p>
    <w:p>
      <w:pPr>
        <w:ind w:left="1180" w:right="319" w:firstLine="444"/>
        <w:spacing w:after="0" w:line="238" w:lineRule="auto"/>
        <w:rPr>
          <w:sz w:val="20"/>
          <w:szCs w:val="20"/>
          <w:color w:val="auto"/>
        </w:rPr>
      </w:pPr>
      <w:r>
        <w:rPr>
          <w:rFonts w:ascii="Arial" w:cs="Arial" w:eastAsia="Arial" w:hAnsi="Arial"/>
          <w:sz w:val="15"/>
          <w:szCs w:val="15"/>
          <w:color w:val="auto"/>
        </w:rPr>
        <w:t>We have been building and refining our AI models for more than eight years, and they have led directly to our growth and profitability. Our models currently incorporate more than 1,600 variables and are trained by more than 9 million repayment events. Beyond the advantages accrued by our constantly growing volume of training data, our data science team continues to update our modeling</w:t>
      </w:r>
    </w:p>
    <w:p>
      <w:pPr>
        <w:spacing w:after="0" w:line="154" w:lineRule="exact"/>
        <w:rPr>
          <w:sz w:val="20"/>
          <w:szCs w:val="20"/>
          <w:color w:val="auto"/>
        </w:rPr>
      </w:pPr>
    </w:p>
    <w:p>
      <w:pPr>
        <w:ind w:left="1620" w:right="119" w:hanging="441"/>
        <w:spacing w:after="0" w:line="207" w:lineRule="auto"/>
        <w:tabs>
          <w:tab w:leader="none" w:pos="16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The disclosed figure represents the weighted average of the Net Promoter Scores of each of our bank partners in the third quarter of 2020.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 For further information, see the section titled “Industry, Market and Other Data.”</w:t>
      </w:r>
    </w:p>
    <w:p>
      <w:pPr>
        <w:spacing w:after="0" w:line="1" w:lineRule="exact"/>
        <w:rPr>
          <w:rFonts w:ascii="Arial" w:cs="Arial" w:eastAsia="Arial" w:hAnsi="Arial"/>
          <w:sz w:val="20"/>
          <w:szCs w:val="20"/>
          <w:color w:val="auto"/>
          <w:vertAlign w:val="superscript"/>
        </w:rPr>
      </w:pPr>
    </w:p>
    <w:p>
      <w:pPr>
        <w:ind w:left="1620" w:right="199" w:hanging="441"/>
        <w:spacing w:after="0" w:line="201" w:lineRule="auto"/>
        <w:tabs>
          <w:tab w:leader="none" w:pos="16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1" w:lineRule="exact"/>
        <w:rPr>
          <w:rFonts w:ascii="Arial" w:cs="Arial" w:eastAsia="Arial" w:hAnsi="Arial"/>
          <w:sz w:val="20"/>
          <w:szCs w:val="20"/>
          <w:color w:val="auto"/>
          <w:vertAlign w:val="superscript"/>
        </w:rPr>
      </w:pPr>
    </w:p>
    <w:p>
      <w:pPr>
        <w:ind w:left="1620" w:hanging="441"/>
        <w:spacing w:after="0" w:line="188" w:lineRule="auto"/>
        <w:tabs>
          <w:tab w:leader="none" w:pos="162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Beiseitov; see the section titled “Industry, Market and Other Data.”</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429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3905" cy="54292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180" w:right="279"/>
        <w:spacing w:after="0"/>
        <w:rPr>
          <w:sz w:val="20"/>
          <w:szCs w:val="20"/>
          <w:color w:val="auto"/>
        </w:rPr>
      </w:pPr>
      <w:r>
        <w:rPr>
          <w:rFonts w:ascii="Arial" w:cs="Arial" w:eastAsia="Arial" w:hAnsi="Arial"/>
          <w:sz w:val="15"/>
          <w:szCs w:val="15"/>
          <w:color w:val="auto"/>
        </w:rPr>
        <w:t>techniques regularly. Model and technology improvements have increased our conversion rate from the initial rate inquiry to funded loan by a factor of ten since inception. We have a pipeline of potential model improvements that we expect will further increase our conversion rates in the future.</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Flexible Two-Sided Ecosystem</w:t>
      </w:r>
    </w:p>
    <w:p>
      <w:pPr>
        <w:spacing w:after="0" w:line="105" w:lineRule="exact"/>
        <w:rPr>
          <w:sz w:val="20"/>
          <w:szCs w:val="20"/>
          <w:color w:val="auto"/>
        </w:rPr>
      </w:pPr>
    </w:p>
    <w:p>
      <w:pPr>
        <w:ind w:left="1180" w:right="419" w:firstLine="444"/>
        <w:spacing w:after="0"/>
        <w:rPr>
          <w:sz w:val="20"/>
          <w:szCs w:val="20"/>
          <w:color w:val="auto"/>
        </w:rPr>
      </w:pPr>
      <w:r>
        <w:rPr>
          <w:rFonts w:ascii="Arial" w:cs="Arial" w:eastAsia="Arial" w:hAnsi="Arial"/>
          <w:sz w:val="15"/>
          <w:szCs w:val="15"/>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170" w:lineRule="exact"/>
        <w:rPr>
          <w:sz w:val="20"/>
          <w:szCs w:val="20"/>
          <w:color w:val="auto"/>
        </w:rPr>
      </w:pPr>
    </w:p>
    <w:p>
      <w:pPr>
        <w:ind w:left="1180" w:right="239" w:firstLine="444"/>
        <w:spacing w:after="0"/>
        <w:rPr>
          <w:sz w:val="20"/>
          <w:szCs w:val="20"/>
          <w:color w:val="auto"/>
        </w:rPr>
      </w:pPr>
      <w:r>
        <w:rPr>
          <w:rFonts w:ascii="Arial" w:cs="Arial" w:eastAsia="Arial" w:hAnsi="Arial"/>
          <w:sz w:val="15"/>
          <w:szCs w:val="15"/>
          <w:color w:val="auto"/>
        </w:rPr>
        <w:t>With an expanding list of bank partners, we can solve the borrowing needs of an increasingly diverse array of consumers. As more banks leverage the Upstart platform, consumers benefit from better offers of credit, while experiencing a consistently high-quality experience.</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Capital Efficient Fee-Based Business</w:t>
      </w:r>
    </w:p>
    <w:p>
      <w:pPr>
        <w:spacing w:after="0" w:line="105" w:lineRule="exact"/>
        <w:rPr>
          <w:sz w:val="20"/>
          <w:szCs w:val="20"/>
          <w:color w:val="auto"/>
        </w:rPr>
      </w:pPr>
    </w:p>
    <w:p>
      <w:pPr>
        <w:ind w:left="1180" w:right="199" w:firstLine="444"/>
        <w:spacing w:after="0"/>
        <w:rPr>
          <w:sz w:val="20"/>
          <w:szCs w:val="20"/>
          <w:color w:val="auto"/>
        </w:rPr>
      </w:pPr>
      <w:r>
        <w:rPr>
          <w:rFonts w:ascii="Arial" w:cs="Arial" w:eastAsia="Arial" w:hAnsi="Arial"/>
          <w:sz w:val="15"/>
          <w:szCs w:val="15"/>
          <w:color w:val="auto"/>
        </w:rPr>
        <w:t>In the third quarter of 2020, we generated 96% of revenue from fees from banks and loan servicing. We have also achieved a high degree of automation, with approximately 70% of Upstart-powered loans approved instantly and fully automated in the third quarter of 2020, driving operating leverage and improving unit economics.</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Regulatory Compliance</w:t>
      </w:r>
    </w:p>
    <w:p>
      <w:pPr>
        <w:spacing w:after="0" w:line="105"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r>
        <w:rPr>
          <w:rFonts w:ascii="Arial" w:cs="Arial" w:eastAsia="Arial" w:hAnsi="Arial"/>
          <w:sz w:val="12"/>
          <w:szCs w:val="12"/>
          <w:color w:val="auto"/>
        </w:rPr>
        <w:t>52</w:t>
      </w:r>
    </w:p>
    <w:p>
      <w:pPr>
        <w:spacing w:after="0" w:line="168" w:lineRule="exact"/>
        <w:rPr>
          <w:sz w:val="20"/>
          <w:szCs w:val="20"/>
          <w:color w:val="auto"/>
        </w:rPr>
      </w:pPr>
    </w:p>
    <w:p>
      <w:pPr>
        <w:ind w:left="1180" w:right="159" w:firstLine="444"/>
        <w:spacing w:after="0" w:line="239" w:lineRule="auto"/>
        <w:rPr>
          <w:sz w:val="20"/>
          <w:szCs w:val="20"/>
          <w:color w:val="auto"/>
        </w:rPr>
      </w:pPr>
      <w:r>
        <w:rPr>
          <w:rFonts w:ascii="Arial" w:cs="Arial" w:eastAsia="Arial" w:hAnsi="Arial"/>
          <w:sz w:val="15"/>
          <w:szCs w:val="15"/>
          <w:color w:val="auto"/>
        </w:rPr>
        <w:t>In September 2017, we received the CFPB’s first no-action letter.</w:t>
      </w:r>
      <w:r>
        <w:rPr>
          <w:rFonts w:ascii="Arial" w:cs="Arial" w:eastAsia="Arial" w:hAnsi="Arial"/>
          <w:sz w:val="12"/>
          <w:szCs w:val="12"/>
          <w:color w:val="auto"/>
        </w:rPr>
        <w:t>53</w:t>
      </w:r>
      <w:r>
        <w:rPr>
          <w:rFonts w:ascii="Arial" w:cs="Arial" w:eastAsia="Arial" w:hAnsi="Arial"/>
          <w:sz w:val="15"/>
          <w:szCs w:val="15"/>
          <w:color w:val="auto"/>
        </w:rPr>
        <w:t xml:space="preserve"> The CFPB issues no-action letters to reduce potential regulatory uncertainty for innovative products that may offer significant consumer benefit.</w:t>
      </w:r>
      <w:r>
        <w:rPr>
          <w:rFonts w:ascii="Arial" w:cs="Arial" w:eastAsia="Arial" w:hAnsi="Arial"/>
          <w:sz w:val="12"/>
          <w:szCs w:val="12"/>
          <w:color w:val="auto"/>
        </w:rPr>
        <w:t>54</w:t>
      </w:r>
      <w:r>
        <w:rPr>
          <w:rFonts w:ascii="Arial" w:cs="Arial" w:eastAsia="Arial" w:hAnsi="Arial"/>
          <w:sz w:val="15"/>
          <w:szCs w:val="15"/>
          <w:color w:val="auto"/>
        </w:rPr>
        <w:t xml:space="preserve"> On November 30, 2020, at the expiration of our first no-action letter, we received a new no-action letter from the CFPB, which expires on November 30, 2023. At this time, we do not know of any other lending platforms that have received similar no-action letters for fair lending from the CFPB.</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Growth Strategy</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Model Improvements</w:t>
      </w:r>
    </w:p>
    <w:p>
      <w:pPr>
        <w:spacing w:after="0" w:line="105"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 A more efficient funnel also has the effect of enabling new marketing and acquisition channels that may not have been economical in the past, providing a second-order growth driver.</w:t>
      </w:r>
    </w:p>
    <w:p>
      <w:pPr>
        <w:spacing w:after="0" w:line="364" w:lineRule="exact"/>
        <w:rPr>
          <w:sz w:val="20"/>
          <w:szCs w:val="20"/>
          <w:color w:val="auto"/>
        </w:rPr>
      </w:pPr>
    </w:p>
    <w:p>
      <w:pPr>
        <w:ind w:left="1620" w:hanging="441"/>
        <w:spacing w:after="0"/>
        <w:tabs>
          <w:tab w:leader="none" w:pos="162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620" w:hanging="441"/>
        <w:spacing w:after="0" w:line="188" w:lineRule="auto"/>
        <w:tabs>
          <w:tab w:leader="none" w:pos="1620" w:val="left"/>
        </w:tabs>
        <w:numPr>
          <w:ilvl w:val="0"/>
          <w:numId w:val="14"/>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620" w:hanging="441"/>
        <w:spacing w:after="0" w:line="188" w:lineRule="auto"/>
        <w:tabs>
          <w:tab w:leader="none" w:pos="1620" w:val="left"/>
        </w:tabs>
        <w:numPr>
          <w:ilvl w:val="0"/>
          <w:numId w:val="14"/>
        </w:numPr>
        <w:rPr>
          <w:rFonts w:ascii="Arial" w:cs="Arial" w:eastAsia="Arial" w:hAnsi="Arial"/>
          <w:sz w:val="16"/>
          <w:szCs w:val="16"/>
          <w:color w:val="auto"/>
          <w:vertAlign w:val="superscript"/>
        </w:rPr>
      </w:pPr>
      <w:r>
        <w:rPr>
          <w:rFonts w:ascii="Arial" w:cs="Arial" w:eastAsia="Arial" w:hAnsi="Arial"/>
          <w:sz w:val="10"/>
          <w:szCs w:val="10"/>
          <w:color w:val="auto"/>
        </w:rPr>
        <w:t>Consumer Financial Protection Bureau, Policy on No-Action Letters, September 2019.</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149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3905" cy="5149850"/>
                    </a:xfrm>
                    <a:prstGeom prst="rect">
                      <a:avLst/>
                    </a:prstGeom>
                    <a:noFill/>
                  </pic:spPr>
                </pic:pic>
              </a:graphicData>
            </a:graphic>
          </wp:anchor>
        </w:drawing>
      </w:r>
    </w:p>
    <w:p>
      <w:pPr>
        <w:spacing w:after="0" w:line="389"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More Efficient Funding</w:t>
      </w:r>
    </w:p>
    <w:p>
      <w:pPr>
        <w:spacing w:after="0" w:line="105"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regularly, as credit rating agencies and loan and residual buyers gain confidence in the credit performance of Upstart-powered loans.</w:t>
      </w:r>
    </w:p>
    <w:p>
      <w:pPr>
        <w:spacing w:after="0" w:line="170" w:lineRule="exact"/>
        <w:rPr>
          <w:sz w:val="20"/>
          <w:szCs w:val="20"/>
          <w:color w:val="auto"/>
        </w:rPr>
      </w:pPr>
    </w:p>
    <w:p>
      <w:pPr>
        <w:ind w:left="1180" w:right="119" w:firstLine="444"/>
        <w:spacing w:after="0" w:line="245" w:lineRule="auto"/>
        <w:rPr>
          <w:sz w:val="20"/>
          <w:szCs w:val="20"/>
          <w:color w:val="auto"/>
        </w:rPr>
      </w:pPr>
      <w:r>
        <w:rPr>
          <w:rFonts w:ascii="Arial" w:cs="Arial" w:eastAsia="Arial" w:hAnsi="Arial"/>
          <w:sz w:val="15"/>
          <w:szCs w:val="15"/>
          <w:color w:val="auto"/>
        </w:rPr>
        <w:t>Our internal data suggests that each 100 basis point reduction in interest rate offered to the consumer increases conversion by 15%.</w:t>
      </w:r>
      <w:r>
        <w:rPr>
          <w:rFonts w:ascii="Arial" w:cs="Arial" w:eastAsia="Arial" w:hAnsi="Arial"/>
          <w:sz w:val="12"/>
          <w:szCs w:val="12"/>
          <w:color w:val="auto"/>
        </w:rPr>
        <w:t>55</w:t>
      </w:r>
      <w:r>
        <w:rPr>
          <w:rFonts w:ascii="Arial" w:cs="Arial" w:eastAsia="Arial" w:hAnsi="Arial"/>
          <w:sz w:val="15"/>
          <w:szCs w:val="15"/>
          <w:color w:val="auto"/>
        </w:rPr>
        <w:t xml:space="preserve"> Therefore, reduced cost of funding can be a direct driver of growth.</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 Distribution</w:t>
      </w:r>
    </w:p>
    <w:p>
      <w:pPr>
        <w:spacing w:after="0" w:line="105"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white-labeled versions of Upstart to serve their new and existing customers directly.</w:t>
      </w:r>
    </w:p>
    <w:p>
      <w:pPr>
        <w:spacing w:after="0" w:line="244"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New Products</w:t>
      </w:r>
    </w:p>
    <w:p>
      <w:pPr>
        <w:spacing w:after="0" w:line="103" w:lineRule="exact"/>
        <w:rPr>
          <w:sz w:val="20"/>
          <w:szCs w:val="20"/>
          <w:color w:val="auto"/>
        </w:rPr>
      </w:pPr>
    </w:p>
    <w:p>
      <w:pPr>
        <w:ind w:left="1180" w:right="219" w:firstLine="444"/>
        <w:spacing w:after="0" w:line="238" w:lineRule="auto"/>
        <w:rPr>
          <w:sz w:val="20"/>
          <w:szCs w:val="20"/>
          <w:color w:val="auto"/>
        </w:rPr>
      </w:pPr>
      <w:r>
        <w:rPr>
          <w:rFonts w:ascii="Arial" w:cs="Arial" w:eastAsia="Arial" w:hAnsi="Arial"/>
          <w:sz w:val="15"/>
          <w:szCs w:val="15"/>
          <w:color w:val="auto"/>
        </w:rPr>
        <w:t>Personal loans are one of the fastest-growing segment of consumer credit in the U.S., but they are far from the largest.</w:t>
      </w:r>
      <w:r>
        <w:rPr>
          <w:rFonts w:ascii="Arial" w:cs="Arial" w:eastAsia="Arial" w:hAnsi="Arial"/>
          <w:sz w:val="12"/>
          <w:szCs w:val="12"/>
          <w:color w:val="auto"/>
        </w:rPr>
        <w:t>56</w:t>
      </w:r>
      <w:r>
        <w:rPr>
          <w:rFonts w:ascii="Arial" w:cs="Arial" w:eastAsia="Arial" w:hAnsi="Arial"/>
          <w:sz w:val="15"/>
          <w:szCs w:val="15"/>
          <w:color w:val="auto"/>
        </w:rPr>
        <w:t xml:space="preserve"> As we apply our AI models and technology to other credit verticals, we will be able to serve the needs of more consumers and to play a broader technology enablement role for our bank partners. There is significant opportunity to expand from personal loans to auto loans, credit cards, mortgages, student loans, point-of-sale loans and HELOCs. In June 2020, we began offering auto loans on our platform, and in September 2020, the first auto loan was originated through the Upstart platform.</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Risk Factors Summary</w:t>
      </w:r>
    </w:p>
    <w:p>
      <w:pPr>
        <w:spacing w:after="0" w:line="105" w:lineRule="exact"/>
        <w:rPr>
          <w:sz w:val="20"/>
          <w:szCs w:val="20"/>
          <w:color w:val="auto"/>
        </w:rPr>
      </w:pPr>
    </w:p>
    <w:p>
      <w:pPr>
        <w:ind w:left="1180" w:right="439" w:firstLine="444"/>
        <w:spacing w:after="0" w:line="245"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87" w:lineRule="exact"/>
        <w:rPr>
          <w:sz w:val="20"/>
          <w:szCs w:val="20"/>
          <w:color w:val="auto"/>
        </w:rPr>
      </w:pPr>
    </w:p>
    <w:p>
      <w:pPr>
        <w:ind w:left="1780" w:right="919" w:hanging="161"/>
        <w:spacing w:after="0" w:line="245" w:lineRule="auto"/>
        <w:tabs>
          <w:tab w:leader="none" w:pos="1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are a rapidly growing company with a relatively limited operating history, which may result in increased risks, uncertainties, expenses and difficulties, and makes it difficult to evaluate our future prospects.</w:t>
      </w:r>
    </w:p>
    <w:p>
      <w:pPr>
        <w:spacing w:after="0" w:line="87" w:lineRule="exact"/>
        <w:rPr>
          <w:rFonts w:ascii="Arial" w:cs="Arial" w:eastAsia="Arial" w:hAnsi="Arial"/>
          <w:sz w:val="15"/>
          <w:szCs w:val="15"/>
          <w:color w:val="auto"/>
        </w:rPr>
      </w:pPr>
    </w:p>
    <w:p>
      <w:pPr>
        <w:ind w:left="1780" w:right="239" w:hanging="161"/>
        <w:spacing w:after="0" w:line="245" w:lineRule="auto"/>
        <w:tabs>
          <w:tab w:leader="none" w:pos="1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revenue growth rate and financial performance in recent periods may not be indicative of future performance and such growth may slow over time.</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COVID-19 pandemic has harmed and could continue to harm our business, financial condition and results of operations.</w:t>
      </w:r>
    </w:p>
    <w:p>
      <w:pPr>
        <w:spacing w:after="0" w:line="109" w:lineRule="exact"/>
        <w:rPr>
          <w:rFonts w:ascii="Arial" w:cs="Arial" w:eastAsia="Arial" w:hAnsi="Arial"/>
          <w:sz w:val="14"/>
          <w:szCs w:val="14"/>
          <w:color w:val="auto"/>
        </w:rPr>
      </w:pPr>
    </w:p>
    <w:p>
      <w:pPr>
        <w:ind w:left="1780" w:right="419" w:hanging="161"/>
        <w:spacing w:after="0" w:line="245" w:lineRule="auto"/>
        <w:tabs>
          <w:tab w:leader="none" w:pos="1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we fail to effectively manage our growth, our business, financial condition and results of operations could be adversely affected.</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have incurred net losses in the past, and we may not be able to maintain or increase our profitability in the future.</w:t>
      </w:r>
    </w:p>
    <w:p>
      <w:pPr>
        <w:spacing w:after="0" w:line="260" w:lineRule="exact"/>
        <w:rPr>
          <w:sz w:val="20"/>
          <w:szCs w:val="20"/>
          <w:color w:val="auto"/>
        </w:rPr>
      </w:pPr>
    </w:p>
    <w:p>
      <w:pPr>
        <w:ind w:left="1620" w:right="99" w:hanging="441"/>
        <w:spacing w:after="0" w:line="192" w:lineRule="auto"/>
        <w:tabs>
          <w:tab w:leader="none" w:pos="1620" w:val="left"/>
        </w:tabs>
        <w:numPr>
          <w:ilvl w:val="0"/>
          <w:numId w:val="16"/>
        </w:numPr>
        <w:rPr>
          <w:rFonts w:ascii="Arial" w:cs="Arial" w:eastAsia="Arial" w:hAnsi="Arial"/>
          <w:sz w:val="20"/>
          <w:szCs w:val="20"/>
          <w:color w:val="auto"/>
          <w:vertAlign w:val="superscript"/>
        </w:rPr>
      </w:pPr>
      <w:r>
        <w:rPr>
          <w:rFonts w:ascii="Arial" w:cs="Arial" w:eastAsia="Arial" w:hAnsi="Arial"/>
          <w:sz w:val="12"/>
          <w:szCs w:val="12"/>
          <w:color w:val="auto"/>
        </w:rPr>
        <w:t>In a series of internal studies conducted in April 2016, September 2016 and January 2018, Upstart compared changes in conversion rates between test groups of Upstart loan applicants when loan offer APRs were increased or decreased for certain groups. The average change in conversion rates across the three studies is presented.</w:t>
      </w:r>
    </w:p>
    <w:p>
      <w:pPr>
        <w:ind w:left="1620" w:hanging="441"/>
        <w:spacing w:after="0" w:line="188" w:lineRule="auto"/>
        <w:tabs>
          <w:tab w:leader="none" w:pos="1620" w:val="left"/>
        </w:tabs>
        <w:numPr>
          <w:ilvl w:val="0"/>
          <w:numId w:val="16"/>
        </w:numPr>
        <w:rPr>
          <w:rFonts w:ascii="Arial" w:cs="Arial" w:eastAsia="Arial" w:hAnsi="Arial"/>
          <w:sz w:val="16"/>
          <w:szCs w:val="16"/>
          <w:color w:val="auto"/>
          <w:vertAlign w:val="superscript"/>
        </w:rPr>
      </w:pPr>
      <w:r>
        <w:rPr>
          <w:rFonts w:ascii="Arial" w:cs="Arial" w:eastAsia="Arial" w:hAnsi="Arial"/>
          <w:sz w:val="10"/>
          <w:szCs w:val="10"/>
          <w:color w:val="auto"/>
        </w:rPr>
        <w:t>Beiseitov; see the section titled “Industry, Market and Other Data.”</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7"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704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3905" cy="46704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hanging="161"/>
        <w:spacing w:after="0"/>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quarterly results are likely to fluctuate and as a result may adversely affect the trading price of our common stock.</w:t>
      </w:r>
    </w:p>
    <w:p>
      <w:pPr>
        <w:spacing w:after="0" w:line="97" w:lineRule="exact"/>
        <w:rPr>
          <w:rFonts w:ascii="Arial" w:cs="Arial" w:eastAsia="Arial" w:hAnsi="Arial"/>
          <w:sz w:val="15"/>
          <w:szCs w:val="15"/>
          <w:color w:val="auto"/>
        </w:rPr>
      </w:pPr>
    </w:p>
    <w:p>
      <w:pPr>
        <w:ind w:left="1780" w:right="45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8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8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Cross River Bank and one other bank partner account for a substantial portion of the total number of loans facilitated by our platform and our revenue.</w:t>
      </w:r>
    </w:p>
    <w:p>
      <w:pPr>
        <w:spacing w:after="0" w:line="87" w:lineRule="exact"/>
        <w:rPr>
          <w:rFonts w:ascii="Arial" w:cs="Arial" w:eastAsia="Arial" w:hAnsi="Arial"/>
          <w:sz w:val="15"/>
          <w:szCs w:val="15"/>
          <w:color w:val="auto"/>
        </w:rPr>
      </w:pPr>
    </w:p>
    <w:p>
      <w:pPr>
        <w:ind w:left="1780" w:right="73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sales and onboarding process of new bank partners could take longer than expected, leading to fluctuations or variability in expected revenues and results of operations.</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business may be adversely affected by economic conditions and other factors that we cannot control.</w:t>
      </w:r>
    </w:p>
    <w:p>
      <w:pPr>
        <w:spacing w:after="0" w:line="97" w:lineRule="exact"/>
        <w:rPr>
          <w:rFonts w:ascii="Arial" w:cs="Arial" w:eastAsia="Arial" w:hAnsi="Arial"/>
          <w:sz w:val="15"/>
          <w:szCs w:val="15"/>
          <w:color w:val="auto"/>
        </w:rPr>
      </w:pPr>
    </w:p>
    <w:p>
      <w:pPr>
        <w:ind w:left="1780" w:right="319" w:hanging="161"/>
        <w:spacing w:after="0"/>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91"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we are unable to maintain a diverse and robust loan funding program, our growth prospects, business, financial condition and results of operations could be adversely affected.</w:t>
      </w:r>
    </w:p>
    <w:p>
      <w:pPr>
        <w:spacing w:after="0" w:line="87" w:lineRule="exact"/>
        <w:rPr>
          <w:rFonts w:ascii="Arial" w:cs="Arial" w:eastAsia="Arial" w:hAnsi="Arial"/>
          <w:sz w:val="15"/>
          <w:szCs w:val="15"/>
          <w:color w:val="auto"/>
        </w:rPr>
      </w:pPr>
    </w:p>
    <w:p>
      <w:pPr>
        <w:ind w:left="1780" w:right="15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87" w:lineRule="exact"/>
        <w:rPr>
          <w:rFonts w:ascii="Arial" w:cs="Arial" w:eastAsia="Arial" w:hAnsi="Arial"/>
          <w:sz w:val="15"/>
          <w:szCs w:val="15"/>
          <w:color w:val="auto"/>
        </w:rPr>
      </w:pPr>
    </w:p>
    <w:p>
      <w:pPr>
        <w:ind w:left="1780" w:right="119" w:hanging="161"/>
        <w:spacing w:after="0" w:line="280" w:lineRule="auto"/>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rely on strategic relationships with loan aggregators to attract applicants to our platform, and if we cannot maintain effective relationships with loan aggregators or successfully replace their services, our business could be adversely affected.</w:t>
      </w:r>
    </w:p>
    <w:p>
      <w:pPr>
        <w:spacing w:after="0" w:line="63" w:lineRule="exact"/>
        <w:rPr>
          <w:rFonts w:ascii="Arial" w:cs="Arial" w:eastAsia="Arial" w:hAnsi="Arial"/>
          <w:sz w:val="14"/>
          <w:szCs w:val="14"/>
          <w:color w:val="auto"/>
        </w:rPr>
      </w:pPr>
    </w:p>
    <w:p>
      <w:pPr>
        <w:jc w:val="both"/>
        <w:ind w:left="1780" w:right="179" w:hanging="161"/>
        <w:spacing w:after="0"/>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Channels for Disclosure of Information</w:t>
      </w:r>
    </w:p>
    <w:p>
      <w:pPr>
        <w:spacing w:after="0" w:line="10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Investors, the media and others should note that, following the completion of this offering, we intend to announce material information to the public through filings with the Securities and Exchange Commission, or the SEC, our corporate blog at Upstart.com/blog, the investor relations page on our website, press releases, our Twitter account (@Upstart), our Facebook page, our LinkedIn page, public conference calls or webcasts.</w:t>
      </w:r>
    </w:p>
    <w:p>
      <w:pPr>
        <w:spacing w:after="0" w:line="172"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66" w:lineRule="exact"/>
        <w:rPr>
          <w:sz w:val="20"/>
          <w:szCs w:val="20"/>
          <w:color w:val="auto"/>
        </w:rPr>
      </w:pPr>
    </w:p>
    <w:p>
      <w:pPr>
        <w:ind w:left="1180" w:right="579" w:firstLine="444"/>
        <w:spacing w:after="0" w:line="245" w:lineRule="auto"/>
        <w:rPr>
          <w:sz w:val="20"/>
          <w:szCs w:val="20"/>
          <w:color w:val="auto"/>
        </w:rPr>
      </w:pPr>
      <w:r>
        <w:rPr>
          <w:rFonts w:ascii="Arial" w:cs="Arial" w:eastAsia="Arial" w:hAnsi="Arial"/>
          <w:sz w:val="15"/>
          <w:szCs w:val="15"/>
          <w:color w:val="auto"/>
        </w:rPr>
        <w:t>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7"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704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3905" cy="467042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Corporate Information</w:t>
      </w:r>
    </w:p>
    <w:p>
      <w:pPr>
        <w:spacing w:after="0" w:line="105"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300, San Mateo, California 94403, and our telephone number is (650) 204-1000. Our website address is www.Upstart.com. Information contained on, or that can be accessed through, our website does not constitute part of this prospectus and inclusions of our website address in this prospectus are inactive textual references only. You should not consider information contained on our website to be part of this prospectus or in deciding whether to purchase shares of our common stock.</w:t>
      </w:r>
    </w:p>
    <w:p>
      <w:pPr>
        <w:spacing w:after="0" w:line="172" w:lineRule="exact"/>
        <w:rPr>
          <w:sz w:val="20"/>
          <w:szCs w:val="20"/>
          <w:color w:val="auto"/>
        </w:rPr>
      </w:pPr>
    </w:p>
    <w:p>
      <w:pPr>
        <w:ind w:left="1180" w:right="219" w:firstLine="444"/>
        <w:spacing w:after="0"/>
        <w:rPr>
          <w:sz w:val="20"/>
          <w:szCs w:val="20"/>
          <w:color w:val="auto"/>
        </w:rPr>
      </w:pPr>
      <w:r>
        <w:rPr>
          <w:rFonts w:ascii="Arial" w:cs="Arial" w:eastAsia="Arial" w:hAnsi="Arial"/>
          <w:sz w:val="15"/>
          <w:szCs w:val="15"/>
          <w:color w:val="auto"/>
        </w:rPr>
        <w:t>Upstart, our logo, and our other registered or common law trademarks, service marks, or trade names appearing in this prospectus are the property of Upstart Holdings, Inc. or one of its subsidiaries. Other trademarks and trade names referred to in this prospectus are the property of their respective owners.</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JOBS Act</w:t>
      </w:r>
    </w:p>
    <w:p>
      <w:pPr>
        <w:spacing w:after="0" w:line="105" w:lineRule="exact"/>
        <w:rPr>
          <w:sz w:val="20"/>
          <w:szCs w:val="20"/>
          <w:color w:val="auto"/>
        </w:rPr>
      </w:pPr>
    </w:p>
    <w:p>
      <w:pPr>
        <w:jc w:val="both"/>
        <w:ind w:left="1180" w:right="99" w:firstLine="444"/>
        <w:spacing w:after="0"/>
        <w:rPr>
          <w:sz w:val="20"/>
          <w:szCs w:val="20"/>
          <w:color w:val="auto"/>
        </w:rPr>
      </w:pPr>
      <w:r>
        <w:rPr>
          <w:rFonts w:ascii="Arial" w:cs="Arial" w:eastAsia="Arial" w:hAnsi="Arial"/>
          <w:sz w:val="15"/>
          <w:szCs w:val="15"/>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91" w:lineRule="exact"/>
        <w:rPr>
          <w:sz w:val="20"/>
          <w:szCs w:val="20"/>
          <w:color w:val="auto"/>
        </w:rPr>
      </w:pPr>
    </w:p>
    <w:p>
      <w:pPr>
        <w:ind w:left="1780" w:right="339" w:hanging="161"/>
        <w:spacing w:after="0" w:line="245"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reduced obligations with respect to financial data, including presenting only two years of audited financial statements and only two years of selected financial data;</w:t>
      </w:r>
    </w:p>
    <w:p>
      <w:pPr>
        <w:spacing w:after="0" w:line="87" w:lineRule="exact"/>
        <w:rPr>
          <w:rFonts w:ascii="Arial" w:cs="Arial" w:eastAsia="Arial" w:hAnsi="Arial"/>
          <w:sz w:val="15"/>
          <w:szCs w:val="15"/>
          <w:color w:val="auto"/>
        </w:rPr>
      </w:pPr>
    </w:p>
    <w:p>
      <w:pPr>
        <w:ind w:left="1780" w:right="99" w:hanging="161"/>
        <w:spacing w:after="0" w:line="245"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exception from compliance with the auditor attestation requirements of Section 404 of the Sarbanes-Oxley Act of 2002, or the Sarbanes-Oxley Act;</w:t>
      </w:r>
    </w:p>
    <w:p>
      <w:pPr>
        <w:spacing w:after="0" w:line="87" w:lineRule="exact"/>
        <w:rPr>
          <w:rFonts w:ascii="Arial" w:cs="Arial" w:eastAsia="Arial" w:hAnsi="Arial"/>
          <w:sz w:val="15"/>
          <w:szCs w:val="15"/>
          <w:color w:val="auto"/>
        </w:rPr>
      </w:pPr>
    </w:p>
    <w:p>
      <w:pPr>
        <w:ind w:left="1780" w:right="759" w:hanging="161"/>
        <w:spacing w:after="0" w:line="245"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reduced disclosure about our executive compensation arrangements in our periodic reports, proxy statements, and registration statements; and</w:t>
      </w:r>
    </w:p>
    <w:p>
      <w:pPr>
        <w:spacing w:after="0" w:line="8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exemptions from the requirements of holding non-binding advisory votes on executive compensation or golden parachute arrangements.</w:t>
      </w:r>
    </w:p>
    <w:p>
      <w:pPr>
        <w:spacing w:after="0" w:line="166"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We may take advantage of these provisions for up to five years or such earlier time that we no longer qualify as an emerging growth company. We would cease to be an emerging growth company if we have more than $1.07 billion in annual revenues, have more than $700 million in market value of our capital stock held by non-affiliates or issue more than $1.0 billion of non-convertible debt over a three-year period. We may choose to take advantage of some but not all of these reduced reporting burdens.</w:t>
      </w:r>
    </w:p>
    <w:p>
      <w:pPr>
        <w:spacing w:after="0" w:line="172" w:lineRule="exact"/>
        <w:rPr>
          <w:sz w:val="20"/>
          <w:szCs w:val="20"/>
          <w:color w:val="auto"/>
        </w:rPr>
      </w:pPr>
    </w:p>
    <w:p>
      <w:pPr>
        <w:ind w:left="1180" w:right="99" w:firstLine="444"/>
        <w:spacing w:after="0" w:line="237" w:lineRule="auto"/>
        <w:rPr>
          <w:sz w:val="20"/>
          <w:szCs w:val="20"/>
          <w:color w:val="auto"/>
        </w:rPr>
      </w:pPr>
      <w:r>
        <w:rPr>
          <w:rFonts w:ascii="Arial" w:cs="Arial" w:eastAsia="Arial" w:hAnsi="Arial"/>
          <w:sz w:val="15"/>
          <w:szCs w:val="15"/>
          <w:color w:val="auto"/>
        </w:rPr>
        <w:t>In addition, under the JOBS Act, emerging growth companies can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139"/>
          </w:cols>
          <w:pgMar w:left="320" w:top="407" w:right="1440"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27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3905" cy="4727575"/>
                    </a:xfrm>
                    <a:prstGeom prst="rect">
                      <a:avLst/>
                    </a:prstGeom>
                    <a:noFill/>
                  </pic:spPr>
                </pic:pic>
              </a:graphicData>
            </a:graphic>
          </wp:anchor>
        </w:drawing>
      </w:r>
    </w:p>
    <w:p>
      <w:pPr>
        <w:spacing w:after="0" w:line="389" w:lineRule="exact"/>
        <w:rPr>
          <w:sz w:val="20"/>
          <w:szCs w:val="20"/>
          <w:color w:val="auto"/>
        </w:rPr>
      </w:pPr>
    </w:p>
    <w:p>
      <w:pPr>
        <w:jc w:val="right"/>
        <w:ind w:right="4059"/>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0139"/>
          </w:cols>
          <w:pgMar w:left="320" w:top="407" w:right="1440" w:bottom="1440" w:gutter="0" w:footer="0" w:header="0"/>
        </w:sect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us</w:t>
      </w:r>
    </w:p>
    <w:p>
      <w:pPr>
        <w:spacing w:after="0" w:line="75" w:lineRule="exact"/>
        <w:rPr>
          <w:sz w:val="20"/>
          <w:szCs w:val="20"/>
          <w:color w:val="auto"/>
        </w:rPr>
      </w:pPr>
    </w:p>
    <w:p>
      <w:pPr>
        <w:ind w:left="1180" w:right="1100"/>
        <w:spacing w:after="0" w:line="344" w:lineRule="auto"/>
        <w:rPr>
          <w:sz w:val="20"/>
          <w:szCs w:val="20"/>
          <w:color w:val="auto"/>
        </w:rPr>
      </w:pPr>
      <w:r>
        <w:rPr>
          <w:rFonts w:ascii="Arial" w:cs="Arial" w:eastAsia="Arial" w:hAnsi="Arial"/>
          <w:sz w:val="15"/>
          <w:szCs w:val="15"/>
          <w:color w:val="auto"/>
        </w:rPr>
        <w:t>Common stock offered by the selling stockholders Common stock to be outstanding after this offering</w:t>
      </w:r>
    </w:p>
    <w:p>
      <w:pPr>
        <w:spacing w:after="0" w:line="1" w:lineRule="exact"/>
        <w:rPr>
          <w:sz w:val="20"/>
          <w:szCs w:val="20"/>
          <w:color w:val="auto"/>
        </w:rPr>
      </w:pPr>
    </w:p>
    <w:p>
      <w:pPr>
        <w:ind w:left="1280" w:hanging="89"/>
        <w:spacing w:after="0" w:line="245" w:lineRule="auto"/>
        <w:rPr>
          <w:sz w:val="20"/>
          <w:szCs w:val="20"/>
          <w:color w:val="auto"/>
        </w:rPr>
      </w:pPr>
      <w:r>
        <w:rPr>
          <w:rFonts w:ascii="Arial" w:cs="Arial" w:eastAsia="Arial" w:hAnsi="Arial"/>
          <w:sz w:val="15"/>
          <w:szCs w:val="15"/>
          <w:color w:val="auto"/>
        </w:rPr>
        <w:t>Option to purchase additional shares of common stock from certain selling stockholders</w:t>
      </w:r>
    </w:p>
    <w:p>
      <w:pPr>
        <w:spacing w:after="0" w:line="223"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Indication of interest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9,000,000 shares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3,015,690 shares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72,460,881 shares</w:t>
      </w:r>
    </w:p>
    <w:p>
      <w:pPr>
        <w:spacing w:after="0" w:line="75" w:lineRule="exact"/>
        <w:rPr>
          <w:sz w:val="20"/>
          <w:szCs w:val="20"/>
          <w:color w:val="auto"/>
        </w:rPr>
      </w:pPr>
    </w:p>
    <w:p>
      <w:pPr>
        <w:ind w:right="119"/>
        <w:spacing w:after="0"/>
        <w:rPr>
          <w:sz w:val="20"/>
          <w:szCs w:val="20"/>
          <w:color w:val="auto"/>
        </w:rPr>
      </w:pPr>
      <w:r>
        <w:rPr>
          <w:rFonts w:ascii="Arial" w:cs="Arial" w:eastAsia="Arial" w:hAnsi="Arial"/>
          <w:sz w:val="15"/>
          <w:szCs w:val="15"/>
          <w:color w:val="auto"/>
        </w:rPr>
        <w:t>Certain selling stockholders have granted the underwriters an option, exercisable for 30 days from the date of this prospectus, to purchase up to 1,802,353 additional shares.</w:t>
      </w:r>
    </w:p>
    <w:p>
      <w:pPr>
        <w:spacing w:after="0" w:line="57" w:lineRule="exact"/>
        <w:rPr>
          <w:sz w:val="20"/>
          <w:szCs w:val="20"/>
          <w:color w:val="auto"/>
        </w:rPr>
      </w:pPr>
    </w:p>
    <w:p>
      <w:pPr>
        <w:ind w:right="99"/>
        <w:spacing w:after="0" w:line="236" w:lineRule="auto"/>
        <w:rPr>
          <w:sz w:val="20"/>
          <w:szCs w:val="20"/>
          <w:color w:val="auto"/>
        </w:rPr>
      </w:pPr>
      <w:r>
        <w:rPr>
          <w:rFonts w:ascii="Arial" w:cs="Arial" w:eastAsia="Arial" w:hAnsi="Arial"/>
          <w:sz w:val="15"/>
          <w:szCs w:val="15"/>
          <w:color w:val="auto"/>
        </w:rPr>
        <w:t>We estimate that the net proceeds to us from the sale of shares of our common stock in this offering will be approximately $166.9 million, based upon the assumed initial public offering price of $21.00 per share, which is the midpoint of the estimated offering price range set forth on the cover page of this prospectus, and after deducting estimated underwriting discounts and commissions and estimated offering expenses payable by us. We will not receive any of the proceeds from the sale of common stock by the selling stockholders in this offering.</w:t>
      </w:r>
    </w:p>
    <w:p>
      <w:pPr>
        <w:spacing w:after="0" w:line="62" w:lineRule="exact"/>
        <w:rPr>
          <w:sz w:val="20"/>
          <w:szCs w:val="20"/>
          <w:color w:val="auto"/>
        </w:rPr>
      </w:pPr>
    </w:p>
    <w:p>
      <w:pPr>
        <w:ind w:right="99"/>
        <w:spacing w:after="0" w:line="236"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operating expenses, and capital expenditures. Additionally, we may use a portion of the net proceeds to acquire or invest in businesses, products, services, or technologies. However, we do not have agreements or commitments for any material acquisitions or investments at this time. See the section titled “Use of Proceeds” for additional information.</w:t>
      </w:r>
    </w:p>
    <w:p>
      <w:pPr>
        <w:spacing w:after="0" w:line="60" w:lineRule="exact"/>
        <w:rPr>
          <w:sz w:val="20"/>
          <w:szCs w:val="20"/>
          <w:color w:val="auto"/>
        </w:rPr>
      </w:pPr>
    </w:p>
    <w:p>
      <w:pPr>
        <w:ind w:right="99"/>
        <w:spacing w:after="0" w:line="236" w:lineRule="auto"/>
        <w:rPr>
          <w:sz w:val="20"/>
          <w:szCs w:val="20"/>
          <w:color w:val="auto"/>
        </w:rPr>
      </w:pPr>
      <w:r>
        <w:rPr>
          <w:rFonts w:ascii="Arial" w:cs="Arial" w:eastAsia="Arial" w:hAnsi="Arial"/>
          <w:sz w:val="15"/>
          <w:szCs w:val="15"/>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w:t>
      </w:r>
    </w:p>
    <w:p>
      <w:pPr>
        <w:spacing w:after="0" w:line="200" w:lineRule="exact"/>
        <w:rPr>
          <w:sz w:val="20"/>
          <w:szCs w:val="20"/>
          <w:color w:val="auto"/>
        </w:rPr>
      </w:pPr>
    </w:p>
    <w:p>
      <w:pPr>
        <w:sectPr>
          <w:pgSz w:w="11900" w:h="16838" w:orient="portrait"/>
          <w:cols w:equalWidth="0" w:num="2">
            <w:col w:w="5640" w:space="140"/>
            <w:col w:w="4359"/>
          </w:cols>
          <w:pgMar w:left="320" w:top="407" w:right="1440" w:bottom="1440" w:gutter="0" w:footer="0" w:header="0"/>
          <w:type w:val="continuous"/>
        </w:sect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39"/>
          </w:cols>
          <w:pgMar w:left="320" w:top="407" w:right="1440" w:bottom="1440" w:gutter="0" w:footer="0" w:header="0"/>
          <w:type w:val="continuous"/>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35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3905" cy="47351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sell fewer or no shares in this offering to such entities. The</w:t>
      </w:r>
    </w:p>
    <w:p>
      <w:pPr>
        <w:ind w:left="5780"/>
        <w:spacing w:after="0" w:line="235" w:lineRule="auto"/>
        <w:rPr>
          <w:sz w:val="20"/>
          <w:szCs w:val="20"/>
          <w:color w:val="auto"/>
        </w:rPr>
      </w:pPr>
      <w:r>
        <w:rPr>
          <w:rFonts w:ascii="Arial" w:cs="Arial" w:eastAsia="Arial" w:hAnsi="Arial"/>
          <w:sz w:val="15"/>
          <w:szCs w:val="15"/>
          <w:color w:val="auto"/>
        </w:rPr>
        <w:t>underwriters will receive the same discount from any shares of</w:t>
      </w:r>
    </w:p>
    <w:p>
      <w:pPr>
        <w:ind w:left="5780"/>
        <w:spacing w:after="0" w:line="235" w:lineRule="auto"/>
        <w:rPr>
          <w:sz w:val="20"/>
          <w:szCs w:val="20"/>
          <w:color w:val="auto"/>
        </w:rPr>
      </w:pPr>
      <w:r>
        <w:rPr>
          <w:rFonts w:ascii="Arial" w:cs="Arial" w:eastAsia="Arial" w:hAnsi="Arial"/>
          <w:sz w:val="15"/>
          <w:szCs w:val="15"/>
          <w:color w:val="auto"/>
        </w:rPr>
        <w:t>common stock sold to such entities as they will from any other</w:t>
      </w:r>
    </w:p>
    <w:p>
      <w:pPr>
        <w:ind w:left="5780"/>
        <w:spacing w:after="0"/>
        <w:rPr>
          <w:sz w:val="20"/>
          <w:szCs w:val="20"/>
          <w:color w:val="auto"/>
        </w:rPr>
      </w:pPr>
      <w:r>
        <w:rPr>
          <w:rFonts w:ascii="Arial" w:cs="Arial" w:eastAsia="Arial" w:hAnsi="Arial"/>
          <w:sz w:val="15"/>
          <w:szCs w:val="15"/>
          <w:color w:val="auto"/>
        </w:rPr>
        <w:t>shares of common stock sold to the public in this offering.</w:t>
      </w:r>
    </w:p>
    <w:p>
      <w:pPr>
        <w:sectPr>
          <w:pgSz w:w="11900" w:h="16838" w:orient="portrait"/>
          <w:cols w:equalWidth="0" w:num="1">
            <w:col w:w="10139"/>
          </w:cols>
          <w:pgMar w:left="320" w:top="407" w:right="1440" w:bottom="1440" w:gutter="0" w:footer="0" w:header="0"/>
        </w:sectPr>
      </w:pPr>
    </w:p>
    <w:p>
      <w:pPr>
        <w:spacing w:after="0" w:line="7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Concentration of ownership</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19"/>
        <w:spacing w:after="0" w:line="238" w:lineRule="auto"/>
        <w:rPr>
          <w:sz w:val="20"/>
          <w:szCs w:val="20"/>
          <w:color w:val="auto"/>
        </w:rPr>
      </w:pPr>
      <w:r>
        <w:rPr>
          <w:rFonts w:ascii="Arial" w:cs="Arial" w:eastAsia="Arial" w:hAnsi="Arial"/>
          <w:sz w:val="15"/>
          <w:szCs w:val="15"/>
          <w:color w:val="auto"/>
        </w:rPr>
        <w:t>Upon completion of this offering, our executive officers, directors, and holders of 5% or more of our common stock will beneficially own, in the aggregate, approximately 62.7% of the outstanding shares of our common stock.</w:t>
      </w:r>
    </w:p>
    <w:p>
      <w:pPr>
        <w:spacing w:after="0" w:line="56" w:lineRule="exact"/>
        <w:rPr>
          <w:sz w:val="20"/>
          <w:szCs w:val="20"/>
          <w:color w:val="auto"/>
        </w:rPr>
      </w:pPr>
    </w:p>
    <w:p>
      <w:pPr>
        <w:sectPr>
          <w:pgSz w:w="11900" w:h="16838" w:orient="portrait"/>
          <w:cols w:equalWidth="0" w:num="2">
            <w:col w:w="5060" w:space="720"/>
            <w:col w:w="4359"/>
          </w:cols>
          <w:pgMar w:left="320" w:top="407" w:right="1440" w:bottom="1440" w:gutter="0" w:footer="0" w:header="0"/>
          <w:type w:val="continuous"/>
        </w:sectPr>
      </w:pPr>
    </w:p>
    <w:p>
      <w:pPr>
        <w:spacing w:after="0" w:line="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See “Risk Factors” and the other information included in this</w:t>
      </w:r>
    </w:p>
    <w:p>
      <w:pPr>
        <w:spacing w:after="0" w:line="235" w:lineRule="auto"/>
        <w:rPr>
          <w:sz w:val="20"/>
          <w:szCs w:val="20"/>
          <w:color w:val="auto"/>
        </w:rPr>
      </w:pPr>
      <w:r>
        <w:rPr>
          <w:rFonts w:ascii="Arial" w:cs="Arial" w:eastAsia="Arial" w:hAnsi="Arial"/>
          <w:sz w:val="15"/>
          <w:szCs w:val="15"/>
          <w:color w:val="auto"/>
        </w:rPr>
        <w:t>prospectus for a discussion of factors you should carefully</w:t>
      </w:r>
    </w:p>
    <w:p>
      <w:pPr>
        <w:spacing w:after="0"/>
        <w:rPr>
          <w:sz w:val="20"/>
          <w:szCs w:val="20"/>
          <w:color w:val="auto"/>
        </w:rPr>
      </w:pPr>
      <w:r>
        <w:rPr>
          <w:rFonts w:ascii="Arial" w:cs="Arial" w:eastAsia="Arial" w:hAnsi="Arial"/>
          <w:sz w:val="15"/>
          <w:szCs w:val="15"/>
          <w:color w:val="auto"/>
        </w:rPr>
        <w:t>consider before deciding to invest in our common stock.</w:t>
      </w:r>
    </w:p>
    <w:p>
      <w:pPr>
        <w:spacing w:after="0" w:line="64" w:lineRule="exact"/>
        <w:rPr>
          <w:sz w:val="20"/>
          <w:szCs w:val="20"/>
          <w:color w:val="auto"/>
        </w:rPr>
      </w:pPr>
    </w:p>
    <w:p>
      <w:pPr>
        <w:sectPr>
          <w:pgSz w:w="11900" w:h="16838" w:orient="portrait"/>
          <w:cols w:equalWidth="0" w:num="2">
            <w:col w:w="5060" w:space="720"/>
            <w:col w:w="4359"/>
          </w:cols>
          <w:pgMar w:left="320" w:top="407" w:right="1440"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“UPST”</w:t>
      </w:r>
    </w:p>
    <w:p>
      <w:pPr>
        <w:spacing w:after="0" w:line="188" w:lineRule="exact"/>
        <w:rPr>
          <w:sz w:val="20"/>
          <w:szCs w:val="20"/>
          <w:color w:val="auto"/>
        </w:rPr>
      </w:pPr>
    </w:p>
    <w:p>
      <w:pPr>
        <w:sectPr>
          <w:pgSz w:w="11900" w:h="16838" w:orient="portrait"/>
          <w:cols w:equalWidth="0" w:num="2">
            <w:col w:w="5060" w:space="720"/>
            <w:col w:w="4359"/>
          </w:cols>
          <w:pgMar w:left="320" w:top="407" w:right="1440" w:bottom="1440" w:gutter="0" w:footer="0" w:header="0"/>
          <w:type w:val="continuous"/>
        </w:sectPr>
      </w:pPr>
    </w:p>
    <w:p>
      <w:pPr>
        <w:ind w:left="1180" w:right="359" w:firstLine="444"/>
        <w:spacing w:after="0" w:line="245" w:lineRule="auto"/>
        <w:rPr>
          <w:sz w:val="20"/>
          <w:szCs w:val="20"/>
          <w:color w:val="auto"/>
        </w:rPr>
      </w:pPr>
      <w:r>
        <w:rPr>
          <w:rFonts w:ascii="Arial" w:cs="Arial" w:eastAsia="Arial" w:hAnsi="Arial"/>
          <w:sz w:val="15"/>
          <w:szCs w:val="15"/>
          <w:color w:val="auto"/>
        </w:rPr>
        <w:t>The number of shares of our common stock that will be outstanding after this offering is based on 63,460,881 shares of our common stock outstanding as of September 30, 2020, and reflects:</w:t>
      </w:r>
    </w:p>
    <w:p>
      <w:pPr>
        <w:spacing w:after="0" w:line="87" w:lineRule="exact"/>
        <w:rPr>
          <w:sz w:val="20"/>
          <w:szCs w:val="20"/>
          <w:color w:val="auto"/>
        </w:rPr>
      </w:pPr>
    </w:p>
    <w:p>
      <w:pPr>
        <w:ind w:left="1780" w:hanging="161"/>
        <w:spacing w:after="0"/>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15,044,707 shares of common stock outstanding;</w:t>
      </w:r>
    </w:p>
    <w:p>
      <w:pPr>
        <w:spacing w:after="0" w:line="97" w:lineRule="exact"/>
        <w:rPr>
          <w:rFonts w:ascii="Arial" w:cs="Arial" w:eastAsia="Arial" w:hAnsi="Arial"/>
          <w:sz w:val="15"/>
          <w:szCs w:val="15"/>
          <w:color w:val="auto"/>
        </w:rPr>
      </w:pPr>
    </w:p>
    <w:p>
      <w:pPr>
        <w:ind w:left="1780" w:right="359" w:hanging="161"/>
        <w:spacing w:after="0"/>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47,349,577 shares of preferred stock that will automatically convert into shares of common stock immediately prior to the completion of this offering pursuant to the terms of our amended and restated certificate of incorporation, or the Capital Stock Conversion;</w:t>
      </w:r>
    </w:p>
    <w:p>
      <w:pPr>
        <w:spacing w:after="0" w:line="91" w:lineRule="exact"/>
        <w:rPr>
          <w:rFonts w:ascii="Arial" w:cs="Arial" w:eastAsia="Arial" w:hAnsi="Arial"/>
          <w:sz w:val="15"/>
          <w:szCs w:val="15"/>
          <w:color w:val="auto"/>
        </w:rPr>
      </w:pPr>
    </w:p>
    <w:p>
      <w:pPr>
        <w:ind w:left="1780" w:right="359" w:hanging="161"/>
        <w:spacing w:after="0"/>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600,208 shares of our Series B preferred stock issued in November 2020 upon the exercise of a warrant that was outstanding as of September 30, 2020, which will automatically convert into shares of common stock in the Capital Stock Conversion; and</w:t>
      </w:r>
    </w:p>
    <w:p>
      <w:pPr>
        <w:spacing w:after="0" w:line="91" w:lineRule="exact"/>
        <w:rPr>
          <w:rFonts w:ascii="Arial" w:cs="Arial" w:eastAsia="Arial" w:hAnsi="Arial"/>
          <w:sz w:val="15"/>
          <w:szCs w:val="15"/>
          <w:color w:val="auto"/>
        </w:rPr>
      </w:pPr>
    </w:p>
    <w:p>
      <w:pPr>
        <w:ind w:left="1780" w:right="419" w:hanging="161"/>
        <w:spacing w:after="0" w:line="245"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466,389 shares of our common stock to be issued upon exercise of options to purchase shares of our common stock by certain selling stockholders in connection with the sale of such shares by such selling stockholders in this offering.</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shares of our common stock outstanding after this offering exclude the following:</w:t>
      </w:r>
    </w:p>
    <w:p>
      <w:pPr>
        <w:spacing w:after="0" w:line="98" w:lineRule="exact"/>
        <w:rPr>
          <w:sz w:val="20"/>
          <w:szCs w:val="20"/>
          <w:color w:val="auto"/>
        </w:rPr>
      </w:pPr>
    </w:p>
    <w:p>
      <w:pPr>
        <w:ind w:left="1780" w:right="419" w:hanging="161"/>
        <w:spacing w:after="0" w:line="245"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18,889,653 shares of our common stock issuable upon the exercise of options to purchase shares of our common stock outstanding as of September 30, 2020, with a weighted-average exercise price of $3.17 per share;</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319,669 shares of our common stock issuable upon the exercise of warrants outstanding as of September 30, 2020, with a weighted-average exercise price of $1.77 per share;</w:t>
      </w:r>
    </w:p>
    <w:p>
      <w:pPr>
        <w:spacing w:after="0" w:line="87" w:lineRule="exact"/>
        <w:rPr>
          <w:rFonts w:ascii="Arial" w:cs="Arial" w:eastAsia="Arial" w:hAnsi="Arial"/>
          <w:sz w:val="15"/>
          <w:szCs w:val="15"/>
          <w:color w:val="auto"/>
        </w:rPr>
      </w:pPr>
    </w:p>
    <w:p>
      <w:pPr>
        <w:ind w:left="1780" w:right="499" w:hanging="161"/>
        <w:spacing w:after="0" w:line="245"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1,540,938 shares of our common stock issuable upon the exercise of options to purchase shares of our common stock issued after September 30, 2020, with a weighted-average exercise price of $15.16 per share; and</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10,765,271 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140" w:right="139" w:hanging="341"/>
        <w:spacing w:after="0" w:line="245" w:lineRule="auto"/>
        <w:tabs>
          <w:tab w:leader="none" w:pos="21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5,520,000 shares of our common stock reserved for future issuance under our 2020 Equity Incentive Plan, or our 2020 Plan, which will become effective prior to the completion of this offering;</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139"/>
          </w:cols>
          <w:pgMar w:left="320" w:top="407" w:right="1440" w:bottom="1440" w:gutter="0" w:footer="0" w:header="0"/>
          <w:type w:val="continuous"/>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2616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3905" cy="26168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140" w:right="439" w:hanging="341"/>
        <w:spacing w:after="0" w:line="245" w:lineRule="auto"/>
        <w:tabs>
          <w:tab w:leader="none" w:pos="21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3,865,271 shares of our common stock reserved for future issuance under our 2012 Stock Plan, or our 2012 Plan, provided that we will cease granting awards under our 2012 Plan upon the effectiveness of the 2020 Plan; and</w:t>
      </w:r>
    </w:p>
    <w:p>
      <w:pPr>
        <w:spacing w:after="0" w:line="87" w:lineRule="exact"/>
        <w:rPr>
          <w:rFonts w:ascii="Arial" w:cs="Arial" w:eastAsia="Arial" w:hAnsi="Arial"/>
          <w:sz w:val="15"/>
          <w:szCs w:val="15"/>
          <w:color w:val="auto"/>
        </w:rPr>
      </w:pPr>
    </w:p>
    <w:p>
      <w:pPr>
        <w:ind w:left="2140" w:right="259" w:hanging="341"/>
        <w:spacing w:after="0" w:line="245" w:lineRule="auto"/>
        <w:tabs>
          <w:tab w:leader="none" w:pos="21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1,380,000 shares of our common stock reserved for future issuance under our 2020 Employee Stock Purchase Plan, or our ESPP, which will become effective prior to the completion of this offering.</w:t>
      </w:r>
    </w:p>
    <w:p>
      <w:pPr>
        <w:spacing w:after="0" w:line="166"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Each of our 2020 Plan and our ESPP provides for annual automatic increases in the number of shares reserved thereunder, and our 2020 Plan also provides for increases to the number of shares that may be granted thereunder based on awards under our 2012 Plan that expire, are forfeited, or otherwise repurchased by us, as more fully described in the section titled “Executive Compensation—Employee Benefit and Stock Plans.”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Except as otherwise indicated, all information in this prospectus assumes:</w:t>
      </w:r>
    </w:p>
    <w:p>
      <w:pPr>
        <w:spacing w:after="0" w:line="98" w:lineRule="exact"/>
        <w:rPr>
          <w:sz w:val="20"/>
          <w:szCs w:val="20"/>
          <w:color w:val="auto"/>
        </w:rPr>
      </w:pPr>
    </w:p>
    <w:p>
      <w:pPr>
        <w:ind w:left="1780" w:hanging="161"/>
        <w:spacing w:after="0"/>
        <w:tabs>
          <w:tab w:leader="none" w:pos="1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Capital Stock Conversion will occur immediately prior to the completion of this offering;</w:t>
      </w:r>
    </w:p>
    <w:p>
      <w:pPr>
        <w:spacing w:after="0" w:line="97" w:lineRule="exact"/>
        <w:rPr>
          <w:rFonts w:ascii="Arial" w:cs="Arial" w:eastAsia="Arial" w:hAnsi="Arial"/>
          <w:sz w:val="15"/>
          <w:szCs w:val="15"/>
          <w:color w:val="auto"/>
        </w:rPr>
      </w:pPr>
    </w:p>
    <w:p>
      <w:pPr>
        <w:ind w:left="1780" w:right="139" w:hanging="161"/>
        <w:spacing w:after="0" w:line="245" w:lineRule="auto"/>
        <w:tabs>
          <w:tab w:leader="none" w:pos="1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in Delaware and the effectiveness of our amended and restated bylaws, will each occur immediately prior to the completion of this offering;</w:t>
      </w:r>
    </w:p>
    <w:p>
      <w:pPr>
        <w:spacing w:after="0" w:line="87" w:lineRule="exact"/>
        <w:rPr>
          <w:rFonts w:ascii="Arial" w:cs="Arial" w:eastAsia="Arial" w:hAnsi="Arial"/>
          <w:sz w:val="15"/>
          <w:szCs w:val="15"/>
          <w:color w:val="auto"/>
        </w:rPr>
      </w:pPr>
    </w:p>
    <w:p>
      <w:pPr>
        <w:ind w:left="1780" w:right="179" w:hanging="161"/>
        <w:spacing w:after="0"/>
        <w:tabs>
          <w:tab w:leader="none" w:pos="1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 exercise or cancellation of outstanding stock options subsequent to September 30, 2020 (other than shares to be issued upon exercise of options to purchase common stock by certain selling stockholders in connection with the sale of such shares by such selling stockholders in this offering); and</w:t>
      </w:r>
    </w:p>
    <w:p>
      <w:pPr>
        <w:spacing w:after="0" w:line="91" w:lineRule="exact"/>
        <w:rPr>
          <w:rFonts w:ascii="Arial" w:cs="Arial" w:eastAsia="Arial" w:hAnsi="Arial"/>
          <w:sz w:val="15"/>
          <w:szCs w:val="15"/>
          <w:color w:val="auto"/>
        </w:rPr>
      </w:pPr>
    </w:p>
    <w:p>
      <w:pPr>
        <w:ind w:left="1780" w:right="139" w:hanging="161"/>
        <w:spacing w:after="0" w:line="245" w:lineRule="auto"/>
        <w:tabs>
          <w:tab w:leader="none" w:pos="1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an additional 1,802,353 shares of our common stock from certain selling stockholders.</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39"/>
          </w:cols>
          <w:pgMar w:left="320" w:top="407"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91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3905" cy="4491990"/>
                    </a:xfrm>
                    <a:prstGeom prst="rect">
                      <a:avLst/>
                    </a:prstGeom>
                    <a:noFill/>
                  </pic:spPr>
                </pic:pic>
              </a:graphicData>
            </a:graphic>
          </wp:anchor>
        </w:drawing>
      </w:r>
    </w:p>
    <w:p>
      <w:pPr>
        <w:spacing w:after="0" w:line="389"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95" w:lineRule="exact"/>
        <w:rPr>
          <w:sz w:val="20"/>
          <w:szCs w:val="20"/>
          <w:color w:val="auto"/>
        </w:rPr>
      </w:pPr>
    </w:p>
    <w:p>
      <w:pPr>
        <w:ind w:left="1180" w:right="159" w:firstLine="444"/>
        <w:spacing w:after="0" w:line="236" w:lineRule="auto"/>
        <w:rPr>
          <w:sz w:val="20"/>
          <w:szCs w:val="20"/>
          <w:color w:val="auto"/>
        </w:rPr>
      </w:pPr>
      <w:r>
        <w:rPr>
          <w:rFonts w:ascii="Arial" w:cs="Arial" w:eastAsia="Arial" w:hAnsi="Arial"/>
          <w:sz w:val="15"/>
          <w:szCs w:val="15"/>
          <w:color w:val="auto"/>
        </w:rPr>
        <w:t>The following tables summarize our consolidated historical financial and other data. We have derived the summary consolidated statements of operations data for the years ended December 31, 2017, 2018 and 2019 from our audited consolidated financial statements included elsewhere in this prospectus. The summary consolidated statements of operations data for the nine months ended September 30, 2019 and 2020 and the consolidated balance sheet data as of September 30, 2020 have been derived from our unaudited interim consolidated financial statements included elsewhere in this prospectus. The summary consolidated financial data in this section are not intended to replace our consolidated financial statements and related notes, and our historical results are not necessarily indicative of the results that may be expected in the future. The following summary consolidated financial and other data should be read in conjunction with the section titled “Management’s Discussion and Analysis of Financial Condition and Results of Operations” and our consolidated financial statements and related notes included elsewhere in this prospectus. The last day of our fiscal year is December 31. Our fiscal quarters end on March 31, June 30, September 30, and December 31.</w:t>
      </w:r>
    </w:p>
    <w:p>
      <w:pPr>
        <w:spacing w:after="0" w:line="246"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36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Year Ended 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07"/>
        </w:trPr>
        <w:tc>
          <w:tcPr>
            <w:tcW w:w="3640" w:type="dxa"/>
            <w:vAlign w:val="bottom"/>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2018</w:t>
            </w: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64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share amounts)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Revenue from fees, net</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51,161</w:t>
            </w:r>
          </w:p>
        </w:tc>
        <w:tc>
          <w:tcPr>
            <w:tcW w:w="120" w:type="dxa"/>
            <w:vAlign w:val="bottom"/>
          </w:tcPr>
          <w:p>
            <w:pPr>
              <w:spacing w:after="0"/>
              <w:rPr>
                <w:sz w:val="13"/>
                <w:szCs w:val="13"/>
                <w:color w:val="auto"/>
              </w:rPr>
            </w:pPr>
          </w:p>
        </w:tc>
        <w:tc>
          <w:tcPr>
            <w:tcW w:w="5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88,482</w:t>
            </w:r>
          </w:p>
        </w:tc>
        <w:tc>
          <w:tcPr>
            <w:tcW w:w="540" w:type="dxa"/>
            <w:vAlign w:val="bottom"/>
          </w:tcPr>
          <w:p>
            <w:pPr>
              <w:spacing w:after="0"/>
              <w:rPr>
                <w:sz w:val="13"/>
                <w:szCs w:val="13"/>
                <w:color w:val="auto"/>
              </w:rPr>
            </w:pPr>
          </w:p>
        </w:tc>
        <w:tc>
          <w:tcPr>
            <w:tcW w:w="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159,847</w:t>
            </w:r>
          </w:p>
        </w:tc>
        <w:tc>
          <w:tcPr>
            <w:tcW w:w="320" w:type="dxa"/>
            <w:vAlign w:val="bottom"/>
          </w:tcPr>
          <w:p>
            <w:pPr>
              <w:spacing w:after="0"/>
              <w:rPr>
                <w:sz w:val="13"/>
                <w:szCs w:val="13"/>
                <w:color w:val="auto"/>
              </w:rPr>
            </w:pPr>
          </w:p>
        </w:tc>
        <w:tc>
          <w:tcPr>
            <w:tcW w:w="3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98,699</w:t>
            </w:r>
          </w:p>
        </w:tc>
        <w:tc>
          <w:tcPr>
            <w:tcW w:w="320" w:type="dxa"/>
            <w:vAlign w:val="bottom"/>
          </w:tcPr>
          <w:p>
            <w:pPr>
              <w:spacing w:after="0"/>
              <w:rPr>
                <w:sz w:val="13"/>
                <w:szCs w:val="13"/>
                <w:color w:val="auto"/>
              </w:rPr>
            </w:pP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144,179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6,128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4,342</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2,918</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2,527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40" w:type="dxa"/>
            <w:vAlign w:val="bottom"/>
          </w:tcPr>
          <w:p>
            <w:pPr>
              <w:ind w:left="540"/>
              <w:spacing w:after="0"/>
              <w:rPr>
                <w:sz w:val="20"/>
                <w:szCs w:val="20"/>
                <w:color w:val="auto"/>
              </w:rPr>
            </w:pPr>
            <w:r>
              <w:rPr>
                <w:rFonts w:ascii="Arial" w:cs="Arial" w:eastAsia="Arial" w:hAnsi="Arial"/>
                <w:sz w:val="14"/>
                <w:szCs w:val="14"/>
                <w:color w:val="auto"/>
              </w:rPr>
              <w:t>Total revenue</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57,289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99,313</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164,189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101,617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146,706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280"/>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33,838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63,633</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93,175</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61,236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65,113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10,232</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15,416</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24,947</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16,593</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24,792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280"/>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5,324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8,415</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11,480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24,651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15,431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20,399</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30,778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4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64,825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107,284</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168,764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109,708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145,334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income from operations</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9"/>
              </w:rPr>
              <w:t>(7,536)</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(7,971)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(4,575)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(8,091)</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1,372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330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487</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1,036</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832</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5,497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on warrants and convertible notes, net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9"/>
              </w:rPr>
              <w:t>(1,649)</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(3,734)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(1,407)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(2,626)</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40" w:type="dxa"/>
            <w:vAlign w:val="bottom"/>
          </w:tcPr>
          <w:p>
            <w:pPr>
              <w:spacing w:after="0"/>
              <w:rPr>
                <w:sz w:val="20"/>
                <w:szCs w:val="20"/>
                <w:color w:val="auto"/>
              </w:rPr>
            </w:pPr>
            <w:r>
              <w:rPr>
                <w:rFonts w:ascii="Arial" w:cs="Arial" w:eastAsia="Arial" w:hAnsi="Arial"/>
                <w:sz w:val="14"/>
                <w:szCs w:val="14"/>
                <w:color w:val="auto"/>
              </w:rPr>
              <w:t>Net (loss) income before income taxes</w:t>
            </w:r>
          </w:p>
        </w:tc>
        <w:tc>
          <w:tcPr>
            <w:tcW w:w="8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(8,855)</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color w:val="auto"/>
                <w:w w:val="99"/>
              </w:rPr>
              <w:t>(11,218)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(4,946)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(9,885)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Net (loss) income before attribution to</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ind w:left="140"/>
              <w:spacing w:after="0" w:line="156" w:lineRule="exact"/>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w w:val="99"/>
              </w:rPr>
              <w:t>(8,861)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500"/>
              <w:spacing w:after="0" w:line="156" w:lineRule="exact"/>
              <w:rPr>
                <w:sz w:val="20"/>
                <w:szCs w:val="20"/>
                <w:color w:val="auto"/>
              </w:rPr>
            </w:pPr>
            <w:r>
              <w:rPr>
                <w:rFonts w:ascii="Arial" w:cs="Arial" w:eastAsia="Arial" w:hAnsi="Arial"/>
                <w:sz w:val="14"/>
                <w:szCs w:val="14"/>
                <w:color w:val="auto"/>
                <w:w w:val="99"/>
              </w:rPr>
              <w:t>(11,218)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(5,020)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(9,885)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4,552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(loss) income attributable to noncontrolling</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w w:val="99"/>
              </w:rPr>
              <w:t>(1,144)</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1,101</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6" w:lineRule="exact"/>
              <w:rPr>
                <w:sz w:val="20"/>
                <w:szCs w:val="20"/>
                <w:color w:val="auto"/>
              </w:rPr>
            </w:pPr>
            <w:r>
              <w:rPr>
                <w:rFonts w:ascii="Arial" w:cs="Arial" w:eastAsia="Arial" w:hAnsi="Arial"/>
                <w:sz w:val="14"/>
                <w:szCs w:val="14"/>
                <w:color w:val="auto"/>
              </w:rPr>
              <w:t>(4,554)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6" w:lineRule="exact"/>
              <w:rPr>
                <w:sz w:val="20"/>
                <w:szCs w:val="20"/>
                <w:color w:val="auto"/>
              </w:rPr>
            </w:pPr>
            <w:r>
              <w:rPr>
                <w:rFonts w:ascii="Arial" w:cs="Arial" w:eastAsia="Arial" w:hAnsi="Arial"/>
                <w:sz w:val="14"/>
                <w:szCs w:val="14"/>
                <w:color w:val="auto"/>
              </w:rPr>
              <w:t>(3,368)</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Net (loss) income attributable to Upstart Holdings, Inc.</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40" w:type="dxa"/>
            <w:vAlign w:val="bottom"/>
          </w:tcPr>
          <w:p>
            <w:pPr>
              <w:ind w:left="140"/>
              <w:spacing w:after="0" w:line="138" w:lineRule="exact"/>
              <w:rPr>
                <w:sz w:val="20"/>
                <w:szCs w:val="20"/>
                <w:color w:val="auto"/>
              </w:rPr>
            </w:pPr>
            <w:r>
              <w:rPr>
                <w:rFonts w:ascii="Arial" w:cs="Arial" w:eastAsia="Arial" w:hAnsi="Arial"/>
                <w:sz w:val="13"/>
                <w:szCs w:val="13"/>
                <w:color w:val="auto"/>
              </w:rPr>
              <w:t>common stockholders</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(7,717)</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500"/>
              <w:spacing w:after="0" w:line="138" w:lineRule="exact"/>
              <w:rPr>
                <w:sz w:val="20"/>
                <w:szCs w:val="20"/>
                <w:color w:val="auto"/>
              </w:rPr>
            </w:pPr>
            <w:r>
              <w:rPr>
                <w:rFonts w:ascii="Arial" w:cs="Arial" w:eastAsia="Arial" w:hAnsi="Arial"/>
                <w:sz w:val="13"/>
                <w:szCs w:val="13"/>
                <w:color w:val="auto"/>
              </w:rPr>
              <w:t>(12,319)</w:t>
            </w:r>
          </w:p>
        </w:tc>
        <w:tc>
          <w:tcPr>
            <w:tcW w:w="1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(466)</w:t>
            </w:r>
          </w:p>
        </w:tc>
        <w:tc>
          <w:tcPr>
            <w:tcW w:w="3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(6,517)</w:t>
            </w:r>
          </w:p>
        </w:tc>
        <w:tc>
          <w:tcPr>
            <w:tcW w:w="3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3"/>
                <w:szCs w:val="13"/>
                <w:color w:val="auto"/>
              </w:rPr>
              <w:t>4,956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39"/>
          </w:cols>
          <w:pgMar w:left="320" w:top="407" w:right="1440"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9408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3905" cy="3940810"/>
                    </a:xfrm>
                    <a:prstGeom prst="rect">
                      <a:avLst/>
                    </a:prstGeom>
                    <a:noFill/>
                  </pic:spPr>
                </pic:pic>
              </a:graphicData>
            </a:graphic>
          </wp:anchor>
        </w:drawing>
      </w:r>
    </w:p>
    <w:p>
      <w:pPr>
        <w:spacing w:after="0" w:line="398"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26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7"/>
          </w:tcPr>
          <w:p>
            <w:pPr>
              <w:ind w:left="2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07"/>
        </w:trPr>
        <w:tc>
          <w:tcPr>
            <w:tcW w:w="2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2"/>
                <w:szCs w:val="12"/>
                <w:b w:val="1"/>
                <w:bCs w:val="1"/>
                <w:color w:val="auto"/>
              </w:rPr>
              <w:t>2018</w:t>
            </w: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6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share amounts)</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6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Net loss per common share attributable to</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Upstart Holdings, Inc. common</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stockholders, basic and diluted</w:t>
            </w:r>
            <w:r>
              <w:rPr>
                <w:rFonts w:ascii="Arial" w:cs="Arial" w:eastAsia="Arial" w:hAnsi="Arial"/>
                <w:sz w:val="10"/>
                <w:szCs w:val="10"/>
                <w:color w:val="auto"/>
              </w:rPr>
              <w:t>(2)</w:t>
            </w:r>
          </w:p>
        </w:tc>
        <w:tc>
          <w:tcPr>
            <w:tcW w:w="3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(0.56)</w:t>
            </w:r>
          </w:p>
        </w:tc>
        <w:tc>
          <w:tcPr>
            <w:tcW w:w="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(0.87)</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(0.03)</w:t>
            </w:r>
          </w:p>
        </w:tc>
        <w:tc>
          <w:tcPr>
            <w:tcW w:w="3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(0.46)</w:t>
            </w:r>
          </w:p>
        </w:tc>
        <w:tc>
          <w:tcPr>
            <w:tcW w:w="3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3"/>
                <w:szCs w:val="13"/>
                <w:color w:val="auto"/>
              </w:rPr>
              <w:t>Weighted-average number of shares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outstanding used in computing net loss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per share attributable to Upstart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Holdings, Inc. common stockholders,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tcPr>
          <w:p>
            <w:pPr>
              <w:ind w:left="140"/>
              <w:spacing w:after="0" w:line="138" w:lineRule="exact"/>
              <w:rPr>
                <w:sz w:val="20"/>
                <w:szCs w:val="20"/>
                <w:color w:val="auto"/>
              </w:rPr>
            </w:pPr>
            <w:r>
              <w:rPr>
                <w:rFonts w:ascii="Arial" w:cs="Arial" w:eastAsia="Arial" w:hAnsi="Arial"/>
                <w:sz w:val="13"/>
                <w:szCs w:val="13"/>
                <w:color w:val="auto"/>
              </w:rPr>
              <w:t>basic and diluted</w:t>
            </w:r>
            <w:r>
              <w:rPr>
                <w:rFonts w:ascii="Arial" w:cs="Arial" w:eastAsia="Arial" w:hAnsi="Arial"/>
                <w:sz w:val="10"/>
                <w:szCs w:val="10"/>
                <w:color w:val="auto"/>
              </w:rPr>
              <w:t>(2)</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13,873,810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8"/>
              </w:rPr>
              <w:t>14,128,183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14,335,611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14,313,262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14,663,623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income per share</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attributable to Upstart Holdings, Inc.</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common stockholders, basic</w:t>
            </w:r>
            <w:r>
              <w:rPr>
                <w:rFonts w:ascii="Arial" w:cs="Arial" w:eastAsia="Arial" w:hAnsi="Arial"/>
                <w:sz w:val="10"/>
                <w:szCs w:val="10"/>
                <w:color w:val="auto"/>
              </w:rPr>
              <w:t>(2)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0.06</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used</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to compute pro forma net income per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share attributable to Upstart Holdings,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tcPr>
          <w:p>
            <w:pPr>
              <w:ind w:left="140"/>
              <w:spacing w:after="0" w:line="138" w:lineRule="exact"/>
              <w:rPr>
                <w:sz w:val="20"/>
                <w:szCs w:val="20"/>
                <w:color w:val="auto"/>
              </w:rPr>
            </w:pPr>
            <w:r>
              <w:rPr>
                <w:rFonts w:ascii="Arial" w:cs="Arial" w:eastAsia="Arial" w:hAnsi="Arial"/>
                <w:sz w:val="13"/>
                <w:szCs w:val="13"/>
                <w:color w:val="auto"/>
              </w:rPr>
              <w:t>Inc. common stockholders, basic</w:t>
            </w:r>
            <w:r>
              <w:rPr>
                <w:rFonts w:ascii="Arial" w:cs="Arial" w:eastAsia="Arial" w:hAnsi="Arial"/>
                <w:sz w:val="10"/>
                <w:szCs w:val="10"/>
                <w:color w:val="auto"/>
              </w:rPr>
              <w:t>(2)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62,249,893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62,613,408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income per share</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attributable to Upstart Holdings, Inc.</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common stockholders, diluted</w:t>
            </w:r>
            <w:r>
              <w:rPr>
                <w:rFonts w:ascii="Arial" w:cs="Arial" w:eastAsia="Arial" w:hAnsi="Arial"/>
                <w:sz w:val="10"/>
                <w:szCs w:val="10"/>
                <w:color w:val="auto"/>
              </w:rPr>
              <w:t>(2)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0.05</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used</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to compute pro forma net income per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share attributable to Upstart Holdings,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tcPr>
          <w:p>
            <w:pPr>
              <w:ind w:left="140"/>
              <w:spacing w:after="0" w:line="138" w:lineRule="exact"/>
              <w:rPr>
                <w:sz w:val="20"/>
                <w:szCs w:val="20"/>
                <w:color w:val="auto"/>
              </w:rPr>
            </w:pPr>
            <w:r>
              <w:rPr>
                <w:rFonts w:ascii="Arial" w:cs="Arial" w:eastAsia="Arial" w:hAnsi="Arial"/>
                <w:sz w:val="13"/>
                <w:szCs w:val="13"/>
                <w:color w:val="auto"/>
              </w:rPr>
              <w:t>Inc. common stockholders, diluted</w:t>
            </w:r>
            <w:r>
              <w:rPr>
                <w:rFonts w:ascii="Arial" w:cs="Arial" w:eastAsia="Arial" w:hAnsi="Arial"/>
                <w:sz w:val="10"/>
                <w:szCs w:val="10"/>
                <w:color w:val="auto"/>
              </w:rPr>
              <w:t>(2)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71,497,924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71,733,580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620" w:hanging="441"/>
        <w:spacing w:after="0"/>
        <w:tabs>
          <w:tab w:leader="none" w:pos="1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82"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2"/>
                <w:szCs w:val="12"/>
                <w:b w:val="1"/>
                <w:bCs w:val="1"/>
                <w:color w:val="auto"/>
                <w:w w:val="98"/>
              </w:rPr>
              <w:t>Nine Months Ended</w:t>
            </w:r>
          </w:p>
        </w:tc>
        <w:tc>
          <w:tcPr>
            <w:tcW w:w="0" w:type="dxa"/>
            <w:vAlign w:val="bottom"/>
          </w:tcPr>
          <w:p>
            <w:pPr>
              <w:spacing w:after="0"/>
              <w:rPr>
                <w:sz w:val="1"/>
                <w:szCs w:val="1"/>
                <w:color w:val="auto"/>
              </w:rPr>
            </w:pPr>
          </w:p>
        </w:tc>
      </w:tr>
      <w:tr>
        <w:trPr>
          <w:trHeight w:val="145"/>
        </w:trPr>
        <w:tc>
          <w:tcPr>
            <w:tcW w:w="50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2020" w:type="dxa"/>
            <w:vAlign w:val="bottom"/>
            <w:gridSpan w:val="8"/>
          </w:tcPr>
          <w:p>
            <w:pPr>
              <w:jc w:val="right"/>
              <w:ind w:right="44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2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5020" w:type="dxa"/>
            <w:vAlign w:val="bottom"/>
            <w:tcBorders>
              <w:bottom w:val="single" w:sz="8" w:color="CCEEFF"/>
            </w:tcBorders>
            <w:vMerge w:val="continue"/>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2017</w:t>
            </w:r>
          </w:p>
        </w:tc>
        <w:tc>
          <w:tcPr>
            <w:tcW w:w="2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2018</w:t>
            </w:r>
          </w:p>
        </w:tc>
        <w:tc>
          <w:tcPr>
            <w:tcW w:w="2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2019</w:t>
            </w:r>
          </w:p>
        </w:tc>
        <w:tc>
          <w:tcPr>
            <w:tcW w:w="2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2"/>
                <w:szCs w:val="12"/>
                <w:color w:val="auto"/>
              </w:rPr>
              <w:t>183</w:t>
            </w: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80"/>
              <w:spacing w:after="0" w:line="126"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80"/>
              <w:spacing w:after="0" w:line="126" w:lineRule="exact"/>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35"/>
        </w:trPr>
        <w:tc>
          <w:tcPr>
            <w:tcW w:w="502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80" w:type="dxa"/>
            <w:vAlign w:val="bottom"/>
          </w:tcPr>
          <w:p>
            <w:pPr>
              <w:spacing w:after="0"/>
              <w:rPr>
                <w:sz w:val="11"/>
                <w:szCs w:val="11"/>
                <w:color w:val="auto"/>
              </w:rPr>
            </w:pP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124</w:t>
            </w:r>
          </w:p>
        </w:tc>
        <w:tc>
          <w:tcPr>
            <w:tcW w:w="80" w:type="dxa"/>
            <w:vAlign w:val="bottom"/>
          </w:tcPr>
          <w:p>
            <w:pPr>
              <w:spacing w:after="0"/>
              <w:rPr>
                <w:sz w:val="11"/>
                <w:szCs w:val="11"/>
                <w:color w:val="auto"/>
              </w:rPr>
            </w:pPr>
          </w:p>
        </w:tc>
        <w:tc>
          <w:tcPr>
            <w:tcW w:w="6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178</w:t>
            </w: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433</w:t>
            </w:r>
          </w:p>
        </w:tc>
        <w:tc>
          <w:tcPr>
            <w:tcW w:w="80" w:type="dxa"/>
            <w:vAlign w:val="bottom"/>
          </w:tcPr>
          <w:p>
            <w:pPr>
              <w:spacing w:after="0"/>
              <w:rPr>
                <w:sz w:val="11"/>
                <w:szCs w:val="11"/>
                <w:color w:val="auto"/>
              </w:rPr>
            </w:pPr>
          </w:p>
        </w:tc>
        <w:tc>
          <w:tcPr>
            <w:tcW w:w="70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252</w:t>
            </w:r>
          </w:p>
        </w:tc>
        <w:tc>
          <w:tcPr>
            <w:tcW w:w="100" w:type="dxa"/>
            <w:vAlign w:val="bottom"/>
          </w:tcPr>
          <w:p>
            <w:pPr>
              <w:spacing w:after="0"/>
              <w:rPr>
                <w:sz w:val="11"/>
                <w:szCs w:val="11"/>
                <w:color w:val="auto"/>
              </w:rPr>
            </w:pPr>
          </w:p>
        </w:tc>
        <w:tc>
          <w:tcPr>
            <w:tcW w:w="4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574</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753</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1,803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932</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3,181</w:t>
            </w:r>
          </w:p>
        </w:tc>
        <w:tc>
          <w:tcPr>
            <w:tcW w:w="0" w:type="dxa"/>
            <w:vAlign w:val="bottom"/>
          </w:tcPr>
          <w:p>
            <w:pPr>
              <w:spacing w:after="0"/>
              <w:rPr>
                <w:sz w:val="1"/>
                <w:szCs w:val="1"/>
                <w:color w:val="auto"/>
              </w:rPr>
            </w:pPr>
          </w:p>
        </w:tc>
      </w:tr>
      <w:tr>
        <w:trPr>
          <w:trHeight w:val="135"/>
        </w:trPr>
        <w:tc>
          <w:tcPr>
            <w:tcW w:w="502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80" w:type="dxa"/>
            <w:vAlign w:val="bottom"/>
          </w:tcPr>
          <w:p>
            <w:pPr>
              <w:spacing w:after="0"/>
              <w:rPr>
                <w:sz w:val="11"/>
                <w:szCs w:val="11"/>
                <w:color w:val="auto"/>
              </w:rPr>
            </w:pP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560</w:t>
            </w:r>
          </w:p>
        </w:tc>
        <w:tc>
          <w:tcPr>
            <w:tcW w:w="80" w:type="dxa"/>
            <w:vAlign w:val="bottom"/>
          </w:tcPr>
          <w:p>
            <w:pPr>
              <w:spacing w:after="0"/>
              <w:rPr>
                <w:sz w:val="11"/>
                <w:szCs w:val="11"/>
                <w:color w:val="auto"/>
              </w:rPr>
            </w:pPr>
          </w:p>
        </w:tc>
        <w:tc>
          <w:tcPr>
            <w:tcW w:w="6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931</w:t>
            </w: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1,292</w:t>
            </w:r>
          </w:p>
        </w:tc>
        <w:tc>
          <w:tcPr>
            <w:tcW w:w="80" w:type="dxa"/>
            <w:vAlign w:val="bottom"/>
          </w:tcPr>
          <w:p>
            <w:pPr>
              <w:spacing w:after="0"/>
              <w:rPr>
                <w:sz w:val="11"/>
                <w:szCs w:val="11"/>
                <w:color w:val="auto"/>
              </w:rPr>
            </w:pPr>
          </w:p>
        </w:tc>
        <w:tc>
          <w:tcPr>
            <w:tcW w:w="70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863</w:t>
            </w:r>
          </w:p>
        </w:tc>
        <w:tc>
          <w:tcPr>
            <w:tcW w:w="100" w:type="dxa"/>
            <w:vAlign w:val="bottom"/>
          </w:tcPr>
          <w:p>
            <w:pPr>
              <w:spacing w:after="0"/>
              <w:rPr>
                <w:sz w:val="11"/>
                <w:szCs w:val="11"/>
                <w:color w:val="auto"/>
              </w:rPr>
            </w:pPr>
          </w:p>
        </w:tc>
        <w:tc>
          <w:tcPr>
            <w:tcW w:w="4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2,160</w:t>
            </w: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0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1,290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2,045</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3,806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2,204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7,102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left="1620" w:right="279" w:hanging="441"/>
        <w:spacing w:after="0" w:line="241" w:lineRule="auto"/>
        <w:tabs>
          <w:tab w:leader="none" w:pos="1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See Note 16 to our consolidated financial statements for an explanation of the calculations of our basic and diluted net loss per share attributable to Upstart Holdings, Inc. common stockholders, pro forma net income per share attributable to Upstart Holdings, Inc. common stockholders and the weighted-average number of shares used in the computation of the per share amounts.</w:t>
      </w: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39"/>
          </w:cols>
          <w:pgMar w:left="320" w:top="407" w:right="1440"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64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3905" cy="4864100"/>
                    </a:xfrm>
                    <a:prstGeom prst="rect">
                      <a:avLst/>
                    </a:prstGeom>
                    <a:noFill/>
                  </pic:spPr>
                </pic:pic>
              </a:graphicData>
            </a:graphic>
          </wp:anchor>
        </w:drawing>
      </w:r>
    </w:p>
    <w:p>
      <w:pPr>
        <w:spacing w:after="0" w:line="389"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Consolidated Balance Sheet Data</w:t>
      </w: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5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gridSpan w:val="8"/>
          </w:tcPr>
          <w:p>
            <w:pPr>
              <w:jc w:val="right"/>
              <w:ind w:right="720"/>
              <w:spacing w:after="0"/>
              <w:rPr>
                <w:sz w:val="20"/>
                <w:szCs w:val="20"/>
                <w:color w:val="auto"/>
              </w:rPr>
            </w:pPr>
            <w:r>
              <w:rPr>
                <w:rFonts w:ascii="Arial" w:cs="Arial" w:eastAsia="Arial" w:hAnsi="Arial"/>
                <w:sz w:val="12"/>
                <w:szCs w:val="12"/>
                <w:b w:val="1"/>
                <w:bCs w:val="1"/>
                <w:color w:val="auto"/>
                <w:w w:val="99"/>
              </w:rPr>
              <w:t>As of September 30, 2020</w:t>
            </w:r>
          </w:p>
        </w:tc>
      </w:tr>
      <w:tr>
        <w:trPr>
          <w:trHeight w:val="116"/>
        </w:trPr>
        <w:tc>
          <w:tcPr>
            <w:tcW w:w="5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4"/>
              <w:spacing w:after="0" w:line="117" w:lineRule="exact"/>
              <w:rPr>
                <w:sz w:val="20"/>
                <w:szCs w:val="20"/>
                <w:color w:val="auto"/>
              </w:rPr>
            </w:pPr>
            <w:r>
              <w:rPr>
                <w:rFonts w:ascii="Arial" w:cs="Arial" w:eastAsia="Arial" w:hAnsi="Arial"/>
                <w:sz w:val="12"/>
                <w:szCs w:val="12"/>
                <w:b w:val="1"/>
                <w:bCs w:val="1"/>
                <w:color w:val="auto"/>
              </w:rPr>
              <w:t>Pro Forma</w:t>
            </w:r>
          </w:p>
        </w:tc>
        <w:tc>
          <w:tcPr>
            <w:tcW w:w="80" w:type="dxa"/>
            <w:vAlign w:val="bottom"/>
          </w:tcPr>
          <w:p>
            <w:pPr>
              <w:spacing w:after="0"/>
              <w:rPr>
                <w:sz w:val="10"/>
                <w:szCs w:val="10"/>
                <w:color w:val="auto"/>
              </w:rPr>
            </w:pPr>
          </w:p>
        </w:tc>
      </w:tr>
      <w:tr>
        <w:trPr>
          <w:trHeight w:val="131"/>
        </w:trPr>
        <w:tc>
          <w:tcPr>
            <w:tcW w:w="5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80"/>
              <w:spacing w:after="0" w:line="131" w:lineRule="exact"/>
              <w:rPr>
                <w:sz w:val="20"/>
                <w:szCs w:val="20"/>
                <w:color w:val="auto"/>
              </w:rPr>
            </w:pPr>
            <w:r>
              <w:rPr>
                <w:rFonts w:ascii="Arial" w:cs="Arial" w:eastAsia="Arial" w:hAnsi="Arial"/>
                <w:sz w:val="12"/>
                <w:szCs w:val="12"/>
                <w:b w:val="1"/>
                <w:bCs w:val="1"/>
                <w:color w:val="auto"/>
              </w:rPr>
              <w:t>Pro</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80"/>
              <w:spacing w:after="0" w:line="131" w:lineRule="exact"/>
              <w:rPr>
                <w:sz w:val="20"/>
                <w:szCs w:val="20"/>
                <w:color w:val="auto"/>
              </w:rPr>
            </w:pPr>
            <w:r>
              <w:rPr>
                <w:rFonts w:ascii="Arial" w:cs="Arial" w:eastAsia="Arial" w:hAnsi="Arial"/>
                <w:sz w:val="12"/>
                <w:szCs w:val="12"/>
                <w:b w:val="1"/>
                <w:bCs w:val="1"/>
                <w:color w:val="auto"/>
              </w:rPr>
              <w:t>as</w:t>
            </w:r>
          </w:p>
        </w:tc>
      </w:tr>
      <w:tr>
        <w:trPr>
          <w:trHeight w:val="149"/>
        </w:trPr>
        <w:tc>
          <w:tcPr>
            <w:tcW w:w="528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Actual</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1"/>
                <w:szCs w:val="11"/>
                <w:b w:val="1"/>
                <w:bCs w:val="1"/>
                <w:color w:val="auto"/>
              </w:rPr>
              <w:t>Forma</w:t>
            </w:r>
            <w:r>
              <w:rPr>
                <w:rFonts w:ascii="Arial" w:cs="Arial" w:eastAsia="Arial" w:hAnsi="Arial"/>
                <w:sz w:val="17"/>
                <w:szCs w:val="17"/>
                <w:b w:val="1"/>
                <w:bCs w:val="1"/>
                <w:color w:val="auto"/>
                <w:vertAlign w:val="superscript"/>
              </w:rPr>
              <w:t>(1)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7"/>
                <w:szCs w:val="17"/>
                <w:b w:val="1"/>
                <w:bCs w:val="1"/>
                <w:color w:val="auto"/>
                <w:vertAlign w:val="subscript"/>
              </w:rPr>
              <w:t>Adjusted</w:t>
            </w:r>
            <w:r>
              <w:rPr>
                <w:rFonts w:ascii="Arial" w:cs="Arial" w:eastAsia="Arial" w:hAnsi="Arial"/>
                <w:sz w:val="8"/>
                <w:szCs w:val="8"/>
                <w:b w:val="1"/>
                <w:bCs w:val="1"/>
                <w:color w:val="auto"/>
              </w:rPr>
              <w:t>(2)(3)(4)</w:t>
            </w:r>
          </w:p>
        </w:tc>
        <w:tc>
          <w:tcPr>
            <w:tcW w:w="80" w:type="dxa"/>
            <w:vAlign w:val="bottom"/>
            <w:tcBorders>
              <w:bottom w:val="single" w:sz="8" w:color="CCEEFF"/>
            </w:tcBorders>
          </w:tcPr>
          <w:p>
            <w:pPr>
              <w:spacing w:after="0"/>
              <w:rPr>
                <w:sz w:val="12"/>
                <w:szCs w:val="12"/>
                <w:color w:val="auto"/>
              </w:rPr>
            </w:pPr>
          </w:p>
        </w:tc>
      </w:tr>
      <w:tr>
        <w:trPr>
          <w:trHeight w:val="149"/>
        </w:trPr>
        <w:tc>
          <w:tcPr>
            <w:tcW w:w="52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53,234</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53,240</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224,608</w:t>
            </w:r>
          </w:p>
        </w:tc>
        <w:tc>
          <w:tcPr>
            <w:tcW w:w="80" w:type="dxa"/>
            <w:vAlign w:val="bottom"/>
            <w:shd w:val="clear" w:color="auto" w:fill="CCEEFF"/>
          </w:tcPr>
          <w:p>
            <w:pPr>
              <w:spacing w:after="0"/>
              <w:rPr>
                <w:sz w:val="12"/>
                <w:szCs w:val="12"/>
                <w:color w:val="auto"/>
              </w:rPr>
            </w:pPr>
          </w:p>
        </w:tc>
      </w:tr>
      <w:tr>
        <w:trPr>
          <w:trHeight w:val="164"/>
        </w:trPr>
        <w:tc>
          <w:tcPr>
            <w:tcW w:w="5280" w:type="dxa"/>
            <w:vAlign w:val="bottom"/>
          </w:tcPr>
          <w:p>
            <w:pPr>
              <w:spacing w:after="0"/>
              <w:rPr>
                <w:sz w:val="20"/>
                <w:szCs w:val="20"/>
                <w:color w:val="auto"/>
              </w:rPr>
            </w:pPr>
            <w:r>
              <w:rPr>
                <w:rFonts w:ascii="Arial" w:cs="Arial" w:eastAsia="Arial" w:hAnsi="Arial"/>
                <w:sz w:val="14"/>
                <w:szCs w:val="14"/>
                <w:color w:val="auto"/>
              </w:rPr>
              <w:t>Loans (at fair value)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122,708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122,708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122,708</w:t>
            </w:r>
          </w:p>
        </w:tc>
        <w:tc>
          <w:tcPr>
            <w:tcW w:w="80" w:type="dxa"/>
            <w:vAlign w:val="bottom"/>
          </w:tcPr>
          <w:p>
            <w:pPr>
              <w:spacing w:after="0"/>
              <w:rPr>
                <w:sz w:val="14"/>
                <w:szCs w:val="14"/>
                <w:color w:val="auto"/>
              </w:rPr>
            </w:pPr>
          </w:p>
        </w:tc>
      </w:tr>
      <w:tr>
        <w:trPr>
          <w:trHeight w:val="84"/>
        </w:trPr>
        <w:tc>
          <w:tcPr>
            <w:tcW w:w="5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309,804</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309,810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476,293</w:t>
            </w:r>
          </w:p>
        </w:tc>
        <w:tc>
          <w:tcPr>
            <w:tcW w:w="80" w:type="dxa"/>
            <w:vAlign w:val="bottom"/>
            <w:shd w:val="clear" w:color="auto" w:fill="CCEEFF"/>
          </w:tcPr>
          <w:p>
            <w:pPr>
              <w:spacing w:after="0"/>
              <w:rPr>
                <w:sz w:val="13"/>
                <w:szCs w:val="13"/>
                <w:color w:val="auto"/>
              </w:rPr>
            </w:pPr>
          </w:p>
        </w:tc>
      </w:tr>
      <w:tr>
        <w:trPr>
          <w:trHeight w:val="254"/>
        </w:trPr>
        <w:tc>
          <w:tcPr>
            <w:tcW w:w="5280" w:type="dxa"/>
            <w:vAlign w:val="bottom"/>
          </w:tcPr>
          <w:p>
            <w:pPr>
              <w:spacing w:after="0"/>
              <w:rPr>
                <w:sz w:val="20"/>
                <w:szCs w:val="20"/>
                <w:color w:val="auto"/>
              </w:rPr>
            </w:pPr>
            <w:r>
              <w:rPr>
                <w:rFonts w:ascii="Arial" w:cs="Arial" w:eastAsia="Arial" w:hAnsi="Arial"/>
                <w:sz w:val="14"/>
                <w:szCs w:val="14"/>
                <w:color w:val="auto"/>
              </w:rPr>
              <w:t>Borrowings</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100,588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100,588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100,588</w:t>
            </w:r>
          </w:p>
        </w:tc>
        <w:tc>
          <w:tcPr>
            <w:tcW w:w="80" w:type="dxa"/>
            <w:vAlign w:val="bottom"/>
          </w:tcPr>
          <w:p>
            <w:pPr>
              <w:spacing w:after="0"/>
              <w:rPr>
                <w:sz w:val="22"/>
                <w:szCs w:val="22"/>
                <w:color w:val="auto"/>
              </w:rPr>
            </w:pPr>
          </w:p>
        </w:tc>
      </w:tr>
      <w:tr>
        <w:trPr>
          <w:trHeight w:val="84"/>
        </w:trPr>
        <w:tc>
          <w:tcPr>
            <w:tcW w:w="5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194,591</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187,134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187,134</w:t>
            </w:r>
          </w:p>
        </w:tc>
        <w:tc>
          <w:tcPr>
            <w:tcW w:w="80" w:type="dxa"/>
            <w:vAlign w:val="bottom"/>
            <w:shd w:val="clear" w:color="auto" w:fill="CCEEFF"/>
          </w:tcPr>
          <w:p>
            <w:pPr>
              <w:spacing w:after="0"/>
              <w:rPr>
                <w:sz w:val="13"/>
                <w:szCs w:val="13"/>
                <w:color w:val="auto"/>
              </w:rPr>
            </w:pPr>
          </w:p>
        </w:tc>
      </w:tr>
      <w:tr>
        <w:trPr>
          <w:trHeight w:val="248"/>
        </w:trPr>
        <w:tc>
          <w:tcPr>
            <w:tcW w:w="5280" w:type="dxa"/>
            <w:vAlign w:val="bottom"/>
          </w:tcPr>
          <w:p>
            <w:pPr>
              <w:spacing w:after="0"/>
              <w:rPr>
                <w:sz w:val="20"/>
                <w:szCs w:val="20"/>
                <w:color w:val="auto"/>
              </w:rPr>
            </w:pPr>
            <w:r>
              <w:rPr>
                <w:rFonts w:ascii="Arial" w:cs="Arial" w:eastAsia="Arial" w:hAnsi="Arial"/>
                <w:sz w:val="14"/>
                <w:szCs w:val="14"/>
                <w:color w:val="auto"/>
              </w:rPr>
              <w:t>Convertible preferred stock</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162,546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deficit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w w:val="99"/>
              </w:rPr>
              <w:t>(70,249)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9"/>
              </w:rPr>
              <w:t>(70,249)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(75,134)</w:t>
            </w:r>
          </w:p>
        </w:tc>
      </w:tr>
      <w:tr>
        <w:trPr>
          <w:trHeight w:val="254"/>
        </w:trPr>
        <w:tc>
          <w:tcPr>
            <w:tcW w:w="528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(47,333)</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122,676</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289,159</w:t>
            </w:r>
          </w:p>
        </w:tc>
        <w:tc>
          <w:tcPr>
            <w:tcW w:w="80" w:type="dxa"/>
            <w:vAlign w:val="bottom"/>
          </w:tcPr>
          <w:p>
            <w:pPr>
              <w:spacing w:after="0"/>
              <w:rPr>
                <w:sz w:val="22"/>
                <w:szCs w:val="22"/>
                <w:color w:val="auto"/>
              </w:rPr>
            </w:pPr>
          </w:p>
        </w:tc>
      </w:tr>
      <w:tr>
        <w:trPr>
          <w:trHeight w:val="84"/>
        </w:trPr>
        <w:tc>
          <w:tcPr>
            <w:tcW w:w="5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58"/>
        </w:trPr>
        <w:tc>
          <w:tcPr>
            <w:tcW w:w="52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 convertible preferred stock and stockholders’ (deficit) equity</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309,804</w:t>
            </w: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309,810</w:t>
            </w: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476,293</w:t>
            </w:r>
          </w:p>
        </w:tc>
        <w:tc>
          <w:tcPr>
            <w:tcW w:w="8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jc w:val="both"/>
        <w:ind w:left="1620" w:right="119" w:hanging="441"/>
        <w:spacing w:after="0" w:line="235" w:lineRule="auto"/>
        <w:tabs>
          <w:tab w:leader="none" w:pos="1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pro forma column in the balance sheet data table above reflects (a) the Capital Stock Conversion, as if such conversions had occurred on September 30, 2020, (b) the preferred stock issued in November 2020 upon the exercise of a warrant to purchase Series B preferred stock and (c) the filing and effectiveness of our amended and restated certificate of incorporation in Delaware that will become effective immediately prior to the completion of this offering.</w:t>
      </w:r>
    </w:p>
    <w:p>
      <w:pPr>
        <w:ind w:left="1620" w:right="79" w:hanging="441"/>
        <w:spacing w:after="0" w:line="235" w:lineRule="auto"/>
        <w:tabs>
          <w:tab w:leader="none" w:pos="1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pro forma as adjusted column in the balance sheet data table above gives effect to (a) the pro forma adjustments set forth above and (b) the sale and issuance by us of shares of our common stock in this offering, based upon the assumed initial public offering price of $21.00 per share, which is the midpoint of the estimated offering price range set forth on the cover page of this prospectus, and after deducting estimated underwriting discounts and commissions and estimated offering expenses payable by us and (c) the issuance of 466,389 shares of common stock upon the exercise of options held by certain selling stockholders in connection with the sale of such shares by such selling stockholders in this offering.</w:t>
      </w:r>
    </w:p>
    <w:p>
      <w:pPr>
        <w:ind w:left="1620" w:right="119" w:hanging="441"/>
        <w:spacing w:after="0" w:line="235" w:lineRule="auto"/>
        <w:tabs>
          <w:tab w:leader="none" w:pos="1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Each $1.00 increase or decrease in the assumed initial public offering price of $21.00 per share, which is the midpoint of the estimated offering price range set forth on the cover page of this prospectus, would increase or decrease the amount of our pro forma as adjusted cash, working capital, total assets, and total stockholders’ equity by $8.4 million, assuming that the number of shares offered by us, as set forth on the cover page of this prospectus, remains the same, after deducting estimated underwriting discounts and commissions payable by us. An increase or decrease of 1.0 million shares in the number of shares offered by us would increase or decrease, as applicable, the amount of our pro forma as adjusted cash, working capital, total assets, and total stockholders’ equity by $19.5 million assuming the assumed initial public offering price remains the same, and after deducting estimated underwriting discounts and commissions payable by us.</w:t>
      </w:r>
    </w:p>
    <w:p>
      <w:pPr>
        <w:ind w:left="1620" w:hanging="441"/>
        <w:spacing w:after="0"/>
        <w:tabs>
          <w:tab w:leader="none" w:pos="1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 forma as adjusted cash and total assets each excludes $4.2 million of deferred offering costs that had been paid as of September 30, 2020.</w:t>
      </w: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Key Operating Metrics</w:t>
      </w:r>
    </w:p>
    <w:p>
      <w:pPr>
        <w:spacing w:after="0" w:line="195" w:lineRule="exact"/>
        <w:rPr>
          <w:sz w:val="20"/>
          <w:szCs w:val="20"/>
          <w:color w:val="auto"/>
        </w:rPr>
      </w:pPr>
    </w:p>
    <w:p>
      <w:pPr>
        <w:ind w:left="1180" w:right="199" w:firstLine="444"/>
        <w:spacing w:after="0" w:line="24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5500" w:type="dxa"/>
            <w:vAlign w:val="bottom"/>
          </w:tcPr>
          <w:p>
            <w:pPr>
              <w:spacing w:after="0"/>
              <w:rPr>
                <w:sz w:val="12"/>
                <w:szCs w:val="12"/>
                <w:color w:val="auto"/>
              </w:rPr>
            </w:pPr>
          </w:p>
        </w:tc>
        <w:tc>
          <w:tcPr>
            <w:tcW w:w="2000" w:type="dxa"/>
            <w:vAlign w:val="bottom"/>
            <w:gridSpan w:val="6"/>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13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50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6"/>
              <w:spacing w:after="0" w:line="126"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49"/>
        </w:trPr>
        <w:tc>
          <w:tcPr>
            <w:tcW w:w="55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Number of Loans Transacted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136,468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176,983</w:t>
            </w:r>
          </w:p>
        </w:tc>
        <w:tc>
          <w:tcPr>
            <w:tcW w:w="60" w:type="dxa"/>
            <w:vAlign w:val="bottom"/>
            <w:shd w:val="clear" w:color="auto" w:fill="CCEEFF"/>
          </w:tcPr>
          <w:p>
            <w:pPr>
              <w:spacing w:after="0"/>
              <w:rPr>
                <w:sz w:val="12"/>
                <w:szCs w:val="12"/>
                <w:color w:val="auto"/>
              </w:rPr>
            </w:pPr>
          </w:p>
        </w:tc>
      </w:tr>
      <w:tr>
        <w:trPr>
          <w:trHeight w:val="158"/>
        </w:trPr>
        <w:tc>
          <w:tcPr>
            <w:tcW w:w="550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9.1%</w:t>
            </w: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13.1%</w:t>
            </w:r>
          </w:p>
        </w:tc>
        <w:tc>
          <w:tcPr>
            <w:tcW w:w="1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12.2%</w:t>
            </w:r>
          </w:p>
        </w:tc>
        <w:tc>
          <w:tcPr>
            <w:tcW w:w="1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60" w:type="dxa"/>
            <w:vAlign w:val="bottom"/>
          </w:tcPr>
          <w:p>
            <w:pPr>
              <w:spacing w:after="0"/>
              <w:rPr>
                <w:sz w:val="13"/>
                <w:szCs w:val="13"/>
                <w:color w:val="auto"/>
              </w:rPr>
            </w:pPr>
          </w:p>
        </w:tc>
      </w:tr>
      <w:tr>
        <w:trPr>
          <w:trHeight w:val="158"/>
        </w:trPr>
        <w:tc>
          <w:tcPr>
            <w:tcW w:w="5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139"/>
          </w:cols>
          <w:pgMar w:left="320" w:top="407" w:right="1440"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1880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3905" cy="18802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379" w:firstLine="444"/>
        <w:spacing w:after="0" w:line="24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Operations—Key Operating Metrics” for a description of Number of Loans Transacted, Conversion Rate and Percentage of Loans Fully Automated.</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Non-GAAP Financial Measures</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32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160" w:type="dxa"/>
            <w:vAlign w:val="bottom"/>
          </w:tcPr>
          <w:p>
            <w:pPr>
              <w:spacing w:after="0"/>
              <w:rPr>
                <w:sz w:val="12"/>
                <w:szCs w:val="12"/>
                <w:color w:val="auto"/>
              </w:rPr>
            </w:pPr>
          </w:p>
        </w:tc>
        <w:tc>
          <w:tcPr>
            <w:tcW w:w="1980" w:type="dxa"/>
            <w:vAlign w:val="bottom"/>
            <w:gridSpan w:val="8"/>
          </w:tcPr>
          <w:p>
            <w:pPr>
              <w:jc w:val="center"/>
              <w:spacing w:after="0"/>
              <w:rPr>
                <w:sz w:val="20"/>
                <w:szCs w:val="20"/>
                <w:color w:val="auto"/>
              </w:rPr>
            </w:pPr>
            <w:r>
              <w:rPr>
                <w:rFonts w:ascii="Arial" w:cs="Arial" w:eastAsia="Arial" w:hAnsi="Arial"/>
                <w:sz w:val="12"/>
                <w:szCs w:val="12"/>
                <w:b w:val="1"/>
                <w:bCs w:val="1"/>
                <w:color w:val="auto"/>
              </w:rPr>
              <w:t>Year Ended December 31,</w:t>
            </w:r>
          </w:p>
        </w:tc>
        <w:tc>
          <w:tcPr>
            <w:tcW w:w="200" w:type="dxa"/>
            <w:vAlign w:val="bottom"/>
          </w:tcPr>
          <w:p>
            <w:pPr>
              <w:spacing w:after="0"/>
              <w:rPr>
                <w:sz w:val="12"/>
                <w:szCs w:val="12"/>
                <w:color w:val="auto"/>
              </w:rPr>
            </w:pPr>
          </w:p>
        </w:tc>
        <w:tc>
          <w:tcPr>
            <w:tcW w:w="130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3240" w:type="dxa"/>
            <w:vAlign w:val="bottom"/>
            <w:tcBorders>
              <w:bottom w:val="single" w:sz="8" w:color="CCEEFF"/>
            </w:tcBorders>
            <w:vMerge w:val="continue"/>
          </w:tcPr>
          <w:p>
            <w:pPr>
              <w:spacing w:after="0"/>
              <w:rPr>
                <w:sz w:val="10"/>
                <w:szCs w:val="10"/>
                <w:color w:val="auto"/>
              </w:rPr>
            </w:pPr>
          </w:p>
        </w:tc>
        <w:tc>
          <w:tcPr>
            <w:tcW w:w="216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Contribution Profit</w:t>
            </w:r>
          </w:p>
        </w:tc>
        <w:tc>
          <w:tcPr>
            <w:tcW w:w="2620" w:type="dxa"/>
            <w:vAlign w:val="bottom"/>
            <w:gridSpan w:val="2"/>
            <w:shd w:val="clear" w:color="auto" w:fill="CCEEFF"/>
          </w:tcPr>
          <w:p>
            <w:pPr>
              <w:ind w:left="2160"/>
              <w:spacing w:after="0" w:line="149" w:lineRule="exact"/>
              <w:rPr>
                <w:sz w:val="20"/>
                <w:szCs w:val="20"/>
                <w:color w:val="auto"/>
              </w:rPr>
            </w:pPr>
            <w:r>
              <w:rPr>
                <w:rFonts w:ascii="Arial" w:cs="Arial" w:eastAsia="Arial" w:hAnsi="Arial"/>
                <w:sz w:val="14"/>
                <w:szCs w:val="14"/>
                <w:color w:val="auto"/>
                <w:w w:val="94"/>
              </w:rPr>
              <w:t>$ 9,265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$13,098</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48,940</w:t>
            </w: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$25,560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8"/>
              </w:rPr>
              <w:t>$63,697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240" w:type="dxa"/>
            <w:vAlign w:val="bottom"/>
          </w:tcPr>
          <w:p>
            <w:pPr>
              <w:spacing w:after="0"/>
              <w:rPr>
                <w:sz w:val="20"/>
                <w:szCs w:val="20"/>
                <w:color w:val="auto"/>
              </w:rPr>
            </w:pPr>
            <w:r>
              <w:rPr>
                <w:rFonts w:ascii="Arial" w:cs="Arial" w:eastAsia="Arial" w:hAnsi="Arial"/>
                <w:sz w:val="14"/>
                <w:szCs w:val="14"/>
                <w:color w:val="auto"/>
              </w:rPr>
              <w:t>Adjusted EBITDA</w:t>
            </w:r>
          </w:p>
        </w:tc>
        <w:tc>
          <w:tcPr>
            <w:tcW w:w="2780" w:type="dxa"/>
            <w:vAlign w:val="bottom"/>
            <w:gridSpan w:val="3"/>
          </w:tcPr>
          <w:p>
            <w:pPr>
              <w:ind w:left="2160"/>
              <w:spacing w:after="0"/>
              <w:rPr>
                <w:sz w:val="20"/>
                <w:szCs w:val="20"/>
                <w:color w:val="auto"/>
              </w:rPr>
            </w:pPr>
            <w:r>
              <w:rPr>
                <w:rFonts w:ascii="Arial" w:cs="Arial" w:eastAsia="Arial" w:hAnsi="Arial"/>
                <w:sz w:val="14"/>
                <w:szCs w:val="14"/>
                <w:color w:val="auto"/>
              </w:rPr>
              <w:t>$(4,679)</w:t>
            </w:r>
          </w:p>
        </w:tc>
        <w:tc>
          <w:tcPr>
            <w:tcW w:w="760" w:type="dxa"/>
            <w:vAlign w:val="bottom"/>
            <w:gridSpan w:val="3"/>
          </w:tcPr>
          <w:p>
            <w:pPr>
              <w:ind w:left="100"/>
              <w:spacing w:after="0"/>
              <w:rPr>
                <w:sz w:val="20"/>
                <w:szCs w:val="20"/>
                <w:color w:val="auto"/>
              </w:rPr>
            </w:pPr>
            <w:r>
              <w:rPr>
                <w:rFonts w:ascii="Arial" w:cs="Arial" w:eastAsia="Arial" w:hAnsi="Arial"/>
                <w:sz w:val="14"/>
                <w:szCs w:val="14"/>
                <w:color w:val="auto"/>
              </w:rPr>
              <w:t>$ (6,226)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5,595</w:t>
            </w:r>
          </w:p>
        </w:tc>
        <w:tc>
          <w:tcPr>
            <w:tcW w:w="860" w:type="dxa"/>
            <w:vAlign w:val="bottom"/>
            <w:gridSpan w:val="3"/>
          </w:tcPr>
          <w:p>
            <w:pPr>
              <w:ind w:left="200"/>
              <w:spacing w:after="0"/>
              <w:rPr>
                <w:sz w:val="20"/>
                <w:szCs w:val="20"/>
                <w:color w:val="auto"/>
              </w:rPr>
            </w:pPr>
            <w:r>
              <w:rPr>
                <w:rFonts w:ascii="Arial" w:cs="Arial" w:eastAsia="Arial" w:hAnsi="Arial"/>
                <w:sz w:val="14"/>
                <w:szCs w:val="14"/>
                <w:color w:val="auto"/>
              </w:rPr>
              <w:t>$ (1,363)</w:t>
            </w:r>
          </w:p>
        </w:tc>
        <w:tc>
          <w:tcPr>
            <w:tcW w:w="600" w:type="dxa"/>
            <w:vAlign w:val="bottom"/>
            <w:gridSpan w:val="2"/>
          </w:tcPr>
          <w:p>
            <w:pPr>
              <w:jc w:val="center"/>
              <w:ind w:left="32"/>
              <w:spacing w:after="0"/>
              <w:rPr>
                <w:sz w:val="20"/>
                <w:szCs w:val="20"/>
                <w:color w:val="auto"/>
              </w:rPr>
            </w:pPr>
            <w:r>
              <w:rPr>
                <w:rFonts w:ascii="Arial" w:cs="Arial" w:eastAsia="Arial" w:hAnsi="Arial"/>
                <w:sz w:val="14"/>
                <w:szCs w:val="14"/>
                <w:color w:val="auto"/>
                <w:w w:val="98"/>
              </w:rPr>
              <w:t>$16,006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See the section titled “Selected Consolidated Financial and Other Data—Non-GAAP Financial Measures” for a description of Contribution Profit and Adjusted EBITDA and the section titled “Management’s Discussion and Analysis of Financial Condition and Results of Operations—Reconciliation of Non-GAAP Financial Measures” for a reconciliation of such non-GAAP financial measures to certain directly comparable financial measures calculated in accordance with GAAP.</w:t>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139"/>
          </w:cols>
          <w:pgMar w:left="320" w:top="407" w:right="1440"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ind w:left="1020" w:right="79" w:firstLine="460"/>
        <w:spacing w:after="0"/>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44"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77" w:lineRule="exact"/>
        <w:rPr>
          <w:sz w:val="20"/>
          <w:szCs w:val="20"/>
          <w:color w:val="auto"/>
        </w:rPr>
      </w:pPr>
    </w:p>
    <w:p>
      <w:pPr>
        <w:ind w:left="1020" w:right="119"/>
        <w:spacing w:after="0" w:line="252" w:lineRule="auto"/>
        <w:rPr>
          <w:sz w:val="20"/>
          <w:szCs w:val="20"/>
          <w:color w:val="auto"/>
        </w:rPr>
      </w:pPr>
      <w:r>
        <w:rPr>
          <w:rFonts w:ascii="Arial" w:cs="Arial" w:eastAsia="Arial" w:hAnsi="Arial"/>
          <w:sz w:val="15"/>
          <w:szCs w:val="15"/>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83" w:lineRule="exact"/>
        <w:rPr>
          <w:sz w:val="20"/>
          <w:szCs w:val="20"/>
          <w:color w:val="auto"/>
        </w:rPr>
      </w:pPr>
    </w:p>
    <w:p>
      <w:pPr>
        <w:ind w:left="1660" w:right="99"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are a rapidly growing company with a relatively limited operating history, which may result in increased risks, uncertainties, expenses and difficulties, and makes it difficult to evaluate our future prospects.</w:t>
      </w:r>
    </w:p>
    <w:p>
      <w:pPr>
        <w:spacing w:after="0" w:line="87" w:lineRule="exact"/>
        <w:rPr>
          <w:rFonts w:ascii="Arial" w:cs="Arial" w:eastAsia="Arial" w:hAnsi="Arial"/>
          <w:sz w:val="15"/>
          <w:szCs w:val="15"/>
          <w:color w:val="auto"/>
        </w:rPr>
      </w:pPr>
    </w:p>
    <w:p>
      <w:pPr>
        <w:ind w:left="1660" w:right="359"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revenue growth rate and financial performance in recent periods may not be indicative of future performance and such growth may slow over time.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COVID-19 pandemic has harmed and could continue to harm our business, financial condition and results of operations.</w:t>
      </w:r>
    </w:p>
    <w:p>
      <w:pPr>
        <w:spacing w:after="0" w:line="97" w:lineRule="exact"/>
        <w:rPr>
          <w:rFonts w:ascii="Arial" w:cs="Arial" w:eastAsia="Arial" w:hAnsi="Arial"/>
          <w:sz w:val="15"/>
          <w:szCs w:val="15"/>
          <w:color w:val="auto"/>
        </w:rPr>
      </w:pPr>
    </w:p>
    <w:p>
      <w:pPr>
        <w:ind w:left="1660" w:right="519"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fail to effectively manage our growth, our business, financial condition and results of operations could be adversely affected.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have incurred net losses in the past, and we may not be able to maintain or increase our profitability in the future.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quarterly results are likely to fluctuate and as a result may adversely affect the trading price of our common stock.</w:t>
      </w:r>
    </w:p>
    <w:p>
      <w:pPr>
        <w:spacing w:after="0" w:line="97" w:lineRule="exact"/>
        <w:rPr>
          <w:rFonts w:ascii="Arial" w:cs="Arial" w:eastAsia="Arial" w:hAnsi="Arial"/>
          <w:sz w:val="15"/>
          <w:szCs w:val="15"/>
          <w:color w:val="auto"/>
        </w:rPr>
      </w:pPr>
    </w:p>
    <w:p>
      <w:pPr>
        <w:ind w:left="1660" w:right="79"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87" w:lineRule="exact"/>
        <w:rPr>
          <w:rFonts w:ascii="Arial" w:cs="Arial" w:eastAsia="Arial" w:hAnsi="Arial"/>
          <w:sz w:val="15"/>
          <w:szCs w:val="15"/>
          <w:color w:val="auto"/>
        </w:rPr>
      </w:pPr>
    </w:p>
    <w:p>
      <w:pPr>
        <w:ind w:left="1660" w:right="439"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87" w:lineRule="exact"/>
        <w:rPr>
          <w:rFonts w:ascii="Arial" w:cs="Arial" w:eastAsia="Arial" w:hAnsi="Arial"/>
          <w:sz w:val="15"/>
          <w:szCs w:val="15"/>
          <w:color w:val="auto"/>
        </w:rPr>
      </w:pPr>
    </w:p>
    <w:p>
      <w:pPr>
        <w:ind w:left="1660" w:right="299"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Cross River Bank and one other bank partner account for a substantial portion of the total number of loans facilitated by our platform and our revenue.</w:t>
      </w:r>
    </w:p>
    <w:p>
      <w:pPr>
        <w:spacing w:after="0" w:line="87" w:lineRule="exact"/>
        <w:rPr>
          <w:rFonts w:ascii="Arial" w:cs="Arial" w:eastAsia="Arial" w:hAnsi="Arial"/>
          <w:sz w:val="15"/>
          <w:szCs w:val="15"/>
          <w:color w:val="auto"/>
        </w:rPr>
      </w:pPr>
    </w:p>
    <w:p>
      <w:pPr>
        <w:ind w:left="1660" w:right="19"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sales and onboarding process of new bank partners could take longer than expected, leading to fluctuations or variability in expected revenues and results of operations.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business may be adversely affected by economic conditions and other factors that we cannot control.</w:t>
      </w:r>
    </w:p>
    <w:p>
      <w:pPr>
        <w:spacing w:after="0" w:line="97" w:lineRule="exact"/>
        <w:rPr>
          <w:rFonts w:ascii="Arial" w:cs="Arial" w:eastAsia="Arial" w:hAnsi="Arial"/>
          <w:sz w:val="15"/>
          <w:szCs w:val="15"/>
          <w:color w:val="auto"/>
        </w:rPr>
      </w:pPr>
    </w:p>
    <w:p>
      <w:pPr>
        <w:ind w:left="1660" w:right="79" w:hanging="183"/>
        <w:spacing w:after="0"/>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139"/>
          </w:cols>
          <w:pgMar w:left="320" w:top="407"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hanging="183"/>
        <w:spacing w:after="0" w:line="245" w:lineRule="auto"/>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we are unable to maintain a diverse and robust loan funding program, our growth prospects, business, financial condition and results of operations could be adversely affected.</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87" w:lineRule="exact"/>
        <w:rPr>
          <w:rFonts w:ascii="Arial" w:cs="Arial" w:eastAsia="Arial" w:hAnsi="Arial"/>
          <w:sz w:val="15"/>
          <w:szCs w:val="15"/>
          <w:color w:val="auto"/>
        </w:rPr>
      </w:pPr>
    </w:p>
    <w:p>
      <w:pPr>
        <w:ind w:left="1660" w:right="10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91" w:lineRule="exact"/>
        <w:rPr>
          <w:rFonts w:ascii="Arial" w:cs="Arial" w:eastAsia="Arial" w:hAnsi="Arial"/>
          <w:sz w:val="15"/>
          <w:szCs w:val="15"/>
          <w:color w:val="auto"/>
        </w:rPr>
      </w:pPr>
    </w:p>
    <w:p>
      <w:pPr>
        <w:ind w:left="1660" w:right="18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242" w:lineRule="exact"/>
        <w:rPr>
          <w:sz w:val="20"/>
          <w:szCs w:val="20"/>
          <w:color w:val="auto"/>
        </w:rPr>
      </w:pPr>
    </w:p>
    <w:p>
      <w:pPr>
        <w:ind w:left="1020" w:right="60"/>
        <w:spacing w:after="0" w:line="270" w:lineRule="auto"/>
        <w:rPr>
          <w:sz w:val="20"/>
          <w:szCs w:val="20"/>
          <w:color w:val="auto"/>
        </w:rPr>
      </w:pPr>
      <w:r>
        <w:rPr>
          <w:rFonts w:ascii="Arial" w:cs="Arial" w:eastAsia="Arial" w:hAnsi="Arial"/>
          <w:sz w:val="15"/>
          <w:szCs w:val="15"/>
          <w:b w:val="1"/>
          <w:bCs w:val="1"/>
          <w:i w:val="1"/>
          <w:iCs w:val="1"/>
          <w:color w:val="auto"/>
        </w:rPr>
        <w:t>We are a rapidly growing company with a relatively limited operating history, which may result in increased risks, uncertainties, expenses and difficulties, and makes it difficult to evaluate our future prospects.</w:t>
      </w:r>
    </w:p>
    <w:p>
      <w:pPr>
        <w:spacing w:after="0" w:line="5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91" w:lineRule="exact"/>
        <w:rPr>
          <w:sz w:val="20"/>
          <w:szCs w:val="20"/>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improve the effectiveness and predictiveness of our AI models;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maintain and increase the volume of loans facilitated by our AI lending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enter into new and maintain existing bank partnerships;</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successfully fund a sufficient quantity of our borrower loan demand with low cost bank funding to help keep interest rates offered to borrowers competitive;</w:t>
      </w:r>
    </w:p>
    <w:p>
      <w:pPr>
        <w:spacing w:after="0" w:line="8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successfully build our brand and protect our reputation from negative publicity;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increase the effectiveness of our marketing strategies, including our direct consumer marketing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continue to expand the number of potential borrowers;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successfully adjust our proprietary AI models, products and services in a timely manner in response to changing macroeconomic conditions and fluctuations in the credit market;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comply with and successfully adapt to complex and evolving regulatory environments.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protect against increasingly sophisticated fraudulent borrowing and online theft;</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successfully compete with companies that are currently in, or may in the future enter, the business of providing online lending services to financial institutions or consumer financial services to borrowers;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enter into new markets and introduce new products and services;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180"/>
          </w:cols>
          <w:pgMar w:left="320" w:top="407" w:right="139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60" w:hanging="183"/>
        <w:spacing w:after="0" w:line="245" w:lineRule="auto"/>
        <w:tabs>
          <w:tab w:leader="none" w:pos="1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effectively secure and maintain the confidentiality of the information received, accessed, stored, provided and used across our systems;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successfully obtain and maintain funding and liquidity to support continued growth and general corporate purposes;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attract, integrate and retain qualified employees; and</w:t>
      </w:r>
    </w:p>
    <w:p>
      <w:pPr>
        <w:spacing w:after="0" w:line="97" w:lineRule="exact"/>
        <w:rPr>
          <w:rFonts w:ascii="Arial" w:cs="Arial" w:eastAsia="Arial" w:hAnsi="Arial"/>
          <w:sz w:val="15"/>
          <w:szCs w:val="15"/>
          <w:color w:val="auto"/>
        </w:rPr>
      </w:pPr>
    </w:p>
    <w:p>
      <w:pPr>
        <w:ind w:left="1660" w:right="740" w:hanging="183"/>
        <w:spacing w:after="0" w:line="245" w:lineRule="auto"/>
        <w:tabs>
          <w:tab w:leader="none" w:pos="1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effectively manage and expand the capabilities of our operations teams, outsourcing relationships and other business operations.</w:t>
      </w:r>
    </w:p>
    <w:p>
      <w:pPr>
        <w:spacing w:after="0" w:line="166"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If we are not able to timely and effectively address these risks and difficulties as well as those described elsewhere in this “Risk Factors” section, our business and results of operations may be harmed.</w:t>
      </w:r>
    </w:p>
    <w:p>
      <w:pPr>
        <w:spacing w:after="0" w:line="238" w:lineRule="exact"/>
        <w:rPr>
          <w:sz w:val="20"/>
          <w:szCs w:val="20"/>
          <w:color w:val="auto"/>
        </w:rPr>
      </w:pPr>
    </w:p>
    <w:p>
      <w:pPr>
        <w:ind w:left="1020" w:right="380"/>
        <w:spacing w:after="0" w:line="270" w:lineRule="auto"/>
        <w:rPr>
          <w:sz w:val="20"/>
          <w:szCs w:val="20"/>
          <w:color w:val="auto"/>
        </w:rPr>
      </w:pPr>
      <w:r>
        <w:rPr>
          <w:rFonts w:ascii="Arial" w:cs="Arial" w:eastAsia="Arial" w:hAnsi="Arial"/>
          <w:sz w:val="15"/>
          <w:szCs w:val="15"/>
          <w:b w:val="1"/>
          <w:bCs w:val="1"/>
          <w:i w:val="1"/>
          <w:iCs w:val="1"/>
          <w:color w:val="auto"/>
        </w:rPr>
        <w:t>Our revenue growth rate and financial performance in recent periods may not be indicative of future performance and such growth may slow over time.</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grown rapidly over the last several years, and our recent revenue growth rate and financial performance may not be indicative of our future performance. In 2017, 2018 and 2019, our revenue was $57.3 million, $99.3 million and $164.2 million, respectively, representing a 73% growth rate from 2017 to 2018 and a 65% growth rate from 2018 to 2019. For the nine months ended September 30, 2019 and 2020, our revenue was $101.6 million and $146.7 million, respectively, representing a period-over-period growth rate of 44%. You should not rely on our revenue for any previous quarterly or annual period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34% in 2017 and increased to 66% in 2019.</w:t>
      </w:r>
      <w:r>
        <w:rPr>
          <w:rFonts w:ascii="Arial" w:cs="Arial" w:eastAsia="Arial" w:hAnsi="Arial"/>
          <w:sz w:val="12"/>
          <w:szCs w:val="12"/>
          <w:color w:val="auto"/>
        </w:rPr>
        <w:t>57</w:t>
      </w:r>
      <w:r>
        <w:rPr>
          <w:rFonts w:ascii="Arial" w:cs="Arial" w:eastAsia="Arial" w:hAnsi="Arial"/>
          <w:sz w:val="15"/>
          <w:szCs w:val="15"/>
          <w:color w:val="auto"/>
        </w:rPr>
        <w:t xml:space="preserve"> We expect the Percentage of Loans Fully Automated to level off and remain relatively constant in the long term, and to the extent we expand our loan offerings beyond unsecured personal loans, we expect that such percentage may decrease in the short term. As a result of these factors, our revenue growth rates may slow, and our financial performance may be adversely affected.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COVID-19 pandemic has harmed and could continue to harm our business, financial condition and results of operations.</w:t>
      </w:r>
    </w:p>
    <w:p>
      <w:pPr>
        <w:spacing w:after="0" w:line="105" w:lineRule="exact"/>
        <w:rPr>
          <w:sz w:val="20"/>
          <w:szCs w:val="20"/>
          <w:color w:val="auto"/>
        </w:rPr>
      </w:pPr>
    </w:p>
    <w:p>
      <w:pPr>
        <w:jc w:val="both"/>
        <w:ind w:left="1020" w:right="40" w:firstLine="460"/>
        <w:spacing w:after="0" w:line="238" w:lineRule="auto"/>
        <w:rPr>
          <w:sz w:val="20"/>
          <w:szCs w:val="20"/>
          <w:color w:val="auto"/>
        </w:rPr>
      </w:pPr>
      <w:r>
        <w:rPr>
          <w:rFonts w:ascii="Arial" w:cs="Arial" w:eastAsia="Arial" w:hAnsi="Arial"/>
          <w:sz w:val="15"/>
          <w:szCs w:val="15"/>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In particular, the impact of the COVID-19 pandemic on the finances of borrowers on our platform has been profound, as many have been, and will likely continue to be, impacted by unemployment, reduced earnings and/or elevated economic disruption and insecurity.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66675</wp:posOffset>
            </wp:positionV>
            <wp:extent cx="64389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right="20" w:hanging="453"/>
        <w:spacing w:after="0" w:line="182" w:lineRule="auto"/>
        <w:tabs>
          <w:tab w:leader="none" w:pos="1480" w:val="left"/>
        </w:tabs>
        <w:numPr>
          <w:ilvl w:val="0"/>
          <w:numId w:val="30"/>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 for more information on how we define Percentage of Loans Fully Automated.</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180"/>
          </w:cols>
          <w:pgMar w:left="320" w:top="407" w:right="139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magnitude and duration of the resulting decline in business activity cannot currently be estimated with any degree of certainty and has had several effects on our business and results of operations, including, among other things:</w:t>
      </w:r>
    </w:p>
    <w:p>
      <w:pPr>
        <w:spacing w:after="0" w:line="87" w:lineRule="exact"/>
        <w:rPr>
          <w:sz w:val="20"/>
          <w:szCs w:val="20"/>
          <w:color w:val="auto"/>
        </w:rPr>
      </w:pPr>
    </w:p>
    <w:p>
      <w:pPr>
        <w:ind w:left="1660" w:hanging="183"/>
        <w:spacing w:after="0"/>
        <w:tabs>
          <w:tab w:leader="none" w:pos="1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decreased origination volumes on our platform;</w:t>
      </w:r>
    </w:p>
    <w:p>
      <w:pPr>
        <w:spacing w:after="0" w:line="97" w:lineRule="exact"/>
        <w:rPr>
          <w:rFonts w:ascii="Arial" w:cs="Arial" w:eastAsia="Arial" w:hAnsi="Arial"/>
          <w:sz w:val="15"/>
          <w:szCs w:val="15"/>
          <w:color w:val="auto"/>
        </w:rPr>
      </w:pPr>
    </w:p>
    <w:p>
      <w:pPr>
        <w:ind w:left="1660" w:right="580" w:hanging="183"/>
        <w:spacing w:after="0" w:line="245" w:lineRule="auto"/>
        <w:tabs>
          <w:tab w:leader="none" w:pos="1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potential for increased losses for new and existing originations using our AI models resulting from a rapid rise in U.S. unemployment;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temporary reduction in the availability of loan funding from institutional investors and the capital markets;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restricted sales operations and marketing efforts, and a reduction in the effectiveness of such efforts in some cases.</w:t>
      </w:r>
    </w:p>
    <w:p>
      <w:pPr>
        <w:spacing w:after="0" w:line="177"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The COVID-19 pandemic may lead to a continued economic downturn, which is expected to decrease technology spending generally and could adversely affect demand for our platforms and services, in addition to prolonging the foregoing challenges in our business.</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response to the impact of the COVID-19 pandemic, we have undertaken a number of initiatives to support borrowers on our platform who have suffered income loss or other hardships as a result of the pandemic. We worked with our bank partners to offer revised hardship and temporary relief plans to support borrowers impacted by the COVID-19 pandemic and adjust credit and underwriting processes and standards. While these changes to our hardship and temporary relief plans were designed to help borrowers impacted by the COVID-19 pandemic, the changes were implemented quickly and may not have had all the intended effects or desired impact. We continue to actively monitor the situation, assess possible implications to our business and take appropriate actions in an effort to mitigate the adverse consequences of the COVID-19 pandemic. However, there can be no assurances that the initiatives we take will be sufficient or successful.</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also taken precautionary measures intended to reduce the risk of the virus spreading to our employees, partner banks, vendors, and the communities in which we operate, including temporarily closing our offices and virtualizing, postponing, or canceling partner bank, employee, or industry events, which may negatively impact our business. Furthermore, as a result of the COVID-19 pandemic, we have required all employees who are able to do so to work remotely through the end of the first quarter of 2021. It is possible that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173" w:lineRule="exact"/>
        <w:rPr>
          <w:sz w:val="20"/>
          <w:szCs w:val="20"/>
          <w:color w:val="auto"/>
        </w:rPr>
      </w:pPr>
    </w:p>
    <w:p>
      <w:pPr>
        <w:jc w:val="both"/>
        <w:ind w:left="1020" w:right="100" w:firstLine="460"/>
        <w:spacing w:after="0" w:line="238" w:lineRule="auto"/>
        <w:rPr>
          <w:sz w:val="20"/>
          <w:szCs w:val="20"/>
          <w:color w:val="auto"/>
        </w:rPr>
      </w:pPr>
      <w:r>
        <w:rPr>
          <w:rFonts w:ascii="Arial" w:cs="Arial" w:eastAsia="Arial" w:hAnsi="Arial"/>
          <w:sz w:val="15"/>
          <w:szCs w:val="15"/>
          <w:color w:val="auto"/>
        </w:rPr>
        <w:t>Further, in response to the market conditions caused by the COVID-19 pandemic, we made certain operational changes, including increases to the fees we charge our bank partners and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220"/>
          </w:cols>
          <w:pgMar w:left="320" w:top="407" w:right="135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extent to which the COVID-19 pandemic continues to impact our business and results of operations will also depend on future developments that are highly uncertain and cannot be predicted, including new information which may emerge concerning the severity of the disease, the duration and spread of the outbreak, the scope of travel restrictions imposed in geographic areas in which we operate, mandatory or voluntary business closures, the impact on businesses and financial and capital markets, and the extent and effectiveness of actions taken throughout the world to contain the virus or treat its impact.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“Risk Factors” section.</w:t>
      </w:r>
    </w:p>
    <w:p>
      <w:pPr>
        <w:spacing w:after="0" w:line="242" w:lineRule="exact"/>
        <w:rPr>
          <w:sz w:val="20"/>
          <w:szCs w:val="20"/>
          <w:color w:val="auto"/>
        </w:rPr>
      </w:pPr>
    </w:p>
    <w:p>
      <w:pPr>
        <w:ind w:left="1020" w:right="560"/>
        <w:spacing w:after="0" w:line="270" w:lineRule="auto"/>
        <w:rPr>
          <w:sz w:val="20"/>
          <w:szCs w:val="20"/>
          <w:color w:val="auto"/>
        </w:rPr>
      </w:pPr>
      <w:r>
        <w:rPr>
          <w:rFonts w:ascii="Arial" w:cs="Arial" w:eastAsia="Arial" w:hAnsi="Arial"/>
          <w:sz w:val="15"/>
          <w:szCs w:val="15"/>
          <w:b w:val="1"/>
          <w:bCs w:val="1"/>
          <w:i w:val="1"/>
          <w:iCs w:val="1"/>
          <w:color w:val="auto"/>
        </w:rPr>
        <w:t>If we fail to effectively manage our growth, our business, financial condition and results of operations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Over the last several years, we have experienced rapid growth in our business and the Number of Loans Transacted on our AI lending platform, and we expect to continue to experience growth in the future. The Number of Loans Transacted on our platform increased from 70,457 in 2017 to 215,122 in 2019, representing a compound annual growth rate of 75%. The Number of Loans Transacted on our platform increased from 136,468 to 176,983 in the nine months ended September 30, 2019 and 2020, respectively, representing a growth rate of 30%.</w:t>
      </w:r>
      <w:r>
        <w:rPr>
          <w:rFonts w:ascii="Arial" w:cs="Arial" w:eastAsia="Arial" w:hAnsi="Arial"/>
          <w:sz w:val="12"/>
          <w:szCs w:val="12"/>
          <w:color w:val="auto"/>
        </w:rPr>
        <w:t>58</w:t>
      </w:r>
      <w:r>
        <w:rPr>
          <w:rFonts w:ascii="Arial" w:cs="Arial" w:eastAsia="Arial" w:hAnsi="Arial"/>
          <w:sz w:val="15"/>
          <w:szCs w:val="15"/>
          <w:color w:val="auto"/>
        </w:rPr>
        <w:t xml:space="preserve">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have incurred net losses in the past, and we may not be able to maintain or increase our profitability in the future.</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years ended December 31, 2017, 2018 and 2019, we have experienced net losses of $7.7 million, $12.3 million and</w:t>
      </w:r>
    </w:p>
    <w:p>
      <w:pPr>
        <w:ind w:left="1020"/>
        <w:spacing w:after="0" w:line="235" w:lineRule="auto"/>
        <w:rPr>
          <w:sz w:val="20"/>
          <w:szCs w:val="20"/>
          <w:color w:val="auto"/>
        </w:rPr>
      </w:pPr>
      <w:r>
        <w:rPr>
          <w:rFonts w:ascii="Arial" w:cs="Arial" w:eastAsia="Arial" w:hAnsi="Arial"/>
          <w:sz w:val="15"/>
          <w:szCs w:val="15"/>
          <w:color w:val="auto"/>
        </w:rPr>
        <w:t>$0.5 million, respectively. For the nine months ended September 30, 2019 and 2020, we have experienced net losses of $6.5 million and</w:t>
      </w:r>
    </w:p>
    <w:p>
      <w:pPr>
        <w:ind w:left="1020"/>
        <w:spacing w:after="0" w:line="235" w:lineRule="auto"/>
        <w:rPr>
          <w:sz w:val="20"/>
          <w:szCs w:val="20"/>
          <w:color w:val="auto"/>
        </w:rPr>
      </w:pPr>
      <w:r>
        <w:rPr>
          <w:rFonts w:ascii="Arial" w:cs="Arial" w:eastAsia="Arial" w:hAnsi="Arial"/>
          <w:sz w:val="15"/>
          <w:szCs w:val="15"/>
          <w:color w:val="auto"/>
        </w:rPr>
        <w:t>net income of $5.0 million, respectively. We intend to continue to expend significant funds to continue to develop and improve our</w:t>
      </w:r>
    </w:p>
    <w:p>
      <w:pPr>
        <w:ind w:left="1020"/>
        <w:spacing w:after="0" w:line="235" w:lineRule="auto"/>
        <w:rPr>
          <w:sz w:val="20"/>
          <w:szCs w:val="20"/>
          <w:color w:val="auto"/>
        </w:rPr>
      </w:pPr>
      <w:r>
        <w:rPr>
          <w:rFonts w:ascii="Arial" w:cs="Arial" w:eastAsia="Arial" w:hAnsi="Arial"/>
          <w:sz w:val="15"/>
          <w:szCs w:val="15"/>
          <w:color w:val="auto"/>
        </w:rPr>
        <w:t>proprietary AI models, improve our marketing efforts to increase the number of borrowers on our platform, enhance the features and</w:t>
      </w:r>
    </w:p>
    <w:p>
      <w:pPr>
        <w:ind w:left="1020"/>
        <w:spacing w:after="0" w:line="235" w:lineRule="auto"/>
        <w:rPr>
          <w:sz w:val="20"/>
          <w:szCs w:val="20"/>
          <w:color w:val="auto"/>
        </w:rPr>
      </w:pPr>
      <w:r>
        <w:rPr>
          <w:rFonts w:ascii="Arial" w:cs="Arial" w:eastAsia="Arial" w:hAnsi="Arial"/>
          <w:sz w:val="15"/>
          <w:szCs w:val="15"/>
          <w:color w:val="auto"/>
        </w:rPr>
        <w:t>overall user experience of our platform, expand the types of loan offerings on our platform and otherwise continue to grow our business,</w:t>
      </w:r>
    </w:p>
    <w:p>
      <w:pPr>
        <w:ind w:left="1020"/>
        <w:spacing w:after="0" w:line="235" w:lineRule="auto"/>
        <w:rPr>
          <w:sz w:val="20"/>
          <w:szCs w:val="20"/>
          <w:color w:val="auto"/>
        </w:rPr>
      </w:pPr>
      <w:r>
        <w:rPr>
          <w:rFonts w:ascii="Arial" w:cs="Arial" w:eastAsia="Arial" w:hAnsi="Arial"/>
          <w:sz w:val="15"/>
          <w:szCs w:val="15"/>
          <w:color w:val="auto"/>
        </w:rPr>
        <w:t>and we may not be able to increase our revenue enough to offset these significant expenditures. We may incur significant losses in the</w:t>
      </w:r>
    </w:p>
    <w:p>
      <w:pPr>
        <w:ind w:left="1020"/>
        <w:spacing w:after="0" w:line="236" w:lineRule="auto"/>
        <w:rPr>
          <w:sz w:val="20"/>
          <w:szCs w:val="20"/>
          <w:color w:val="auto"/>
        </w:rPr>
      </w:pPr>
      <w:r>
        <w:rPr>
          <w:rFonts w:ascii="Arial" w:cs="Arial" w:eastAsia="Arial" w:hAnsi="Arial"/>
          <w:sz w:val="15"/>
          <w:szCs w:val="15"/>
          <w:color w:val="auto"/>
        </w:rPr>
        <w:t>future for a number of reasons, including the other risks described in this section, and unforeseen expenses, difficulties, complications and</w:t>
      </w:r>
    </w:p>
    <w:p>
      <w:pPr>
        <w:ind w:left="1020"/>
        <w:spacing w:after="0" w:line="235" w:lineRule="auto"/>
        <w:rPr>
          <w:sz w:val="20"/>
          <w:szCs w:val="20"/>
          <w:color w:val="auto"/>
        </w:rPr>
      </w:pPr>
      <w:r>
        <w:rPr>
          <w:rFonts w:ascii="Arial" w:cs="Arial" w:eastAsia="Arial" w:hAnsi="Arial"/>
          <w:sz w:val="15"/>
          <w:szCs w:val="15"/>
          <w:color w:val="auto"/>
        </w:rPr>
        <w:t>delays, macroeconomic conditions and other unknown events. For example, increases in our common stock price could cause us to incur</w:t>
      </w:r>
    </w:p>
    <w:p>
      <w:pPr>
        <w:ind w:left="1020"/>
        <w:spacing w:after="0" w:line="235" w:lineRule="auto"/>
        <w:rPr>
          <w:sz w:val="20"/>
          <w:szCs w:val="20"/>
          <w:color w:val="auto"/>
        </w:rPr>
      </w:pPr>
      <w:r>
        <w:rPr>
          <w:rFonts w:ascii="Arial" w:cs="Arial" w:eastAsia="Arial" w:hAnsi="Arial"/>
          <w:sz w:val="15"/>
          <w:szCs w:val="15"/>
          <w:color w:val="auto"/>
        </w:rPr>
        <w:t>significant losses related to our liability-classified warrants, which would negatively impact our profitability. Any failure to increase our</w:t>
      </w:r>
    </w:p>
    <w:p>
      <w:pPr>
        <w:ind w:left="1020"/>
        <w:spacing w:after="0" w:line="235" w:lineRule="auto"/>
        <w:rPr>
          <w:sz w:val="20"/>
          <w:szCs w:val="20"/>
          <w:color w:val="auto"/>
        </w:rPr>
      </w:pPr>
      <w:r>
        <w:rPr>
          <w:rFonts w:ascii="Arial" w:cs="Arial" w:eastAsia="Arial" w:hAnsi="Arial"/>
          <w:sz w:val="15"/>
          <w:szCs w:val="15"/>
          <w:color w:val="auto"/>
        </w:rPr>
        <w:t>revenue sufficiently to keep pace with our investments and other expenses could prevent us from maintaining or improving profitability on</w:t>
      </w:r>
    </w:p>
    <w:p>
      <w:pPr>
        <w:ind w:left="1020"/>
        <w:spacing w:after="0"/>
        <w:rPr>
          <w:sz w:val="20"/>
          <w:szCs w:val="20"/>
          <w:color w:val="auto"/>
        </w:rPr>
      </w:pPr>
      <w:r>
        <w:rPr>
          <w:rFonts w:ascii="Arial" w:cs="Arial" w:eastAsia="Arial" w:hAnsi="Arial"/>
          <w:sz w:val="15"/>
          <w:szCs w:val="15"/>
          <w:color w:val="auto"/>
        </w:rPr>
        <w:t>a consistent basis. If we are unable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69850</wp:posOffset>
            </wp:positionV>
            <wp:extent cx="6438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right="120" w:hanging="453"/>
        <w:spacing w:after="0" w:line="182" w:lineRule="auto"/>
        <w:tabs>
          <w:tab w:leader="none" w:pos="1480" w:val="left"/>
        </w:tabs>
        <w:numPr>
          <w:ilvl w:val="0"/>
          <w:numId w:val="32"/>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 for more information on how we define Number of Loans Transacted.</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20"/>
          </w:cols>
          <w:pgMar w:left="320" w:top="407" w:right="135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line="245" w:lineRule="auto"/>
        <w:rPr>
          <w:sz w:val="20"/>
          <w:szCs w:val="20"/>
          <w:color w:val="auto"/>
        </w:rPr>
      </w:pPr>
      <w:r>
        <w:rPr>
          <w:rFonts w:ascii="Arial" w:cs="Arial" w:eastAsia="Arial" w:hAnsi="Arial"/>
          <w:sz w:val="15"/>
          <w:szCs w:val="15"/>
          <w:color w:val="auto"/>
        </w:rPr>
        <w:t>successfully address these risks and challenges as we encounter them, our business, financial condition and results of operations could be adversely affected.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quarterly results are likely to fluctuate and as a result may adversely affect the trading price of our common stock.</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quarterly results of operations, including the levels of our revenue, net income and other key metrics, are likely to vary significantly in the future, and period-to -period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93" w:lineRule="exact"/>
        <w:rPr>
          <w:sz w:val="20"/>
          <w:szCs w:val="20"/>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improve the effectiveness and predictiveness of our AI models;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attract new bank partners and investors of our loan funding programs;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maintain relationships with existing bank partners and investors of our loan funding programs;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maintain or increase loan volumes, and improve loan mix and the channels through which the loans, bank partners and loan funding are sourced;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maintain effective relationships with loan aggregators from which prospective borrowers access our website;</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general economic conditions, including economic slowdowns, recessions and tightening of credit markets, including due to the economic impact of the COVID-19 pandemic;</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improvements to our AI models that negatively impact transaction volume, such as lower approval rates;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timing and success of new products and services;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effectiveness of our direct marketing and other marketing channels;</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cost of borrowing money and access to loan funding sources;</w:t>
      </w:r>
    </w:p>
    <w:p>
      <w:pPr>
        <w:spacing w:after="0" w:line="9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number and extent of loans facilitated on our platform that are subject to loan modifications and/or temporary assistance due to disasters or emergencies;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number and extent of prepayments of loans facilitated on our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the fair value of assets and liabilities on our balance sheet;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network outages or actual or perceived security breaches;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involvement in litigation or regulatory enforcement efforts (or the threat thereof) or those that impact our industry generally;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length of the onboarding process related to acquisitions of new bank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laws and regulations that impact our business; and</w:t>
      </w:r>
    </w:p>
    <w:p>
      <w:pPr>
        <w:spacing w:after="0" w:line="97" w:lineRule="exact"/>
        <w:rPr>
          <w:rFonts w:ascii="Arial" w:cs="Arial" w:eastAsia="Arial" w:hAnsi="Arial"/>
          <w:sz w:val="15"/>
          <w:szCs w:val="15"/>
          <w:color w:val="auto"/>
        </w:rPr>
      </w:pPr>
    </w:p>
    <w:p>
      <w:pPr>
        <w:ind w:left="1660" w:right="680" w:hanging="183"/>
        <w:spacing w:after="0" w:line="245" w:lineRule="auto"/>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the competitive dynamics of our industry, including consolidation among competitors or the development of competitive products by larger well-funded incumbents.</w:t>
      </w:r>
    </w:p>
    <w:p>
      <w:pPr>
        <w:spacing w:after="0" w:line="166"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In addition, we experience significant seasonality in the demand for Upstart-powered loans, which is generally lower in the first quarter. This seasonal slowdown is primarily attributable to high loan</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180"/>
          </w:cols>
          <w:pgMar w:left="320" w:top="407" w:right="139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demand around the holidays in the fourth quarter and the general increase in borrowers’ available cash flows in the first quarter, including cash received from tax refunds, which temporarily reduces borrowing needs. While our growth has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244"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174"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171"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Continuing to improve the accuracy of our AI models is central to our business strategy. However, such improvements could negatively impact transaction volume, such as by lowering approval rates.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20"/>
          </w:cols>
          <w:pgMar w:left="320" w:top="407" w:right="135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For example, an upgrade to our AI models in the fourth quarter of 2018 related to prepayment predictions led to a temporary decrease in the total number of loans approved.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42" w:lineRule="exact"/>
        <w:rPr>
          <w:sz w:val="20"/>
          <w:szCs w:val="20"/>
          <w:color w:val="auto"/>
        </w:rPr>
      </w:pPr>
    </w:p>
    <w:p>
      <w:pPr>
        <w:ind w:left="1020" w:right="500"/>
        <w:spacing w:after="0" w:line="270" w:lineRule="auto"/>
        <w:rPr>
          <w:sz w:val="20"/>
          <w:szCs w:val="20"/>
          <w:color w:val="auto"/>
        </w:rPr>
      </w:pPr>
      <w:r>
        <w:rPr>
          <w:rFonts w:ascii="Arial" w:cs="Arial" w:eastAsia="Arial" w:hAnsi="Arial"/>
          <w:sz w:val="15"/>
          <w:szCs w:val="15"/>
          <w:b w:val="1"/>
          <w:bCs w:val="1"/>
          <w:i w:val="1"/>
          <w:i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the nine months ended September 30, 2020, approximately 98% of our revenue was generated from platform, referral and servicing fees that we receive from our bank partners. Our bank partners include Cross River Bank, Customers Bank, FinWise Bank, First Federal Bank of Kansas City, First National Bank of Omaha, KEMBA Financial Credit Union, TCF Bank, Apple Bank for Savings and Ridgewood Savings Bank. If any of our bank partners 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entered into separate agreements with each of our bank partners. Our agreements with our bank partners are nonexclusive, generally have 12-month terms that automatically renew, subject to certain early termination provisions and minimum fee amounts, and do not include any minimum origination obligations or origination limits.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addition, our bank partners have generally increasingly retained loans for their own customer base and balance sheet. In the third quarter of 2020, approximately 22% of Upstart-powered loans were retained by the originating bank, while about 76% of Upstart-powered loans were purchased by institutional investors through our loan funding programs. The percentage of Upstart-powered loans retained by the originating banks has fluctuated from quarter-to-quarter, but generally increased over the last few years. In general, banks can fund loans at lower rates due to the lower cost of funds available to them from their deposit base than is otherwise available in the broader institutional investment markets. Accordingly, loans retained by the originating bank generally carry lower interest</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00"/>
          </w:cols>
          <w:pgMar w:left="320" w:top="407" w:right="137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80"/>
        <w:spacing w:after="0" w:line="238" w:lineRule="auto"/>
        <w:rPr>
          <w:sz w:val="20"/>
          <w:szCs w:val="20"/>
          <w:color w:val="auto"/>
        </w:rPr>
      </w:pPr>
      <w:r>
        <w:rPr>
          <w:rFonts w:ascii="Arial" w:cs="Arial" w:eastAsia="Arial" w:hAnsi="Arial"/>
          <w:sz w:val="15"/>
          <w:szCs w:val="15"/>
          <w:color w:val="auto"/>
        </w:rPr>
        <w:t>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44" w:lineRule="exact"/>
        <w:rPr>
          <w:sz w:val="20"/>
          <w:szCs w:val="20"/>
          <w:color w:val="auto"/>
        </w:rPr>
      </w:pPr>
    </w:p>
    <w:p>
      <w:pPr>
        <w:ind w:left="1020" w:right="300"/>
        <w:spacing w:after="0" w:line="270" w:lineRule="auto"/>
        <w:rPr>
          <w:sz w:val="20"/>
          <w:szCs w:val="20"/>
          <w:color w:val="auto"/>
        </w:rPr>
      </w:pPr>
      <w:r>
        <w:rPr>
          <w:rFonts w:ascii="Arial" w:cs="Arial" w:eastAsia="Arial" w:hAnsi="Arial"/>
          <w:sz w:val="15"/>
          <w:szCs w:val="15"/>
          <w:b w:val="1"/>
          <w:bCs w:val="1"/>
          <w:i w:val="1"/>
          <w:iCs w:val="1"/>
          <w:color w:val="auto"/>
        </w:rPr>
        <w:t>Cross River Bank and one other bank partner account for a substantial portion of the total number of loans facilitated by our platform and our revenue.</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Cross River Bank, or CRB, a New Jersey-chartered community bank, originates a substantial majority of the loans on our platform. In the year ended December 31, 2019 and the nine months ended September 30, 2020, CRB originated approximately 89% and 72%, respectively, of the loans facilitated on our platform. CRB also accounts for a large portion of our revenues. In the year ended December 31, 2019 and the nine months ended September 30, 2020, fees received from CRB accounted for 81% and 65%,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171"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the nine months ended September 30, 2020, one of our other bank partners originated approximately 19% of the loans facilitated on our platform. In the nine months ended September 30, 2020, the fees received from this bank partner accounted for 15% of our total revenue.</w:t>
      </w:r>
    </w:p>
    <w:p>
      <w:pPr>
        <w:spacing w:after="0" w:line="242" w:lineRule="exact"/>
        <w:rPr>
          <w:sz w:val="20"/>
          <w:szCs w:val="20"/>
          <w:color w:val="auto"/>
        </w:rPr>
      </w:pPr>
    </w:p>
    <w:p>
      <w:pPr>
        <w:ind w:left="1020" w:right="20"/>
        <w:spacing w:after="0" w:line="270" w:lineRule="auto"/>
        <w:rPr>
          <w:sz w:val="20"/>
          <w:szCs w:val="20"/>
          <w:color w:val="auto"/>
        </w:rPr>
      </w:pPr>
      <w:r>
        <w:rPr>
          <w:rFonts w:ascii="Arial" w:cs="Arial" w:eastAsia="Arial" w:hAnsi="Arial"/>
          <w:sz w:val="15"/>
          <w:szCs w:val="15"/>
          <w:b w:val="1"/>
          <w:bCs w:val="1"/>
          <w:i w:val="1"/>
          <w:iCs w:val="1"/>
          <w:color w:val="auto"/>
        </w:rPr>
        <w:t>The sales and onboarding process of new bank partners could take longer than expected, leading to fluctuations or variability in expected revenues and results of operations.</w:t>
      </w:r>
    </w:p>
    <w:p>
      <w:pPr>
        <w:spacing w:after="0" w:line="58"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Our sales and onboarding process with new bank partners can be long and typically takes between six to 15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and/or hardware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00"/>
          </w:cols>
          <w:pgMar w:left="320" w:top="407" w:right="137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 may be adversely affected by economic conditions and other factors that we cannot control.</w:t>
      </w:r>
    </w:p>
    <w:p>
      <w:pPr>
        <w:spacing w:after="0" w:line="10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 policies, gas prices, energy costs, government shutdowns, trade wars and delays in tax refunds, as well as events such as natural disasters, acts of war, terrorism, catastrophes and pandemics.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example, in response to the COVID-19 pandemic, bank partners tightened their credit requirements or paused originations, and investors in our loan funding programs temporarily suspended making investments in Upstart-powered loans, which resulted in a decrease in the Number of Loans Transacted by 71% and a decrease in our revenue of 47%, each, in the second quarter of 2020 compared to the same period of the prior year.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example,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improve in the near term. The increase in the unemployment rate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70" w:lineRule="exact"/>
        <w:rPr>
          <w:sz w:val="20"/>
          <w:szCs w:val="20"/>
          <w:color w:val="auto"/>
        </w:rPr>
      </w:pPr>
    </w:p>
    <w:p>
      <w:pPr>
        <w:ind w:left="1020" w:right="780" w:firstLine="460"/>
        <w:spacing w:after="0" w:line="245" w:lineRule="auto"/>
        <w:rPr>
          <w:sz w:val="20"/>
          <w:szCs w:val="20"/>
          <w:color w:val="auto"/>
        </w:rPr>
      </w:pPr>
      <w:r>
        <w:rPr>
          <w:rFonts w:ascii="Arial" w:cs="Arial" w:eastAsia="Arial" w:hAnsi="Arial"/>
          <w:sz w:val="15"/>
          <w:szCs w:val="15"/>
          <w:color w:val="auto"/>
        </w:rPr>
        <w:t>Furthermore, the COVID-19 pandemic has caused some borrowers on our platform to request a temporary extension or modification of the payment schedules of their loans under the temporary relief</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00"/>
          </w:cols>
          <w:pgMar w:left="320" w:top="407" w:right="137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or loan modification programs, or hardship programs, offered by our bank partners and investors in our loan funding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171"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242" w:lineRule="exact"/>
        <w:rPr>
          <w:sz w:val="20"/>
          <w:szCs w:val="20"/>
          <w:color w:val="auto"/>
        </w:rPr>
      </w:pPr>
    </w:p>
    <w:p>
      <w:pPr>
        <w:ind w:left="1020" w:right="80"/>
        <w:spacing w:after="0" w:line="252" w:lineRule="auto"/>
        <w:rPr>
          <w:sz w:val="20"/>
          <w:szCs w:val="20"/>
          <w:color w:val="auto"/>
        </w:rPr>
      </w:pPr>
      <w:r>
        <w:rPr>
          <w:rFonts w:ascii="Arial" w:cs="Arial" w:eastAsia="Arial" w:hAnsi="Arial"/>
          <w:sz w:val="15"/>
          <w:szCs w:val="15"/>
          <w:b w:val="1"/>
          <w:bCs w:val="1"/>
          <w:i w:val="1"/>
          <w:i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In addition, the fair value of the loans on our balance sheet may decline. Any of these factors could adversely affect our business, financial condition and results of operations.</w:t>
      </w:r>
    </w:p>
    <w:p>
      <w:pPr>
        <w:spacing w:after="0" w:line="246" w:lineRule="exact"/>
        <w:rPr>
          <w:sz w:val="20"/>
          <w:szCs w:val="20"/>
          <w:color w:val="auto"/>
        </w:rPr>
      </w:pPr>
    </w:p>
    <w:p>
      <w:pPr>
        <w:ind w:left="1020" w:right="140"/>
        <w:spacing w:after="0" w:line="270" w:lineRule="auto"/>
        <w:rPr>
          <w:sz w:val="20"/>
          <w:szCs w:val="20"/>
          <w:color w:val="auto"/>
        </w:rPr>
      </w:pPr>
      <w:r>
        <w:rPr>
          <w:rFonts w:ascii="Arial" w:cs="Arial" w:eastAsia="Arial" w:hAnsi="Arial"/>
          <w:sz w:val="15"/>
          <w:szCs w:val="15"/>
          <w:b w:val="1"/>
          <w:bCs w:val="1"/>
          <w:i w:val="1"/>
          <w:i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no-action letter regarding the use of our Al model to underwrite and price unsecured closed-end loans. The current no-action letter expires 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00"/>
          </w:cols>
          <w:pgMar w:left="32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November 30, 2023, unless terminated by the CFPB earlier for one of the bases provided for by the no-action letter, and we can provide no assurance that the CFPB will continue to permit us to operate under its current no-action letter policies beyond that date, or will not change its position regarding supervisory or enforcement action against us in the future. Further, this no-action letter does not extend to other credit products offered on Upstart’s platform.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174"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the Equal Credit Opportunity Act, or ECOA. We have been subject to other governmental inquiries on this topic including an inquiry in June 2020 from the North Carolina Department of Justice. See the section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45" w:lineRule="exact"/>
        <w:rPr>
          <w:sz w:val="20"/>
          <w:szCs w:val="20"/>
          <w:color w:val="auto"/>
        </w:rPr>
      </w:pPr>
    </w:p>
    <w:p>
      <w:pPr>
        <w:ind w:left="1020" w:right="80"/>
        <w:spacing w:after="0" w:line="252" w:lineRule="auto"/>
        <w:rPr>
          <w:sz w:val="20"/>
          <w:szCs w:val="20"/>
          <w:color w:val="auto"/>
        </w:rPr>
      </w:pPr>
      <w:r>
        <w:rPr>
          <w:rFonts w:ascii="Arial" w:cs="Arial" w:eastAsia="Arial" w:hAnsi="Arial"/>
          <w:sz w:val="15"/>
          <w:szCs w:val="15"/>
          <w:b w:val="1"/>
          <w:bCs w:val="1"/>
          <w:i w:val="1"/>
          <w:i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While we recently expanded the type of loan products offered on our platform to include auto loans, the vast majority of loan originations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For example, FICO has recently changed its methodology in calculating credit scores in a manner that potentially penalizes borrowers who take out personal loans to pay off or consolidate credit card debt. This change could negatively affect the overall demand for personal loans.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7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00"/>
          </w:cols>
          <w:pgMar w:left="320" w:top="407" w:right="137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680"/>
        <w:spacing w:after="0"/>
        <w:rPr>
          <w:sz w:val="20"/>
          <w:szCs w:val="20"/>
          <w:color w:val="auto"/>
        </w:rPr>
      </w:pPr>
      <w:r>
        <w:rPr>
          <w:rFonts w:ascii="Arial" w:cs="Arial" w:eastAsia="Arial" w:hAnsi="Arial"/>
          <w:sz w:val="15"/>
          <w:szCs w:val="15"/>
          <w:color w:val="auto"/>
        </w:rPr>
        <w:t>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Further, because such personal loans are unsecured, there is a risk that borrowers will not prioritize repayment of such loans, particularly in any economic downcycle. For example, the economic downcycle resulting from the COVID-19 pandemic may cause borrowers to incur additional debt. To the extent borrowers have or incur other indebtedness that is secured, such as a mortgage, a home equity line of credit or an auto loan, borrowers may choose to repay obligations under such secured indebtedness before repaying their Upstart-powered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forgoing could lead to higher default rates and decreased demand by our bank partners and institutional investors to fund loans facilitated by our platform, which would adversely affect our business, financial condition and results of operations.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245" w:lineRule="exact"/>
        <w:rPr>
          <w:sz w:val="20"/>
          <w:szCs w:val="20"/>
          <w:color w:val="auto"/>
        </w:rPr>
      </w:pPr>
    </w:p>
    <w:p>
      <w:pPr>
        <w:ind w:left="1020" w:right="240"/>
        <w:spacing w:after="0" w:line="270" w:lineRule="auto"/>
        <w:rPr>
          <w:sz w:val="20"/>
          <w:szCs w:val="20"/>
          <w:color w:val="auto"/>
        </w:rPr>
      </w:pPr>
      <w:r>
        <w:rPr>
          <w:rFonts w:ascii="Arial" w:cs="Arial" w:eastAsia="Arial" w:hAnsi="Arial"/>
          <w:sz w:val="15"/>
          <w:szCs w:val="15"/>
          <w:b w:val="1"/>
          <w:bCs w:val="1"/>
          <w:i w:val="1"/>
          <w:i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58" w:lineRule="exact"/>
        <w:rPr>
          <w:sz w:val="20"/>
          <w:szCs w:val="20"/>
          <w:color w:val="auto"/>
        </w:rPr>
      </w:pPr>
    </w:p>
    <w:p>
      <w:pPr>
        <w:jc w:val="both"/>
        <w:ind w:left="1020" w:right="100" w:firstLine="460"/>
        <w:spacing w:after="0" w:line="235" w:lineRule="auto"/>
        <w:rPr>
          <w:sz w:val="20"/>
          <w:szCs w:val="20"/>
          <w:color w:val="auto"/>
        </w:rPr>
      </w:pPr>
      <w:r>
        <w:rPr>
          <w:rFonts w:ascii="Arial" w:cs="Arial" w:eastAsia="Arial" w:hAnsi="Arial"/>
          <w:sz w:val="15"/>
          <w:szCs w:val="15"/>
          <w:color w:val="auto"/>
        </w:rPr>
        <w:t>We recently began offering auto loans and a credit decision application programming interface to allow our bank partners to utilize our AI underwriting models to support their loan origination process for personal, auto, and student loans. We are continuing to invest in developing new loan products and service offerings, such as credit cards, mortgages, student loans, point-of-sale loans and HELOCs.</w:t>
      </w:r>
    </w:p>
    <w:p>
      <w:pPr>
        <w:ind w:left="1020" w:right="20"/>
        <w:spacing w:after="0" w:line="245" w:lineRule="auto"/>
        <w:rPr>
          <w:sz w:val="20"/>
          <w:szCs w:val="20"/>
          <w:color w:val="auto"/>
        </w:rPr>
      </w:pPr>
      <w:r>
        <w:rPr>
          <w:rFonts w:ascii="Arial" w:cs="Arial" w:eastAsia="Arial" w:hAnsi="Arial"/>
          <w:sz w:val="15"/>
          <w:szCs w:val="15"/>
          <w:color w:val="auto"/>
        </w:rPr>
        <w:t>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00"/>
          </w:cols>
          <w:pgMar w:left="320" w:top="407" w:right="137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45" w:lineRule="auto"/>
        <w:rPr>
          <w:sz w:val="20"/>
          <w:szCs w:val="20"/>
          <w:color w:val="auto"/>
        </w:rPr>
      </w:pPr>
      <w:r>
        <w:rPr>
          <w:rFonts w:ascii="Arial" w:cs="Arial" w:eastAsia="Arial" w:hAnsi="Arial"/>
          <w:sz w:val="15"/>
          <w:szCs w:val="15"/>
          <w:color w:val="auto"/>
        </w:rPr>
        <w:t>development efforts with respect to these initiatives could distract management from current operations and will divert capital and other resources from our existing business.</w:t>
      </w:r>
    </w:p>
    <w:p>
      <w:pPr>
        <w:spacing w:after="0" w:line="166"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42" w:lineRule="exact"/>
        <w:rPr>
          <w:sz w:val="20"/>
          <w:szCs w:val="20"/>
          <w:color w:val="auto"/>
        </w:rPr>
      </w:pPr>
    </w:p>
    <w:p>
      <w:pPr>
        <w:ind w:left="1020" w:right="200"/>
        <w:spacing w:after="0" w:line="252" w:lineRule="auto"/>
        <w:rPr>
          <w:sz w:val="20"/>
          <w:szCs w:val="20"/>
          <w:color w:val="auto"/>
        </w:rPr>
      </w:pPr>
      <w:r>
        <w:rPr>
          <w:rFonts w:ascii="Arial" w:cs="Arial" w:eastAsia="Arial" w:hAnsi="Arial"/>
          <w:sz w:val="15"/>
          <w:szCs w:val="15"/>
          <w:b w:val="1"/>
          <w:bCs w:val="1"/>
          <w:i w:val="1"/>
          <w:i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small-dollar lending programs. Bank regulators have even required banks to exit third-party programs that the regulators determined involved unsafe and unsound practices. The payday or “small-dollar”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170"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20"/>
          </w:cols>
          <w:pgMar w:left="320" w:top="407" w:right="135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Artificial intelligence and related technologies are subject to public debate and heightened regulatory scrutiny.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171"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LDF, and the Student Borrower Protection Center, or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will also prepare and make public periodic reports that summarize any general findings, recommendations and best practices, as well as any aspects of our AI model that raise particular fair lending concerns or implicate novel insights on educational equity that serve the public interest. While we will have input on these reports, and the agreement provides that the third-party firm and the parties to the agreement will collaborate to reach agreement on any recommendations, we could become involved in disagreements with the third-party firm, the LDF or the SBPC regarding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are not able to reach agreement in a timely manner, or at all, with the third-party firm to perform the audit, or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or the third-party firm</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00"/>
          </w:cols>
          <w:pgMar w:left="320" w:top="407" w:right="137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have been subject to other governmental inquiries on this topic including an inquiry in June 2020 from the North Carolina Department of Justice. See the section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Harm to our reputation can also arise from many other sources, including employee or former employee misconduct, misconduct by outsourced service providers or other counterparties, failure by us or our bank partners to meet minimum standards of service and quality, and inadequate protection of borrower information and compliance failures and claims. If we are unable to protect our reputation, our business, financial condition and results of operations would be adversely affected.</w:t>
      </w:r>
    </w:p>
    <w:p>
      <w:pPr>
        <w:spacing w:after="0" w:line="244" w:lineRule="exact"/>
        <w:rPr>
          <w:sz w:val="20"/>
          <w:szCs w:val="20"/>
          <w:color w:val="auto"/>
        </w:rPr>
      </w:pPr>
    </w:p>
    <w:p>
      <w:pPr>
        <w:ind w:left="1020" w:right="460"/>
        <w:spacing w:after="0" w:line="270" w:lineRule="auto"/>
        <w:rPr>
          <w:sz w:val="20"/>
          <w:szCs w:val="20"/>
          <w:color w:val="auto"/>
        </w:rPr>
      </w:pPr>
      <w:r>
        <w:rPr>
          <w:rFonts w:ascii="Arial" w:cs="Arial" w:eastAsia="Arial" w:hAnsi="Arial"/>
          <w:sz w:val="15"/>
          <w:szCs w:val="15"/>
          <w:b w:val="1"/>
          <w:bCs w:val="1"/>
          <w:i w:val="1"/>
          <w:iCs w:val="1"/>
          <w:color w:val="auto"/>
        </w:rPr>
        <w:t>If we do not compete effectively in our target markets, our business, results of operations and financial condition could be harmed.</w:t>
      </w:r>
    </w:p>
    <w:p>
      <w:pPr>
        <w:spacing w:after="0" w:line="58"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170"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or point-of-sale lending,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20"/>
          </w:cols>
          <w:pgMar w:left="320" w:top="407" w:right="135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173"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42" w:lineRule="exact"/>
        <w:rPr>
          <w:sz w:val="20"/>
          <w:szCs w:val="20"/>
          <w:color w:val="auto"/>
        </w:rPr>
      </w:pPr>
    </w:p>
    <w:p>
      <w:pPr>
        <w:ind w:left="1020" w:right="120"/>
        <w:spacing w:after="0" w:line="270" w:lineRule="auto"/>
        <w:rPr>
          <w:sz w:val="20"/>
          <w:szCs w:val="20"/>
          <w:color w:val="auto"/>
        </w:rPr>
      </w:pPr>
      <w:r>
        <w:rPr>
          <w:rFonts w:ascii="Arial" w:cs="Arial" w:eastAsia="Arial" w:hAnsi="Arial"/>
          <w:sz w:val="15"/>
          <w:szCs w:val="15"/>
          <w:b w:val="1"/>
          <w:bCs w:val="1"/>
          <w:i w:val="1"/>
          <w:iCs w:val="1"/>
          <w:color w:val="auto"/>
        </w:rPr>
        <w:t>If we are unable to manage the risks associated with fraudulent activity, our brand and reputation, business, financial condition and results of operations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75" w:lineRule="exact"/>
        <w:rPr>
          <w:sz w:val="20"/>
          <w:szCs w:val="20"/>
          <w:color w:val="auto"/>
        </w:rPr>
      </w:pPr>
    </w:p>
    <w:p>
      <w:pPr>
        <w:jc w:val="both"/>
        <w:ind w:left="1020" w:right="80" w:firstLine="460"/>
        <w:spacing w:after="0" w:line="238" w:lineRule="auto"/>
        <w:rPr>
          <w:sz w:val="20"/>
          <w:szCs w:val="20"/>
          <w:color w:val="auto"/>
        </w:rPr>
      </w:pPr>
      <w:r>
        <w:rPr>
          <w:rFonts w:ascii="Arial" w:cs="Arial" w:eastAsia="Arial" w:hAnsi="Arial"/>
          <w:sz w:val="15"/>
          <w:szCs w:val="15"/>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20"/>
          </w:cols>
          <w:pgMar w:left="320" w:top="407" w:right="135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58"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Competition for highly skilled personnel, including engineering and data analytics personnel, is extremely intense, particularly in the San Francisco Bay Area where one of our headquarters is located. We have experienced, and expect to continue to face, difficulty identifying and hiring qualified personnel in many areas, especially as we pursue our growth strategy. Further, as a result of the COVID-19 pandemic, a large and increasing number of companies have adopted permanent work-from-home policies, which further increases the challenges associated with hiring and retaining qualified personnel.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after this offering may adversely affect our ability to attract or retain highly skilled technical, financial and marketing personnel.</w:t>
      </w:r>
    </w:p>
    <w:p>
      <w:pPr>
        <w:spacing w:after="0" w:line="174"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44"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Security breaches of borrowers’ confidential information that we store may harm our reputation, adversely affect our results of operations and expose us to liability.</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is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Attacks of this nature are increasing in their frequency, levels of persistence, sophistication and intensity, and are being</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180"/>
          </w:cols>
          <w:pgMar w:left="320" w:top="407" w:right="139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remote working environment due to the COVID-19 pandemic could increase the risk of a security breach. Significant disruptions of our, our bank partners and third-party vendors’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17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171"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20"/>
          </w:cols>
          <w:pgMar w:left="320" w:top="407" w:right="135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6" w:lineRule="auto"/>
        <w:rPr>
          <w:sz w:val="20"/>
          <w:szCs w:val="20"/>
          <w:color w:val="auto"/>
        </w:rPr>
      </w:pPr>
      <w:r>
        <w:rPr>
          <w:rFonts w:ascii="Arial" w:cs="Arial" w:eastAsia="Arial" w:hAnsi="Arial"/>
          <w:sz w:val="15"/>
          <w:szCs w:val="15"/>
          <w:color w:val="auto"/>
        </w:rPr>
        <w:t>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Thus far,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43"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i w:val="1"/>
          <w:iCs w:val="1"/>
          <w:color w:val="auto"/>
        </w:rPr>
        <w:t>If we are unable to manage the risks related to our loan servicing and collections obligations, our business, financial condition and results of operations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20"/>
          </w:cols>
          <w:pgMar w:left="320" w:top="407" w:right="13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45" w:lineRule="auto"/>
        <w:rPr>
          <w:sz w:val="20"/>
          <w:szCs w:val="20"/>
          <w:color w:val="auto"/>
        </w:rPr>
      </w:pPr>
      <w:r>
        <w:rPr>
          <w:rFonts w:ascii="Arial" w:cs="Arial" w:eastAsia="Arial" w:hAnsi="Arial"/>
          <w:sz w:val="15"/>
          <w:szCs w:val="15"/>
          <w:color w:val="auto"/>
        </w:rPr>
        <w:t>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166"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90 days past due. As our volume of auto loans increases, we plan to engage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174" w:lineRule="exact"/>
        <w:rPr>
          <w:sz w:val="20"/>
          <w:szCs w:val="20"/>
          <w:color w:val="auto"/>
        </w:rPr>
      </w:pPr>
    </w:p>
    <w:p>
      <w:pPr>
        <w:jc w:val="both"/>
        <w:ind w:left="1020" w:right="520" w:firstLine="460"/>
        <w:spacing w:after="0" w:line="238" w:lineRule="auto"/>
        <w:rPr>
          <w:sz w:val="20"/>
          <w:szCs w:val="20"/>
          <w:color w:val="auto"/>
        </w:rPr>
      </w:pPr>
      <w:r>
        <w:rPr>
          <w:rFonts w:ascii="Arial" w:cs="Arial" w:eastAsia="Arial" w:hAnsi="Arial"/>
          <w:sz w:val="15"/>
          <w:szCs w:val="15"/>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primarily rely on three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17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20"/>
          </w:cols>
          <w:pgMar w:left="320" w:top="407" w:right="135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80"/>
        <w:spacing w:after="0" w:line="270" w:lineRule="auto"/>
        <w:rPr>
          <w:sz w:val="20"/>
          <w:szCs w:val="20"/>
          <w:color w:val="auto"/>
        </w:rPr>
      </w:pPr>
      <w:r>
        <w:rPr>
          <w:rFonts w:ascii="Arial" w:cs="Arial" w:eastAsia="Arial" w:hAnsi="Arial"/>
          <w:sz w:val="15"/>
          <w:szCs w:val="15"/>
          <w:b w:val="1"/>
          <w:bCs w:val="1"/>
          <w:i w:val="1"/>
          <w:iCs w:val="1"/>
          <w:color w:val="auto"/>
        </w:rPr>
        <w:t>Borrowers may prepay a loan at any time without penalty, which could reduce our servicing fees and deter our bank partners and investors from investing in loans facilitated by our platform.</w:t>
      </w:r>
    </w:p>
    <w:p>
      <w:pPr>
        <w:spacing w:after="0" w:line="58"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marketing efforts and brand promotion activities may not be effective.</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white-labeled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7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Unfavorable outcomes in legal proceedings may harm our business and results of operations.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20"/>
          </w:cols>
          <w:pgMar w:left="320" w:top="407" w:right="135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37" w:lineRule="auto"/>
        <w:rPr>
          <w:sz w:val="20"/>
          <w:szCs w:val="20"/>
          <w:color w:val="auto"/>
        </w:rPr>
      </w:pPr>
      <w:r>
        <w:rPr>
          <w:rFonts w:ascii="Arial" w:cs="Arial" w:eastAsia="Arial" w:hAnsi="Arial"/>
          <w:sz w:val="15"/>
          <w:szCs w:val="15"/>
          <w:color w:val="auto"/>
        </w:rPr>
        <w:t>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in the past and may in the future be subject to litigation, claims, examinations, investigations, legal and administrative cases and proceedings related to the offer and sale of Upstart-powered loans.</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 —“We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55" w:lineRule="exact"/>
        <w:rPr>
          <w:sz w:val="20"/>
          <w:szCs w:val="20"/>
          <w:color w:val="auto"/>
        </w:rPr>
      </w:pPr>
    </w:p>
    <w:p>
      <w:pPr>
        <w:ind w:left="1020" w:right="40"/>
        <w:spacing w:after="0" w:line="270" w:lineRule="auto"/>
        <w:rPr>
          <w:sz w:val="20"/>
          <w:szCs w:val="20"/>
          <w:color w:val="auto"/>
        </w:rPr>
      </w:pPr>
      <w:r>
        <w:rPr>
          <w:rFonts w:ascii="Arial" w:cs="Arial" w:eastAsia="Arial" w:hAnsi="Arial"/>
          <w:sz w:val="15"/>
          <w:szCs w:val="15"/>
          <w:b w:val="1"/>
          <w:bCs w:val="1"/>
          <w:i w:val="1"/>
          <w:iCs w:val="1"/>
          <w:color w:val="auto"/>
        </w:rPr>
        <w:t>We may evaluate and potentially consummate acquisitions, which could require significant management attention, consume our financial resources, disrupt our business and adversely affect our financial results.</w:t>
      </w:r>
    </w:p>
    <w:p>
      <w:pPr>
        <w:spacing w:after="0" w:line="58"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success will depend, in part, on our ability to grow our business.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93" w:lineRule="exact"/>
        <w:rPr>
          <w:sz w:val="20"/>
          <w:szCs w:val="20"/>
          <w:color w:val="auto"/>
        </w:rPr>
      </w:pPr>
    </w:p>
    <w:p>
      <w:pPr>
        <w:ind w:left="1660" w:hanging="18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addressing acquisition integration challenges;</w:t>
      </w:r>
    </w:p>
    <w:p>
      <w:pPr>
        <w:spacing w:after="0" w:line="120"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43</w:t>
      </w:r>
    </w:p>
    <w:p>
      <w:pPr>
        <w:sectPr>
          <w:pgSz w:w="11900" w:h="16838" w:orient="portrait"/>
          <w:cols w:equalWidth="0" w:num="1">
            <w:col w:w="10220"/>
          </w:cols>
          <w:pgMar w:left="320" w:top="407" w:right="135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utilization of our financial resources for acquisitions or investments that may fail to realize the anticipated benefits;</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inability of the acquired technologies, products or businesses to achieve expected levels of revenue, profitability, productivity or other benefits;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coordination of technology, product development and sales and marketing functions and integration of administrative systems;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transition of the acquired company’s borrowers to our systems;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retention of employees from the acquired company;</w:t>
      </w:r>
    </w:p>
    <w:p>
      <w:pPr>
        <w:spacing w:after="0" w:line="97"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regulatory risks, including maintaining good standing with existing regulatory bodies or receiving any necessary approvals, as well as being subject to new regulators with oversight over an acquired business;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attracting financing;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cultural challenges associated with integrating employees from the acquired company into our organization;</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need to implement or improve controls, procedures and policies at a business that prior to the acquisition may have lacked effective controls, procedures and policies;</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potential write-offs of loans or intangibles or other assets acquired in such transactions that may have an adverse effect on our results of operations in a given period;</w:t>
      </w:r>
    </w:p>
    <w:p>
      <w:pPr>
        <w:spacing w:after="0" w:line="87" w:lineRule="exact"/>
        <w:rPr>
          <w:rFonts w:ascii="Arial" w:cs="Arial" w:eastAsia="Arial" w:hAnsi="Arial"/>
          <w:sz w:val="15"/>
          <w:szCs w:val="15"/>
          <w:color w:val="auto"/>
        </w:rPr>
      </w:pPr>
    </w:p>
    <w:p>
      <w:pPr>
        <w:ind w:left="1660" w:right="580" w:hanging="183"/>
        <w:spacing w:after="0" w:line="245"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assumption of contractual obligations that contain terms that are not beneficial to us, require us to license or waive intellectual property or increase our risk for liability;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litigation, claims or other liabilities in connection with the acquired company.</w:t>
      </w:r>
    </w:p>
    <w:p>
      <w:pPr>
        <w:spacing w:after="0" w:line="177"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Our failure to address these risks or other problems encountered in connection with any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44" w:lineRule="exact"/>
        <w:rPr>
          <w:sz w:val="20"/>
          <w:szCs w:val="20"/>
          <w:color w:val="auto"/>
        </w:rPr>
      </w:pPr>
    </w:p>
    <w:p>
      <w:pPr>
        <w:ind w:left="1020" w:right="600"/>
        <w:spacing w:after="0" w:line="270" w:lineRule="auto"/>
        <w:rPr>
          <w:sz w:val="20"/>
          <w:szCs w:val="20"/>
          <w:color w:val="auto"/>
        </w:rPr>
      </w:pPr>
      <w:r>
        <w:rPr>
          <w:rFonts w:ascii="Arial" w:cs="Arial" w:eastAsia="Arial" w:hAnsi="Arial"/>
          <w:sz w:val="15"/>
          <w:szCs w:val="15"/>
          <w:b w:val="1"/>
          <w:bCs w:val="1"/>
          <w:i w:val="1"/>
          <w:iCs w:val="1"/>
          <w:color w:val="auto"/>
        </w:rPr>
        <w:t>Our business is subject to the risks of natural disasters and other catastrophic events, and to interruption by man-made problems.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has had a significant impact on the global economy and consumer confidence. If the outbreak persists or worsens, it could continue to adversely impact the economy and consumer confidence, and could negatively impact our operations and our platform, each of which could seriously harm our business. In addition, it is possible that continued widespread remote work arrangements may have a negative impact on our operations, the execution of our business plans, the productivity and availability of key personnel and other</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00"/>
          </w:cols>
          <w:pgMar w:left="320" w:top="407" w:right="137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employees necessary to conduct our business, or otherwise cause operational failures due to changes in our normal business practices necessitated by the outbreak and related governmental actions. There is no guarantee that we will be as effective while working remotely because our team is dispersed,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Additionally, remote work arrangements may make it more difficult to scale our operations efficiently, as the recruitment, onboarding and training of new employees may be prolonged or delayed.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Further, one of our headquarters is located in the San Francisco Bay Area, a region known for seismic activity and wildfires, and our other headquarters is located in Columbus, Ohio, a region subject to blizzards.</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addition, acts of war and other armed conflicts, disruptions in global trade, travel restrictions and quarantines, terrorism and other civil, political and geo -political unrest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172" w:lineRule="exact"/>
        <w:rPr>
          <w:sz w:val="20"/>
          <w:szCs w:val="20"/>
          <w:color w:val="auto"/>
        </w:rPr>
      </w:pPr>
    </w:p>
    <w:p>
      <w:pPr>
        <w:jc w:val="both"/>
        <w:ind w:left="1020" w:right="360" w:firstLine="460"/>
        <w:spacing w:after="0" w:line="245" w:lineRule="auto"/>
        <w:rPr>
          <w:sz w:val="20"/>
          <w:szCs w:val="20"/>
          <w:color w:val="auto"/>
        </w:rPr>
      </w:pPr>
      <w:r>
        <w:rPr>
          <w:rFonts w:ascii="Arial" w:cs="Arial" w:eastAsia="Arial" w:hAnsi="Arial"/>
          <w:sz w:val="15"/>
          <w:szCs w:val="15"/>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38" w:lineRule="exact"/>
        <w:rPr>
          <w:sz w:val="20"/>
          <w:szCs w:val="20"/>
          <w:color w:val="auto"/>
        </w:rPr>
      </w:pPr>
    </w:p>
    <w:p>
      <w:pPr>
        <w:ind w:left="1020" w:right="40"/>
        <w:spacing w:after="0" w:line="270"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74"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20"/>
          </w:cols>
          <w:pgMar w:left="320" w:top="407" w:right="135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42" w:lineRule="exact"/>
        <w:rPr>
          <w:sz w:val="20"/>
          <w:szCs w:val="20"/>
          <w:color w:val="auto"/>
        </w:rPr>
      </w:pPr>
    </w:p>
    <w:p>
      <w:pPr>
        <w:ind w:left="1020" w:right="560"/>
        <w:spacing w:after="0" w:line="270" w:lineRule="auto"/>
        <w:rPr>
          <w:sz w:val="20"/>
          <w:szCs w:val="20"/>
          <w:color w:val="auto"/>
        </w:rPr>
      </w:pPr>
      <w:r>
        <w:rPr>
          <w:rFonts w:ascii="Arial" w:cs="Arial" w:eastAsia="Arial" w:hAnsi="Arial"/>
          <w:sz w:val="15"/>
          <w:szCs w:val="15"/>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8"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As a public company, we will be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17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have concluded that the previously-identified material weakness in our internal controls has been remediated as of December 31, 2019.</w:t>
      </w:r>
    </w:p>
    <w:p>
      <w:pPr>
        <w:spacing w:after="0" w:line="17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00"/>
          </w:cols>
          <w:pgMar w:left="320" w:top="407" w:right="137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fair value of financial assets and liabilities (including loans, notes receivable, payable to securitization note holders and residual certificate holders, notes payable and servicing assets and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183"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245" w:lineRule="exact"/>
        <w:rPr>
          <w:sz w:val="20"/>
          <w:szCs w:val="20"/>
          <w:color w:val="auto"/>
        </w:rPr>
      </w:pPr>
    </w:p>
    <w:p>
      <w:pPr>
        <w:ind w:left="1020" w:right="420"/>
        <w:spacing w:after="0" w:line="270" w:lineRule="auto"/>
        <w:rPr>
          <w:sz w:val="20"/>
          <w:szCs w:val="20"/>
          <w:color w:val="auto"/>
        </w:rPr>
      </w:pPr>
      <w:r>
        <w:rPr>
          <w:rFonts w:ascii="Arial" w:cs="Arial" w:eastAsia="Arial" w:hAnsi="Arial"/>
          <w:sz w:val="15"/>
          <w:szCs w:val="15"/>
          <w:b w:val="1"/>
          <w:bCs w:val="1"/>
          <w:i w:val="1"/>
          <w:iCs w:val="1"/>
          <w:color w:val="auto"/>
        </w:rPr>
        <w:t>Some of our market opportunity estimates, growth forecasts and key metrics included in this prospectus could prove to be inaccurate, and any real or perceived inaccuracies may harm our reputation and negatively affect our business.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Market opportunity estimates and growth forecasts included in this prospectus, including those we have generated ourselves, are subject to significant uncertainty and are based on assumptions and estimates that may not prove to be accurate. The estimates and forecasts in this prospectus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The variables that go into the calculation of our market opportunity are subject to change over time, and there is no guarantee that any particular number or percentage of the loans covered by our market opportunity estimates will generate any particular level of revenues for us. Even if the markets in which we compete meet the size estimates and growth forecasted in this prospectus, we may be unable to address these markets successfully and our business could fail to</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20"/>
          </w:cols>
          <w:pgMar w:left="320" w:top="407" w:right="135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grow for a variety of reasons outside of our control, including competition in our industry.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00"/>
          </w:cols>
          <w:pgMar w:left="320" w:top="407" w:right="137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480"/>
        <w:spacing w:after="0"/>
        <w:rPr>
          <w:sz w:val="20"/>
          <w:szCs w:val="20"/>
          <w:color w:val="auto"/>
        </w:rPr>
      </w:pPr>
      <w:r>
        <w:rPr>
          <w:rFonts w:ascii="Arial" w:cs="Arial" w:eastAsia="Arial" w:hAnsi="Arial"/>
          <w:sz w:val="15"/>
          <w:szCs w:val="15"/>
          <w:b w:val="1"/>
          <w:bCs w:val="1"/>
          <w:color w:val="auto"/>
        </w:rPr>
        <w:t>RISKS RELATED TO OUR INTELLECTUAL PROPERTY AND PLATFORM DEVELOPMENT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 may be difficult and costly to protect our intellectual property rights, and we may not be able to ensure their protection.</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71"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44" w:lineRule="exact"/>
        <w:rPr>
          <w:sz w:val="20"/>
          <w:szCs w:val="20"/>
          <w:color w:val="auto"/>
        </w:rPr>
      </w:pPr>
    </w:p>
    <w:p>
      <w:pPr>
        <w:ind w:left="1020" w:right="380"/>
        <w:spacing w:after="0" w:line="270" w:lineRule="auto"/>
        <w:rPr>
          <w:sz w:val="20"/>
          <w:szCs w:val="20"/>
          <w:color w:val="auto"/>
        </w:rPr>
      </w:pPr>
      <w:r>
        <w:rPr>
          <w:rFonts w:ascii="Arial" w:cs="Arial" w:eastAsia="Arial" w:hAnsi="Arial"/>
          <w:sz w:val="15"/>
          <w:szCs w:val="15"/>
          <w:b w:val="1"/>
          <w:bCs w:val="1"/>
          <w:i w:val="1"/>
          <w:i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58"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In the event of a system outage or other event resulting in data loss or corruption, our ability to process loan applications, service loans or otherwise facilitate loans on our platform would be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20"/>
          </w:cols>
          <w:pgMar w:left="320" w:top="407"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45" w:lineRule="exact"/>
        <w:rPr>
          <w:sz w:val="20"/>
          <w:szCs w:val="20"/>
          <w:color w:val="auto"/>
        </w:rPr>
      </w:pPr>
    </w:p>
    <w:p>
      <w:pPr>
        <w:ind w:left="1020" w:right="140"/>
        <w:spacing w:after="0" w:line="270" w:lineRule="auto"/>
        <w:rPr>
          <w:sz w:val="20"/>
          <w:szCs w:val="20"/>
          <w:color w:val="auto"/>
        </w:rPr>
      </w:pPr>
      <w:r>
        <w:rPr>
          <w:rFonts w:ascii="Arial" w:cs="Arial" w:eastAsia="Arial" w:hAnsi="Arial"/>
          <w:sz w:val="15"/>
          <w:szCs w:val="15"/>
          <w:b w:val="1"/>
          <w:bCs w:val="1"/>
          <w:i w:val="1"/>
          <w:iCs w:val="1"/>
          <w:color w:val="auto"/>
        </w:rPr>
        <w:t>Our platform and internal systems rely on software that is highly technical, and if our software contains undetected errors, our business could be adversely affected.</w:t>
      </w:r>
    </w:p>
    <w:p>
      <w:pPr>
        <w:spacing w:after="0" w:line="58"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w:t>
      </w:r>
    </w:p>
    <w:p>
      <w:pPr>
        <w:spacing w:after="0" w:line="246" w:lineRule="exact"/>
        <w:rPr>
          <w:sz w:val="20"/>
          <w:szCs w:val="20"/>
          <w:color w:val="auto"/>
        </w:rPr>
      </w:pPr>
    </w:p>
    <w:p>
      <w:pPr>
        <w:ind w:left="1020" w:right="20"/>
        <w:spacing w:after="0" w:line="270" w:lineRule="auto"/>
        <w:rPr>
          <w:sz w:val="20"/>
          <w:szCs w:val="20"/>
          <w:color w:val="auto"/>
        </w:rPr>
      </w:pPr>
      <w:r>
        <w:rPr>
          <w:rFonts w:ascii="Arial" w:cs="Arial" w:eastAsia="Arial" w:hAnsi="Arial"/>
          <w:sz w:val="15"/>
          <w:szCs w:val="15"/>
          <w:b w:val="1"/>
          <w:bCs w:val="1"/>
          <w:i w:val="1"/>
          <w:iCs w:val="1"/>
          <w:color w:val="auto"/>
        </w:rPr>
        <w:t>Some aspects of our business processes include open source software, and any failure to comply with the terms of one or more of these open source licenses could negatively affect our business.</w:t>
      </w:r>
    </w:p>
    <w:p>
      <w:pPr>
        <w:spacing w:after="0" w:line="58" w:lineRule="exact"/>
        <w:rPr>
          <w:sz w:val="20"/>
          <w:szCs w:val="20"/>
          <w:color w:val="auto"/>
        </w:rPr>
      </w:pPr>
    </w:p>
    <w:p>
      <w:pPr>
        <w:jc w:val="both"/>
        <w:ind w:left="1020" w:right="160" w:firstLine="460"/>
        <w:spacing w:after="0" w:line="238" w:lineRule="auto"/>
        <w:rPr>
          <w:sz w:val="20"/>
          <w:szCs w:val="20"/>
          <w:color w:val="auto"/>
        </w:rPr>
      </w:pPr>
      <w:r>
        <w:rPr>
          <w:rFonts w:ascii="Arial" w:cs="Arial" w:eastAsia="Arial" w:hAnsi="Arial"/>
          <w:sz w:val="15"/>
          <w:szCs w:val="15"/>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172"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Some open source licenses contain requirements that we make source code available at no cost for modifications or derivative works we create based upon the type of open source software we use.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00"/>
          </w:cols>
          <w:pgMar w:left="320" w:top="407" w:right="137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79"/>
        <w:spacing w:after="0" w:line="237" w:lineRule="auto"/>
        <w:rPr>
          <w:sz w:val="20"/>
          <w:szCs w:val="20"/>
          <w:color w:val="auto"/>
        </w:rPr>
      </w:pPr>
      <w:r>
        <w:rPr>
          <w:rFonts w:ascii="Arial" w:cs="Arial" w:eastAsia="Arial" w:hAnsi="Arial"/>
          <w:sz w:val="15"/>
          <w:szCs w:val="15"/>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171" w:lineRule="exact"/>
        <w:rPr>
          <w:sz w:val="20"/>
          <w:szCs w:val="20"/>
          <w:color w:val="auto"/>
        </w:rPr>
      </w:pPr>
    </w:p>
    <w:p>
      <w:pPr>
        <w:ind w:left="1020" w:right="39" w:firstLine="460"/>
        <w:spacing w:after="0" w:line="238" w:lineRule="auto"/>
        <w:rPr>
          <w:sz w:val="20"/>
          <w:szCs w:val="20"/>
          <w:color w:val="auto"/>
        </w:rPr>
      </w:pPr>
      <w:r>
        <w:rPr>
          <w:rFonts w:ascii="Arial" w:cs="Arial" w:eastAsia="Arial" w:hAnsi="Arial"/>
          <w:sz w:val="15"/>
          <w:szCs w:val="15"/>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139"/>
          </w:cols>
          <w:pgMar w:left="320" w:top="407" w:right="1440"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RISKS RELATED TO OUR DEPENDENCE ON THIRD PARTIES</w:t>
      </w:r>
    </w:p>
    <w:p>
      <w:pPr>
        <w:spacing w:after="0" w:line="177" w:lineRule="exact"/>
        <w:rPr>
          <w:sz w:val="20"/>
          <w:szCs w:val="20"/>
          <w:color w:val="auto"/>
        </w:rPr>
      </w:pPr>
    </w:p>
    <w:p>
      <w:pPr>
        <w:ind w:left="1020" w:right="40"/>
        <w:spacing w:after="0" w:line="252" w:lineRule="auto"/>
        <w:rPr>
          <w:sz w:val="20"/>
          <w:szCs w:val="20"/>
          <w:color w:val="auto"/>
        </w:rPr>
      </w:pPr>
      <w:r>
        <w:rPr>
          <w:rFonts w:ascii="Arial" w:cs="Arial" w:eastAsia="Arial" w:hAnsi="Arial"/>
          <w:sz w:val="15"/>
          <w:szCs w:val="15"/>
          <w:b w:val="1"/>
          <w:bCs w:val="1"/>
          <w:i w:val="1"/>
          <w:i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 significant number of consumers that apply for a loan on Upstart.com learn about and access Upstart.com through the website of a loan aggregator, typically with a hyperlink from such loan aggregator’s website to a landing page on our website. For example, in 2019 and the nine months ended September 30, 2020, 38% and 52%, respectively, of loan originations were derived from traffic from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To date, Upstart has opted not to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 If traffic from Credit Karma continues to decrease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81" w:lineRule="exact"/>
        <w:rPr>
          <w:sz w:val="20"/>
          <w:szCs w:val="20"/>
          <w:color w:val="auto"/>
        </w:rPr>
      </w:pPr>
    </w:p>
    <w:p>
      <w:pPr>
        <w:jc w:val="both"/>
        <w:ind w:left="1020" w:firstLine="460"/>
        <w:spacing w:after="0" w:line="235" w:lineRule="auto"/>
        <w:rPr>
          <w:sz w:val="20"/>
          <w:szCs w:val="20"/>
          <w:color w:val="auto"/>
        </w:rPr>
      </w:pPr>
      <w:r>
        <w:rPr>
          <w:rFonts w:ascii="Arial" w:cs="Arial" w:eastAsia="Arial" w:hAnsi="Arial"/>
          <w:sz w:val="15"/>
          <w:szCs w:val="15"/>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w:t>
      </w:r>
    </w:p>
    <w:p>
      <w:pPr>
        <w:spacing w:after="0" w:line="1"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20"/>
          </w:cols>
          <w:pgMar w:left="320" w:top="407" w:right="135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44" w:lineRule="exact"/>
        <w:rPr>
          <w:sz w:val="20"/>
          <w:szCs w:val="20"/>
          <w:color w:val="auto"/>
        </w:rPr>
      </w:pPr>
    </w:p>
    <w:p>
      <w:pPr>
        <w:ind w:left="1020" w:right="180"/>
        <w:spacing w:after="0" w:line="270" w:lineRule="auto"/>
        <w:rPr>
          <w:sz w:val="20"/>
          <w:szCs w:val="20"/>
          <w:color w:val="auto"/>
        </w:rPr>
      </w:pPr>
      <w:r>
        <w:rPr>
          <w:rFonts w:ascii="Arial" w:cs="Arial" w:eastAsia="Arial" w:hAnsi="Arial"/>
          <w:sz w:val="15"/>
          <w:szCs w:val="15"/>
          <w:b w:val="1"/>
          <w:bCs w:val="1"/>
          <w:i w:val="1"/>
          <w:i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58"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 to verify the accuracy of applicant-reported information. Data from national credit bureaus and other consumer reporting agencies and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Further, although we attempt to verify the income, employment and education information provided by certain selected applicants, we cannot guarantee the accuracy of applicant information. Our fraud model relies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In addition, if third party data used to train and improve our AI models is inaccurate, or access to such third-party data is limited or becomes unavailable to us, our ability to continue to improve our AI</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00"/>
          </w:cols>
          <w:pgMar w:left="320" w:top="407" w:right="137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244" w:lineRule="exact"/>
        <w:rPr>
          <w:sz w:val="20"/>
          <w:szCs w:val="20"/>
          <w:color w:val="auto"/>
        </w:rPr>
      </w:pPr>
    </w:p>
    <w:p>
      <w:pPr>
        <w:ind w:left="1020" w:right="200"/>
        <w:spacing w:after="0" w:line="270" w:lineRule="auto"/>
        <w:rPr>
          <w:sz w:val="20"/>
          <w:szCs w:val="20"/>
          <w:color w:val="auto"/>
        </w:rPr>
      </w:pPr>
      <w:r>
        <w:rPr>
          <w:rFonts w:ascii="Arial" w:cs="Arial" w:eastAsia="Arial" w:hAnsi="Arial"/>
          <w:sz w:val="15"/>
          <w:szCs w:val="15"/>
          <w:b w:val="1"/>
          <w:bCs w:val="1"/>
          <w:i w:val="1"/>
          <w:i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58"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Most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46" w:lineRule="exact"/>
        <w:rPr>
          <w:sz w:val="20"/>
          <w:szCs w:val="20"/>
          <w:color w:val="auto"/>
        </w:rPr>
      </w:pPr>
    </w:p>
    <w:p>
      <w:pPr>
        <w:ind w:left="1020" w:right="920"/>
        <w:spacing w:after="0" w:line="270" w:lineRule="auto"/>
        <w:rPr>
          <w:sz w:val="20"/>
          <w:szCs w:val="20"/>
          <w:color w:val="auto"/>
        </w:rPr>
      </w:pPr>
      <w:r>
        <w:rPr>
          <w:rFonts w:ascii="Arial" w:cs="Arial" w:eastAsia="Arial" w:hAnsi="Arial"/>
          <w:sz w:val="15"/>
          <w:szCs w:val="15"/>
          <w:b w:val="1"/>
          <w:bCs w:val="1"/>
          <w:i w:val="1"/>
          <w:iCs w:val="1"/>
          <w:color w:val="auto"/>
        </w:rPr>
        <w:t>Failure by our third-party vendors or our failure to comply with legal or regulatory requirements or other contractual requirements could have an adverse effect on our business.</w:t>
      </w:r>
    </w:p>
    <w:p>
      <w:pPr>
        <w:spacing w:after="0" w:line="14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20"/>
          </w:cols>
          <w:pgMar w:left="320" w:top="407" w:right="135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w:t>
      </w:r>
    </w:p>
    <w:p>
      <w:pPr>
        <w:spacing w:after="0" w:line="245" w:lineRule="exact"/>
        <w:rPr>
          <w:sz w:val="20"/>
          <w:szCs w:val="20"/>
          <w:color w:val="auto"/>
        </w:rPr>
      </w:pPr>
    </w:p>
    <w:p>
      <w:pPr>
        <w:ind w:left="1020" w:right="80"/>
        <w:spacing w:after="0" w:line="246" w:lineRule="auto"/>
        <w:rPr>
          <w:sz w:val="20"/>
          <w:szCs w:val="20"/>
          <w:color w:val="auto"/>
        </w:rPr>
      </w:pPr>
      <w:r>
        <w:rPr>
          <w:rFonts w:ascii="Arial" w:cs="Arial" w:eastAsia="Arial" w:hAnsi="Arial"/>
          <w:sz w:val="15"/>
          <w:szCs w:val="15"/>
          <w:b w:val="1"/>
          <w:bCs w:val="1"/>
          <w:i w:val="1"/>
          <w:i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p>
    <w:p>
      <w:pPr>
        <w:spacing w:after="0" w:line="77"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annual percentage rates of the loans facilitated through our platform typically range from approximately 6.5% to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20"/>
          </w:cols>
          <w:pgMar w:left="320" w:top="407" w:right="13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provided at origination because while such disclosures are not required of banks they may be required of non-bank lenders.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174"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 xml:space="preserve">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w:t>
      </w:r>
      <w:r>
        <w:rPr>
          <w:rFonts w:ascii="Arial" w:cs="Arial" w:eastAsia="Arial" w:hAnsi="Arial"/>
          <w:sz w:val="15"/>
          <w:szCs w:val="15"/>
          <w:i w:val="1"/>
          <w:iCs w:val="1"/>
          <w:color w:val="auto"/>
        </w:rPr>
        <w:t>Petersen</w:t>
      </w:r>
      <w:r>
        <w:rPr>
          <w:rFonts w:ascii="Arial" w:cs="Arial" w:eastAsia="Arial" w:hAnsi="Arial"/>
          <w:sz w:val="15"/>
          <w:szCs w:val="15"/>
          <w:color w:val="auto"/>
        </w:rPr>
        <w:t xml:space="preserve">,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w:t>
      </w:r>
      <w:r>
        <w:rPr>
          <w:rFonts w:ascii="Arial" w:cs="Arial" w:eastAsia="Arial" w:hAnsi="Arial"/>
          <w:sz w:val="15"/>
          <w:szCs w:val="15"/>
          <w:i w:val="1"/>
          <w:iCs w:val="1"/>
          <w:color w:val="auto"/>
        </w:rPr>
        <w:t>Cohen</w:t>
      </w:r>
      <w:r>
        <w:rPr>
          <w:rFonts w:ascii="Arial" w:cs="Arial" w:eastAsia="Arial" w:hAnsi="Arial"/>
          <w:sz w:val="15"/>
          <w:szCs w:val="15"/>
          <w:color w:val="auto"/>
        </w:rPr>
        <w:t xml:space="preserve"> was a materially similar claim against a separate national bank. On January 22, 2020, the magistrate judge in Petersen issued a report and</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20"/>
          </w:cols>
          <w:pgMar w:left="320" w:top="407" w:right="13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and plaintiffs in both Cohen and Petersen have filed appeals to the second circuit.</w:t>
      </w:r>
    </w:p>
    <w:p>
      <w:pPr>
        <w:spacing w:after="0" w:line="154"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 xml:space="preserve">As noted above, federal prudential regulators have also taken actions to address the </w:t>
      </w:r>
      <w:r>
        <w:rPr>
          <w:rFonts w:ascii="Arial" w:cs="Arial" w:eastAsia="Arial" w:hAnsi="Arial"/>
          <w:sz w:val="15"/>
          <w:szCs w:val="15"/>
          <w:i w:val="1"/>
          <w:iCs w:val="1"/>
          <w:color w:val="auto"/>
        </w:rPr>
        <w:t>Madden</w:t>
      </w:r>
      <w:r>
        <w:rPr>
          <w:rFonts w:ascii="Arial" w:cs="Arial" w:eastAsia="Arial" w:hAnsi="Arial"/>
          <w:sz w:val="15"/>
          <w:szCs w:val="15"/>
          <w:color w:val="auto"/>
        </w:rPr>
        <w:t xml:space="preserve">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has issued a rule pertaining to the “true lender” issue.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17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20"/>
          </w:cols>
          <w:pgMar w:left="320" w:top="407" w:right="135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20"/>
        <w:spacing w:after="0" w:line="246" w:lineRule="auto"/>
        <w:rPr>
          <w:sz w:val="20"/>
          <w:szCs w:val="20"/>
          <w:color w:val="auto"/>
        </w:rPr>
      </w:pPr>
      <w:r>
        <w:rPr>
          <w:rFonts w:ascii="Arial" w:cs="Arial" w:eastAsia="Arial" w:hAnsi="Arial"/>
          <w:sz w:val="15"/>
          <w:szCs w:val="15"/>
          <w:b w:val="1"/>
          <w:bCs w:val="1"/>
          <w:i w:val="1"/>
          <w:i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7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It remains possible that the rule could be challenged by state regulators or private parties, or rescinded or otherwise limited by a future administration. In addition, the OCC rule does not apply to state-chartered banks and there can be no assurance that the FDIC will issue a similar rule applicable to state-chartered banks.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are also taking steps to confirm that our business model conforms with the requirements of the Colorado safe harbor.</w:t>
      </w:r>
    </w:p>
    <w:p>
      <w:pPr>
        <w:spacing w:after="0" w:line="170"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20"/>
          </w:cols>
          <w:pgMar w:left="320" w:top="407" w:right="135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140"/>
          </w:cols>
          <w:pgMar w:left="320" w:top="407" w:right="143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RISKS RELATED TO OUR REGULATORY ENVIRONMENT</w:t>
      </w:r>
    </w:p>
    <w:p>
      <w:pPr>
        <w:spacing w:after="0" w:line="267" w:lineRule="exact"/>
        <w:rPr>
          <w:sz w:val="20"/>
          <w:szCs w:val="20"/>
          <w:color w:val="auto"/>
        </w:rPr>
      </w:pPr>
    </w:p>
    <w:p>
      <w:pPr>
        <w:ind w:left="1020" w:right="320"/>
        <w:spacing w:after="0" w:line="270" w:lineRule="auto"/>
        <w:rPr>
          <w:sz w:val="20"/>
          <w:szCs w:val="20"/>
          <w:color w:val="auto"/>
        </w:rPr>
      </w:pPr>
      <w:r>
        <w:rPr>
          <w:rFonts w:ascii="Arial" w:cs="Arial" w:eastAsia="Arial" w:hAnsi="Arial"/>
          <w:sz w:val="15"/>
          <w:szCs w:val="15"/>
          <w:b w:val="1"/>
          <w:bCs w:val="1"/>
          <w:i w:val="1"/>
          <w:iCs w:val="1"/>
          <w:color w:val="auto"/>
        </w:rPr>
        <w:t>Litigation, regulatory actions and compliance issues could subject us to significant fines, penalties, judgments, remediation costs and/or requirements resulting in increased expenses.</w:t>
      </w:r>
    </w:p>
    <w:p>
      <w:pPr>
        <w:spacing w:after="0" w:line="58"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do-not-call, credit reporting and collections.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improvement efforts,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73" w:lineRule="exact"/>
        <w:rPr>
          <w:sz w:val="20"/>
          <w:szCs w:val="20"/>
          <w:color w:val="auto"/>
        </w:rPr>
      </w:pPr>
    </w:p>
    <w:p>
      <w:pPr>
        <w:jc w:val="both"/>
        <w:ind w:left="1020" w:right="420" w:firstLine="460"/>
        <w:spacing w:after="0"/>
        <w:rPr>
          <w:sz w:val="20"/>
          <w:szCs w:val="20"/>
          <w:color w:val="auto"/>
        </w:rPr>
      </w:pPr>
      <w:r>
        <w:rPr>
          <w:rFonts w:ascii="Arial" w:cs="Arial" w:eastAsia="Arial" w:hAnsi="Arial"/>
          <w:sz w:val="15"/>
          <w:szCs w:val="15"/>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170"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00"/>
          </w:cols>
          <w:pgMar w:left="320" w:top="407" w:right="137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60"/>
        <w:spacing w:after="0" w:line="270" w:lineRule="auto"/>
        <w:rPr>
          <w:sz w:val="20"/>
          <w:szCs w:val="20"/>
          <w:color w:val="auto"/>
        </w:rPr>
      </w:pPr>
      <w:r>
        <w:rPr>
          <w:rFonts w:ascii="Arial" w:cs="Arial" w:eastAsia="Arial" w:hAnsi="Arial"/>
          <w:sz w:val="15"/>
          <w:szCs w:val="15"/>
          <w:b w:val="1"/>
          <w:bCs w:val="1"/>
          <w:i w:val="1"/>
          <w:iCs w:val="1"/>
          <w:color w:val="auto"/>
        </w:rPr>
        <w:t>We are subject to or facilitate compliance with a variety of federal, state, and local laws, including those related to consumer protection and loan financings.</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Certain state laws generally regulate interest rates and other charges and require certain disclosures. In addition, other federal and state laws may apply to the origination, servicing and collection of loans originated on our platform, the purchase and sale of whole loans or asset-backed securitizations. In particular, certain laws, regulations and rules we or our bank partners are subject to include:</w:t>
      </w:r>
    </w:p>
    <w:p>
      <w:pPr>
        <w:spacing w:after="0" w:line="92" w:lineRule="exact"/>
        <w:rPr>
          <w:sz w:val="20"/>
          <w:szCs w:val="20"/>
          <w:color w:val="auto"/>
        </w:rPr>
      </w:pPr>
    </w:p>
    <w:p>
      <w:pPr>
        <w:ind w:left="1660" w:hanging="183"/>
        <w:spacing w:after="0" w:line="238"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91" w:lineRule="exact"/>
        <w:rPr>
          <w:rFonts w:ascii="Arial" w:cs="Arial" w:eastAsia="Arial" w:hAnsi="Arial"/>
          <w:sz w:val="15"/>
          <w:szCs w:val="15"/>
          <w:color w:val="auto"/>
        </w:rPr>
      </w:pPr>
    </w:p>
    <w:p>
      <w:pPr>
        <w:ind w:left="1660" w:right="120" w:hanging="183"/>
        <w:spacing w:after="0" w:line="238"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93"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93"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93" w:lineRule="exact"/>
        <w:rPr>
          <w:rFonts w:ascii="Arial" w:cs="Arial" w:eastAsia="Arial" w:hAnsi="Arial"/>
          <w:sz w:val="15"/>
          <w:szCs w:val="15"/>
          <w:color w:val="auto"/>
        </w:rPr>
      </w:pPr>
    </w:p>
    <w:p>
      <w:pPr>
        <w:ind w:left="1660" w:right="20" w:hanging="18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91" w:lineRule="exact"/>
        <w:rPr>
          <w:rFonts w:ascii="Arial" w:cs="Arial" w:eastAsia="Arial" w:hAnsi="Arial"/>
          <w:sz w:val="15"/>
          <w:szCs w:val="15"/>
          <w:color w:val="auto"/>
        </w:rPr>
      </w:pPr>
    </w:p>
    <w:p>
      <w:pPr>
        <w:ind w:left="1660" w:right="180" w:hanging="18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91" w:lineRule="exact"/>
        <w:rPr>
          <w:rFonts w:ascii="Arial" w:cs="Arial" w:eastAsia="Arial" w:hAnsi="Arial"/>
          <w:sz w:val="15"/>
          <w:szCs w:val="15"/>
          <w:color w:val="auto"/>
        </w:rPr>
      </w:pPr>
    </w:p>
    <w:p>
      <w:pPr>
        <w:ind w:left="1660" w:right="360" w:hanging="18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Fair Debt Collection Practices Act and similar state debt collection laws, which provide guidelines and limitations on the conduct of third-party debt collectors (and some limitation on creditors collecting their own debts) in connection with the collection of consumer debts;</w:t>
      </w:r>
    </w:p>
    <w:p>
      <w:pPr>
        <w:spacing w:after="0" w:line="91" w:lineRule="exact"/>
        <w:rPr>
          <w:rFonts w:ascii="Arial" w:cs="Arial" w:eastAsia="Arial" w:hAnsi="Arial"/>
          <w:sz w:val="15"/>
          <w:szCs w:val="15"/>
          <w:color w:val="auto"/>
        </w:rPr>
      </w:pPr>
    </w:p>
    <w:p>
      <w:pPr>
        <w:ind w:left="1660" w:right="440" w:hanging="183"/>
        <w:spacing w:after="0" w:line="245"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Gramm-Leach-Bliley Act and Regulation P promulgated thereunder, which includes limitations on financial institutions’ disclosure of nonpublic personal information about a</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160"/>
          </w:cols>
          <w:pgMar w:left="320" w:top="407" w:right="141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80"/>
        <w:spacing w:after="0" w:line="238" w:lineRule="auto"/>
        <w:rPr>
          <w:sz w:val="20"/>
          <w:szCs w:val="20"/>
          <w:color w:val="auto"/>
        </w:rPr>
      </w:pPr>
      <w:r>
        <w:rPr>
          <w:rFonts w:ascii="Arial" w:cs="Arial" w:eastAsia="Arial" w:hAnsi="Arial"/>
          <w:sz w:val="15"/>
          <w:szCs w:val="15"/>
          <w:color w:val="auto"/>
        </w:rPr>
        <w:t>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93" w:lineRule="exact"/>
        <w:rPr>
          <w:sz w:val="20"/>
          <w:szCs w:val="20"/>
          <w:color w:val="auto"/>
        </w:rPr>
      </w:pPr>
    </w:p>
    <w:p>
      <w:pPr>
        <w:ind w:left="1660" w:right="340" w:hanging="183"/>
        <w:spacing w:after="0" w:line="245"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Bankruptcy Code, which limits the extent to which creditors may seek to enforce debts against parties who have filed for bankruptcy protection;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91" w:lineRule="exact"/>
        <w:rPr>
          <w:rFonts w:ascii="Arial" w:cs="Arial" w:eastAsia="Arial" w:hAnsi="Arial"/>
          <w:sz w:val="15"/>
          <w:szCs w:val="15"/>
          <w:color w:val="auto"/>
        </w:rPr>
      </w:pPr>
    </w:p>
    <w:p>
      <w:pPr>
        <w:ind w:left="1660" w:right="280" w:hanging="183"/>
        <w:spacing w:after="0" w:line="238"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91" w:lineRule="exact"/>
        <w:rPr>
          <w:rFonts w:ascii="Arial" w:cs="Arial" w:eastAsia="Arial" w:hAnsi="Arial"/>
          <w:sz w:val="15"/>
          <w:szCs w:val="15"/>
          <w:color w:val="auto"/>
        </w:rPr>
      </w:pPr>
    </w:p>
    <w:p>
      <w:pPr>
        <w:ind w:left="1660" w:right="40" w:hanging="183"/>
        <w:spacing w:after="0" w:line="238"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93" w:lineRule="exact"/>
        <w:rPr>
          <w:rFonts w:ascii="Arial" w:cs="Arial" w:eastAsia="Arial" w:hAnsi="Arial"/>
          <w:sz w:val="15"/>
          <w:szCs w:val="15"/>
          <w:color w:val="auto"/>
        </w:rPr>
      </w:pPr>
    </w:p>
    <w:p>
      <w:pPr>
        <w:ind w:left="1660" w:right="20" w:hanging="183"/>
        <w:spacing w:after="0" w:line="238"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93" w:lineRule="exact"/>
        <w:rPr>
          <w:rFonts w:ascii="Arial" w:cs="Arial" w:eastAsia="Arial" w:hAnsi="Arial"/>
          <w:sz w:val="15"/>
          <w:szCs w:val="15"/>
          <w:color w:val="auto"/>
        </w:rPr>
      </w:pPr>
    </w:p>
    <w:p>
      <w:pPr>
        <w:ind w:left="1660" w:right="16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91" w:lineRule="exact"/>
        <w:rPr>
          <w:rFonts w:ascii="Arial" w:cs="Arial" w:eastAsia="Arial" w:hAnsi="Arial"/>
          <w:sz w:val="15"/>
          <w:szCs w:val="15"/>
          <w:color w:val="auto"/>
        </w:rPr>
      </w:pPr>
    </w:p>
    <w:p>
      <w:pPr>
        <w:ind w:left="1660" w:right="220" w:hanging="183"/>
        <w:spacing w:after="0" w:line="238"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93"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Right to Financial Privacy Act and similar state laws enacted to provide the financial records of financial institution customers a reasonable amount of privacy from government scrutiny;</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Bank Secrecy Act and the USA PATRIOT Act, which relate to compliance with anti-money laundering, borrower due diligence and record-keeping policies and procedures;</w:t>
      </w:r>
    </w:p>
    <w:p>
      <w:pPr>
        <w:spacing w:after="0" w:line="87" w:lineRule="exact"/>
        <w:rPr>
          <w:rFonts w:ascii="Arial" w:cs="Arial" w:eastAsia="Arial" w:hAnsi="Arial"/>
          <w:sz w:val="15"/>
          <w:szCs w:val="15"/>
          <w:color w:val="auto"/>
        </w:rPr>
      </w:pPr>
    </w:p>
    <w:p>
      <w:pPr>
        <w:ind w:left="1660" w:right="44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91"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federal and state securities laws, including, among others, the Securities Act of 1933, as amended, or the Securities Act, the Exchange Act, the Investment Advisers Act of 1940, as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00"/>
          </w:cols>
          <w:pgMar w:left="320" w:top="407" w:right="137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91"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other state-specific and local laws and regulations.</w:t>
      </w:r>
    </w:p>
    <w:p>
      <w:pPr>
        <w:spacing w:after="0" w:line="177"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California has enacted legislation to create a “mini-CFPB,” which could increase its oversight over bank partnership relationships and strengthen state consumer protection authority of state regulators to police debt collections and unfair, deceptive or abusive acts and practices. Additionally, voter referendums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18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47" w:lineRule="exact"/>
        <w:rPr>
          <w:sz w:val="20"/>
          <w:szCs w:val="20"/>
          <w:color w:val="auto"/>
        </w:rPr>
      </w:pPr>
    </w:p>
    <w:p>
      <w:pPr>
        <w:ind w:left="1020" w:right="300"/>
        <w:spacing w:after="0" w:line="270" w:lineRule="auto"/>
        <w:rPr>
          <w:sz w:val="20"/>
          <w:szCs w:val="20"/>
          <w:color w:val="auto"/>
        </w:rPr>
      </w:pPr>
      <w:r>
        <w:rPr>
          <w:rFonts w:ascii="Arial" w:cs="Arial" w:eastAsia="Arial" w:hAnsi="Arial"/>
          <w:sz w:val="15"/>
          <w:szCs w:val="15"/>
          <w:b w:val="1"/>
          <w:bCs w:val="1"/>
          <w:i w:val="1"/>
          <w:iCs w:val="1"/>
          <w:color w:val="auto"/>
        </w:rPr>
        <w:t>Internet-based loan origination processes may give rise to greater risks than paper-based processes and may not always be allowed under state law.</w:t>
      </w:r>
    </w:p>
    <w:p>
      <w:pPr>
        <w:spacing w:after="0" w:line="58"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00"/>
          </w:cols>
          <w:pgMar w:left="320" w:top="407" w:right="137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For auto loans issued under our new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242"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If we are found to be operating without having obtained necessary state or local licenses, our business, financial condition and results of operations could be adversely affected.</w:t>
      </w:r>
    </w:p>
    <w:p>
      <w:pPr>
        <w:spacing w:after="0" w:line="58"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245"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The CFPB is a relatively new agency that has sometimes taken expansive views of its authority to regulate consumer financial services, creating uncertainty as to how the agency’s actions or the actions of any other new agency could impact our business.</w:t>
      </w:r>
    </w:p>
    <w:p>
      <w:pPr>
        <w:spacing w:after="0" w:line="58"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00"/>
          </w:cols>
          <w:pgMar w:left="320" w:top="407" w:right="137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60"/>
        <w:spacing w:after="0" w:line="238" w:lineRule="auto"/>
        <w:rPr>
          <w:sz w:val="20"/>
          <w:szCs w:val="20"/>
          <w:color w:val="auto"/>
        </w:rPr>
      </w:pPr>
      <w:r>
        <w:rPr>
          <w:rFonts w:ascii="Arial" w:cs="Arial" w:eastAsia="Arial" w:hAnsi="Arial"/>
          <w:sz w:val="15"/>
          <w:szCs w:val="15"/>
          <w:color w:val="auto"/>
        </w:rPr>
        <w:t>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Although we are the only online lending platform to have ever received a no-action letter from the CFPB with respect to our ECOA compliance as it pertains to underwriting applicants for unsecured non-revolving credit, there continues to be uncertainty about the future of the CFPB and as to how its strategies and priorities, including in both its examination and enforcement processes, will impact our business and our results of operations going forward.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other credit products offered on Upstart’s platform.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17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73" w:lineRule="exact"/>
        <w:rPr>
          <w:sz w:val="20"/>
          <w:szCs w:val="20"/>
          <w:color w:val="auto"/>
        </w:rPr>
      </w:pPr>
    </w:p>
    <w:p>
      <w:pPr>
        <w:ind w:left="1020" w:right="440" w:firstLine="460"/>
        <w:spacing w:after="0" w:line="238" w:lineRule="auto"/>
        <w:rPr>
          <w:sz w:val="20"/>
          <w:szCs w:val="20"/>
          <w:color w:val="auto"/>
        </w:rPr>
      </w:pPr>
      <w:r>
        <w:rPr>
          <w:rFonts w:ascii="Arial" w:cs="Arial" w:eastAsia="Arial" w:hAnsi="Arial"/>
          <w:sz w:val="15"/>
          <w:szCs w:val="15"/>
          <w:color w:val="auto"/>
        </w:rPr>
        <w:t>Our compliance and operational costs and litigation exposure could increase if and when the CFPB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have been in the past and may in the future be subject to federal and state regulatory inquiries regarding our business.</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We have, from time to time in the normal course of our business, received, and may in the future receive or be subject to, inquiries or investigations by state and federal regulatory agencies and bodies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20"/>
          </w:cols>
          <w:pgMar w:left="320" w:top="407"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such as the CFPB,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 heightened enforcement risk by the CFPB. We have also received an inquiry from the North Carolina Department of Justice regarding our role in facilitating the origination of loans for educational purposes. We are providing information in response to that inquiry, and cannot provide any assurances regarding the outcome of that inquiry.</w:t>
      </w:r>
    </w:p>
    <w:p>
      <w:pPr>
        <w:spacing w:after="0" w:line="18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46" w:lineRule="exact"/>
        <w:rPr>
          <w:sz w:val="20"/>
          <w:szCs w:val="20"/>
          <w:color w:val="auto"/>
        </w:rPr>
      </w:pPr>
    </w:p>
    <w:p>
      <w:pPr>
        <w:ind w:left="1020" w:right="280"/>
        <w:spacing w:after="0" w:line="270" w:lineRule="auto"/>
        <w:rPr>
          <w:sz w:val="20"/>
          <w:szCs w:val="20"/>
          <w:color w:val="auto"/>
        </w:rPr>
      </w:pPr>
      <w:r>
        <w:rPr>
          <w:rFonts w:ascii="Arial" w:cs="Arial" w:eastAsia="Arial" w:hAnsi="Arial"/>
          <w:sz w:val="15"/>
          <w:szCs w:val="15"/>
          <w:b w:val="1"/>
          <w:bCs w:val="1"/>
          <w:i w:val="1"/>
          <w:i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58"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00"/>
          </w:cols>
          <w:pgMar w:left="320" w:top="407" w:right="137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The CCPA has been amended on multiple occasions and the California Attorney General approved final regulations on August 14, 2020. Although the regulations will bring some clarity regarding compliance with the CCPA,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Additionally, other U.S. states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55" w:lineRule="exact"/>
        <w:rPr>
          <w:sz w:val="20"/>
          <w:szCs w:val="20"/>
          <w:color w:val="auto"/>
        </w:rPr>
      </w:pPr>
    </w:p>
    <w:p>
      <w:pPr>
        <w:ind w:left="1020" w:right="700"/>
        <w:spacing w:after="0" w:line="270" w:lineRule="auto"/>
        <w:rPr>
          <w:sz w:val="20"/>
          <w:szCs w:val="20"/>
          <w:color w:val="auto"/>
        </w:rPr>
      </w:pPr>
      <w:r>
        <w:rPr>
          <w:rFonts w:ascii="Arial" w:cs="Arial" w:eastAsia="Arial" w:hAnsi="Arial"/>
          <w:sz w:val="15"/>
          <w:szCs w:val="15"/>
          <w:b w:val="1"/>
          <w:bCs w:val="1"/>
          <w:i w:val="1"/>
          <w:iCs w:val="1"/>
          <w:color w:val="auto"/>
        </w:rPr>
        <w:t>As the regulatory framework for artificial intelligence and machine learning technology evolves, our business, financial condition and results of operations may be adversely affected.</w:t>
      </w:r>
    </w:p>
    <w:p>
      <w:pPr>
        <w:spacing w:after="0" w:line="58"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42"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i w:val="1"/>
          <w:iCs w:val="1"/>
          <w:color w:val="auto"/>
        </w:rPr>
        <w:t>If we are required to register under the Investment Company Act, our ability to conduct business could be materially adversely affected.</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20"/>
          </w:cols>
          <w:pgMar w:left="320" w:top="407" w:right="135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46" w:lineRule="exact"/>
        <w:rPr>
          <w:sz w:val="20"/>
          <w:szCs w:val="20"/>
          <w:color w:val="auto"/>
        </w:rPr>
      </w:pPr>
    </w:p>
    <w:p>
      <w:pPr>
        <w:ind w:left="1020" w:right="220"/>
        <w:spacing w:after="0" w:line="270" w:lineRule="auto"/>
        <w:rPr>
          <w:sz w:val="20"/>
          <w:szCs w:val="20"/>
          <w:color w:val="auto"/>
        </w:rPr>
      </w:pPr>
      <w:r>
        <w:rPr>
          <w:rFonts w:ascii="Arial" w:cs="Arial" w:eastAsia="Arial" w:hAnsi="Arial"/>
          <w:sz w:val="15"/>
          <w:szCs w:val="15"/>
          <w:b w:val="1"/>
          <w:bCs w:val="1"/>
          <w:i w:val="1"/>
          <w:iCs w:val="1"/>
          <w:color w:val="auto"/>
        </w:rPr>
        <w:t>If we are required to register under the Investment Advisers Act, our ability to conduct business could be materially adversely affected.</w:t>
      </w:r>
    </w:p>
    <w:p>
      <w:pPr>
        <w:spacing w:after="0" w:line="58"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20"/>
          </w:cols>
          <w:pgMar w:left="320" w:top="407" w:right="135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60"/>
        <w:spacing w:after="0" w:line="252" w:lineRule="auto"/>
        <w:rPr>
          <w:sz w:val="20"/>
          <w:szCs w:val="20"/>
          <w:color w:val="auto"/>
        </w:rPr>
      </w:pPr>
      <w:r>
        <w:rPr>
          <w:rFonts w:ascii="Arial" w:cs="Arial" w:eastAsia="Arial" w:hAnsi="Arial"/>
          <w:sz w:val="15"/>
          <w:szCs w:val="15"/>
          <w:b w:val="1"/>
          <w:bCs w:val="1"/>
          <w:i w:val="1"/>
          <w:iCs w:val="1"/>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Certain transactions in our loan funding programs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43" w:lineRule="exact"/>
        <w:rPr>
          <w:sz w:val="20"/>
          <w:szCs w:val="20"/>
          <w:color w:val="auto"/>
        </w:rPr>
      </w:pPr>
    </w:p>
    <w:p>
      <w:pPr>
        <w:ind w:left="1020" w:right="440"/>
        <w:spacing w:after="0" w:line="270" w:lineRule="auto"/>
        <w:rPr>
          <w:sz w:val="20"/>
          <w:szCs w:val="20"/>
          <w:color w:val="auto"/>
        </w:rPr>
      </w:pPr>
      <w:r>
        <w:rPr>
          <w:rFonts w:ascii="Arial" w:cs="Arial" w:eastAsia="Arial" w:hAnsi="Arial"/>
          <w:sz w:val="15"/>
          <w:szCs w:val="15"/>
          <w:b w:val="1"/>
          <w:bCs w:val="1"/>
          <w:i w:val="1"/>
          <w:iCs w:val="1"/>
          <w:color w:val="auto"/>
        </w:rPr>
        <w:t>If we are required to register with the SEC or under state securities laws as a broker-dealer, our ability to conduct business could be materially adversely affected.</w:t>
      </w:r>
    </w:p>
    <w:p>
      <w:pPr>
        <w:spacing w:after="0" w:line="58"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173"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20"/>
          </w:cols>
          <w:pgMar w:left="320" w:top="407" w:right="135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20"/>
        <w:spacing w:after="0" w:line="270" w:lineRule="auto"/>
        <w:rPr>
          <w:sz w:val="20"/>
          <w:szCs w:val="20"/>
          <w:color w:val="auto"/>
        </w:rPr>
      </w:pPr>
      <w:r>
        <w:rPr>
          <w:rFonts w:ascii="Arial" w:cs="Arial" w:eastAsia="Arial" w:hAnsi="Arial"/>
          <w:sz w:val="15"/>
          <w:szCs w:val="15"/>
          <w:b w:val="1"/>
          <w:bCs w:val="1"/>
          <w:i w:val="1"/>
          <w:iCs w:val="1"/>
          <w:color w:val="auto"/>
        </w:rPr>
        <w:t>Anti-money laundering, anti-terrorism financing, anti-corruption and economic sanctions laws could have adverse consequences for us.</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244" w:lineRule="exact"/>
        <w:rPr>
          <w:sz w:val="20"/>
          <w:szCs w:val="20"/>
          <w:color w:val="auto"/>
        </w:rPr>
      </w:pPr>
    </w:p>
    <w:p>
      <w:pPr>
        <w:ind w:left="1020" w:right="60"/>
        <w:spacing w:after="0" w:line="252" w:lineRule="auto"/>
        <w:rPr>
          <w:sz w:val="20"/>
          <w:szCs w:val="20"/>
          <w:color w:val="auto"/>
        </w:rPr>
      </w:pPr>
      <w:r>
        <w:rPr>
          <w:rFonts w:ascii="Arial" w:cs="Arial" w:eastAsia="Arial" w:hAnsi="Arial"/>
          <w:sz w:val="15"/>
          <w:szCs w:val="15"/>
          <w:b w:val="1"/>
          <w:bCs w:val="1"/>
          <w:i w:val="1"/>
          <w:i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who contribute loans to the transactions receive cash and/or securities representing equity interests in such SPE, which are the proceeds from the sale of the securities. The equity interests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171"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During periods of financial disruption, such as the financial crisis that began in 2008 and the COVID-19 pandemic that began in early 2020, the securitization market has constrained, and this could continue or occur again in the future. In addition, other matters, such as (i) accounting standards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00"/>
          </w:cols>
          <w:pgMar w:left="320" w:top="407" w:right="137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gain on sale and related servicing fees generated by our whole loan sales, and the servicing fees based on sales of asset-backed securities and interests in our legacy fractional loan program, also represent a significant source of our earnings. We cannot assure you that our loan purchasers will continue to purchase loans or interests in loans on our platform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91" w:lineRule="exact"/>
        <w:rPr>
          <w:sz w:val="20"/>
          <w:szCs w:val="20"/>
          <w:color w:val="auto"/>
        </w:rPr>
      </w:pPr>
    </w:p>
    <w:p>
      <w:pPr>
        <w:ind w:left="1660" w:right="160" w:hanging="183"/>
        <w:spacing w:after="0" w:line="245" w:lineRule="auto"/>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extent to which servicing fees and other expenses may reduce overall net return on purchased pools of loans;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actual or perceived credit performance and loan grade and term mix of the portfolios of loans offered for sale;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loan purchasers’ sector and company investment diversification requirements and strategies;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higher yielding investment opportunities at a risk profile deemed similar to our sold loan portfolios;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borrower prepayment behavior within the underlying pools;</w:t>
      </w:r>
    </w:p>
    <w:p>
      <w:pPr>
        <w:spacing w:after="0" w:line="9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regulatory or investment practices related to maintaining net asset value, mark-to-market and similar metrics surrounding pools of purchased loans; and</w:t>
      </w:r>
    </w:p>
    <w:p>
      <w:pPr>
        <w:spacing w:after="0" w:line="87" w:lineRule="exact"/>
        <w:rPr>
          <w:rFonts w:ascii="Arial" w:cs="Arial" w:eastAsia="Arial" w:hAnsi="Arial"/>
          <w:sz w:val="15"/>
          <w:szCs w:val="15"/>
          <w:color w:val="auto"/>
        </w:rPr>
      </w:pPr>
    </w:p>
    <w:p>
      <w:pPr>
        <w:ind w:left="1660" w:right="60" w:hanging="183"/>
        <w:spacing w:after="0"/>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ability of our loan purchasers to access funding and liquidity channels, including securitization markets, on terms they find acceptable to deliver an appropriate return net of funding costs, as well as general market trends that affect the appetite for loan financing investments.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00"/>
          </w:cols>
          <w:pgMar w:left="320" w:top="407" w:right="137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20"/>
        <w:spacing w:after="0" w:line="270" w:lineRule="auto"/>
        <w:rPr>
          <w:sz w:val="20"/>
          <w:szCs w:val="20"/>
          <w:color w:val="auto"/>
        </w:rPr>
      </w:pPr>
      <w:r>
        <w:rPr>
          <w:rFonts w:ascii="Arial" w:cs="Arial" w:eastAsia="Arial" w:hAnsi="Arial"/>
          <w:sz w:val="15"/>
          <w:szCs w:val="15"/>
          <w:b w:val="1"/>
          <w:bCs w:val="1"/>
          <w:i w:val="1"/>
          <w:iCs w:val="1"/>
          <w:color w:val="auto"/>
        </w:rPr>
        <w:t>Our securitizations are subject to regulation under federal law, and failure to comply with those laws could adversely affect our business.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7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00"/>
          </w:cols>
          <w:pgMar w:left="320" w:top="407" w:right="137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RISKS RELATED TO LOAN FUNDING AND INDEBTEDNESS</w:t>
      </w:r>
    </w:p>
    <w:p>
      <w:pPr>
        <w:spacing w:after="0" w:line="177" w:lineRule="exact"/>
        <w:rPr>
          <w:sz w:val="20"/>
          <w:szCs w:val="20"/>
          <w:color w:val="auto"/>
        </w:rPr>
      </w:pPr>
    </w:p>
    <w:p>
      <w:pPr>
        <w:ind w:left="1020" w:right="40"/>
        <w:spacing w:after="0" w:line="270" w:lineRule="auto"/>
        <w:rPr>
          <w:sz w:val="20"/>
          <w:szCs w:val="20"/>
          <w:color w:val="auto"/>
        </w:rPr>
      </w:pPr>
      <w:r>
        <w:rPr>
          <w:rFonts w:ascii="Arial" w:cs="Arial" w:eastAsia="Arial" w:hAnsi="Arial"/>
          <w:sz w:val="15"/>
          <w:szCs w:val="15"/>
          <w:b w:val="1"/>
          <w:bCs w:val="1"/>
          <w:i w:val="1"/>
          <w:iCs w:val="1"/>
          <w:color w:val="auto"/>
        </w:rPr>
        <w:t>If we are unable to maintain a diverse and robust loan funding program, our growth prospects, business, financial condition and results of operations could be adversely affected.</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business depends on sourcing and maintaining a diverse and robust loan funding program to fund Upstart-powered loans that our bank partners are unable or unwilling to retain on their balance sheets. In the third quarter of 2020, approximately 22% of Upstart-powered loans were retained by the originating bank while approximately 76% of Upstart-powered loans were purchased by investors through our loan funding program, which includes whole loan sales to institutional investors, asset-backed securitization transactions, and utilization of committed and uncommitted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Further, events of default or breaches of financial, performance or other covenants, or worse than expected performance of certain pools of loans underpinning our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credit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42"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i w:val="1"/>
          <w:i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our loan funding programs, including asset-backed securitizations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September 30, 2020, the number of repurchased Upstart-powered loans as a result of inaccurate representations and warranties represents less than 0.30%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245"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58"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Our unsecured senior corporate debt currently has no rating, and we have never issued unsecured debt securities in the capital markets. Asset-backed securities sponsored or co-sponsored by us are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20"/>
          </w:cols>
          <w:pgMar w:left="320" w:top="407" w:right="135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currently rated by a limited number of debt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72"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244" w:lineRule="exact"/>
        <w:rPr>
          <w:sz w:val="20"/>
          <w:szCs w:val="20"/>
          <w:color w:val="auto"/>
        </w:rPr>
      </w:pPr>
    </w:p>
    <w:p>
      <w:pPr>
        <w:ind w:left="1020" w:right="240"/>
        <w:spacing w:after="0" w:line="270" w:lineRule="auto"/>
        <w:rPr>
          <w:sz w:val="20"/>
          <w:szCs w:val="20"/>
          <w:color w:val="auto"/>
        </w:rPr>
      </w:pPr>
      <w:r>
        <w:rPr>
          <w:rFonts w:ascii="Arial" w:cs="Arial" w:eastAsia="Arial" w:hAnsi="Arial"/>
          <w:sz w:val="15"/>
          <w:szCs w:val="15"/>
          <w:b w:val="1"/>
          <w:bCs w:val="1"/>
          <w:i w:val="1"/>
          <w:iCs w:val="1"/>
          <w:color w:val="auto"/>
        </w:rPr>
        <w:t>We rely on borrowings under our corporate and warehouse credit facilities to fund certain aspects of our operations, and any inability to meet our obligations as they come due or to comply with various covenants could harm our business.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corporate credit facilities consist of term loans and revolving loan facilities that we have drawn on to finance our operations and for other corporate purposes. As of September 30, 2020, we had $21.0 million outstanding principal under the term loans and revolving credit facilities. These borrowings are secured by all the assets of the company that have not otherwise been sold or pledged to secure bank debt or securities associated with structured finance facilities, such as assets belonging to our consolidated warehouse trust special purpose entities and securitization trusts. These credit agreements contain operating and financial covenants, including customary limitations on the incurrence of certain indebtedness and liens, restrictions on certain transactions and limitations on dividends and stock repurchases. We have in the past, and may in the future, fail to comply with certain operating or financial covenants in our credit agreements, requiring a waiver from our lenders. Our ability to comply with or renegotiate these covenants may be affected by events beyond our control, and breaches of these covenants could result in a default under such agreements and any future financial agreements into which we may enter. If we were to default on our credit obligations and such defaults were not waived, our lenders may require repayment of any outstanding debt and terminate their agreements with us.</w:t>
      </w:r>
    </w:p>
    <w:p>
      <w:pPr>
        <w:spacing w:after="0" w:line="174"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addition, 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 As of September 30, 2020, outstanding borrowings under these warehouse credit facilities were $70.2 million, and $109.2 million of aggregate fair value of loans purchased were pledged as collateral.</w:t>
      </w:r>
      <w:r>
        <w:rPr>
          <w:rFonts w:ascii="Arial" w:cs="Arial" w:eastAsia="Arial" w:hAnsi="Arial"/>
          <w:sz w:val="12"/>
          <w:szCs w:val="12"/>
          <w:color w:val="auto"/>
        </w:rPr>
        <w:t>59</w:t>
      </w:r>
      <w:r>
        <w:rPr>
          <w:rFonts w:ascii="Arial" w:cs="Arial" w:eastAsia="Arial" w:hAnsi="Arial"/>
          <w:sz w:val="15"/>
          <w:szCs w:val="15"/>
          <w:color w:val="auto"/>
        </w:rPr>
        <w:t xml:space="preserve"> On November 2, 2020, we repaid all outstanding borrowings under one of our warehouse credit facilities in the amount of $4.0 million and terminated the corresponding warehouse credit facility.</w:t>
      </w:r>
    </w:p>
    <w:p>
      <w:pPr>
        <w:spacing w:after="0" w:line="170"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Under our remaining warehouse credit facility, we may borrow up to $100.0 million until May 2021, and any outstanding principal, together with any accrued and unpaid interest, are due and payable by the warehouse trust special purpose entity in May 2022. As of September 30, 2020, the amount borrowed under this credit facility was $52.7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60" w:hanging="453"/>
        <w:spacing w:after="0" w:line="182" w:lineRule="auto"/>
        <w:tabs>
          <w:tab w:leader="none" w:pos="1480" w:val="left"/>
        </w:tabs>
        <w:numPr>
          <w:ilvl w:val="0"/>
          <w:numId w:val="39"/>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Operations—Liquidity and Capital Resources—Term loans and revolving loan facilities” and Note 7 to our consolidated financial statements for more information about our term loans and revolving loan facilities.</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00"/>
          </w:cols>
          <w:pgMar w:left="320" w:top="407" w:right="137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warehouse credit facility imposes operating and financial covenants on the warehouse trust special purpose entity, and under certain events of default, the lender could require that all outstanding borrowings become immediately due and payable or terminate their agreement with us. We have in the past, and may in the future, fail to comply with certain operating or financial covenants in our warehouse credit facility, requiring a waiver from our lenders. If we are unable to repay our obligations at maturity or in the event of default, the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174"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In particular, the interest rate of borrowings under our warehouse credit facilities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247" w:lineRule="exact"/>
        <w:rPr>
          <w:sz w:val="20"/>
          <w:szCs w:val="20"/>
          <w:color w:val="auto"/>
        </w:rPr>
      </w:pPr>
    </w:p>
    <w:p>
      <w:pPr>
        <w:ind w:left="1020" w:right="300"/>
        <w:spacing w:after="0" w:line="270" w:lineRule="auto"/>
        <w:rPr>
          <w:sz w:val="20"/>
          <w:szCs w:val="20"/>
          <w:color w:val="auto"/>
        </w:rPr>
      </w:pPr>
      <w:r>
        <w:rPr>
          <w:rFonts w:ascii="Arial" w:cs="Arial" w:eastAsia="Arial" w:hAnsi="Arial"/>
          <w:sz w:val="15"/>
          <w:szCs w:val="15"/>
          <w:b w:val="1"/>
          <w:bCs w:val="1"/>
          <w:i w:val="1"/>
          <w:iCs w:val="1"/>
          <w:color w:val="auto"/>
        </w:rPr>
        <w:t>We may need to raise additional funds in the future, including through equity, debt or convertible debt financings, to support business growth and those funds may not be available on acceptable terms, or at all.</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intend to continue to make investments to support our business growth and may require additional funds to respond to business challenges, including the need to develop new loan products, enhance our AI models, improve our operating infrastructure, or acquire complementary businesses and technologies. Accordingly, we may need to engage in equity, debt or convertible debt financings to secure additional funds. If we raise additional funds by issuing equity securities or securities convertible into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w:t>
      </w:r>
    </w:p>
    <w:p>
      <w:pPr>
        <w:spacing w:after="0" w:line="172"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7" w:right="135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RISKS RELATED TO TAXES</w:t>
      </w:r>
    </w:p>
    <w:p>
      <w:pPr>
        <w:spacing w:after="0" w:line="177" w:lineRule="exact"/>
        <w:rPr>
          <w:sz w:val="20"/>
          <w:szCs w:val="20"/>
          <w:color w:val="auto"/>
        </w:rPr>
      </w:pPr>
    </w:p>
    <w:p>
      <w:pPr>
        <w:ind w:left="1020" w:right="100"/>
        <w:spacing w:after="0" w:line="252" w:lineRule="auto"/>
        <w:rPr>
          <w:sz w:val="20"/>
          <w:szCs w:val="20"/>
          <w:color w:val="auto"/>
        </w:rPr>
      </w:pPr>
      <w:r>
        <w:rPr>
          <w:rFonts w:ascii="Arial" w:cs="Arial" w:eastAsia="Arial" w:hAnsi="Arial"/>
          <w:sz w:val="15"/>
          <w:szCs w:val="15"/>
          <w:b w:val="1"/>
          <w:bCs w:val="1"/>
          <w:i w:val="1"/>
          <w:i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162"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addition, governments are increasingly looking for ways to increase revenue, which has resulted in discussions about tax reform and other legislative action to increase tax revenue, including through indirect taxes. For example, on November 6, 2018, voters in San Francisco approved “Proposition C,” which authorizes San Francisco to impose additional taxes on businesses in San Francisco that generate a certain level of gross receipts. Such taxes would adversely affect our financial condition and results of operations.</w:t>
      </w:r>
    </w:p>
    <w:p>
      <w:pPr>
        <w:spacing w:after="0" w:line="1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 xml:space="preserve">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For example, after the U.S. Supreme Court decision in </w:t>
      </w:r>
      <w:r>
        <w:rPr>
          <w:rFonts w:ascii="Arial" w:cs="Arial" w:eastAsia="Arial" w:hAnsi="Arial"/>
          <w:sz w:val="15"/>
          <w:szCs w:val="15"/>
          <w:i w:val="1"/>
          <w:iCs w:val="1"/>
          <w:color w:val="auto"/>
        </w:rPr>
        <w:t>South Dakota v</w:t>
      </w:r>
      <w:r>
        <w:rPr>
          <w:rFonts w:ascii="Arial" w:cs="Arial" w:eastAsia="Arial" w:hAnsi="Arial"/>
          <w:sz w:val="15"/>
          <w:szCs w:val="15"/>
          <w:color w:val="auto"/>
        </w:rPr>
        <w:t xml:space="preserve">. </w:t>
      </w:r>
      <w:r>
        <w:rPr>
          <w:rFonts w:ascii="Arial" w:cs="Arial" w:eastAsia="Arial" w:hAnsi="Arial"/>
          <w:sz w:val="15"/>
          <w:szCs w:val="15"/>
          <w:i w:val="1"/>
          <w:iCs w:val="1"/>
          <w:color w:val="auto"/>
        </w:rPr>
        <w:t>Wayfair Inc</w:t>
      </w:r>
      <w:r>
        <w:rPr>
          <w:rFonts w:ascii="Arial" w:cs="Arial" w:eastAsia="Arial" w:hAnsi="Arial"/>
          <w:sz w:val="15"/>
          <w:szCs w:val="15"/>
          <w:color w:val="auto"/>
        </w:rPr>
        <w:t>., certain states have adopted, or started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174" w:lineRule="exact"/>
        <w:rPr>
          <w:sz w:val="20"/>
          <w:szCs w:val="20"/>
          <w:color w:val="auto"/>
        </w:rPr>
      </w:pPr>
    </w:p>
    <w:p>
      <w:pPr>
        <w:jc w:val="both"/>
        <w:ind w:left="1020" w:right="340" w:firstLine="460"/>
        <w:spacing w:after="0"/>
        <w:rPr>
          <w:sz w:val="20"/>
          <w:szCs w:val="20"/>
          <w:color w:val="auto"/>
        </w:rPr>
      </w:pPr>
      <w:r>
        <w:rPr>
          <w:rFonts w:ascii="Arial" w:cs="Arial" w:eastAsia="Arial" w:hAnsi="Arial"/>
          <w:sz w:val="15"/>
          <w:szCs w:val="15"/>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42" w:lineRule="exact"/>
        <w:rPr>
          <w:sz w:val="20"/>
          <w:szCs w:val="20"/>
          <w:color w:val="auto"/>
        </w:rPr>
      </w:pPr>
    </w:p>
    <w:p>
      <w:pPr>
        <w:ind w:left="1020" w:right="80"/>
        <w:spacing w:after="0" w:line="270" w:lineRule="auto"/>
        <w:rPr>
          <w:sz w:val="20"/>
          <w:szCs w:val="20"/>
          <w:color w:val="auto"/>
        </w:rPr>
      </w:pPr>
      <w:r>
        <w:rPr>
          <w:rFonts w:ascii="Arial" w:cs="Arial" w:eastAsia="Arial" w:hAnsi="Arial"/>
          <w:sz w:val="15"/>
          <w:szCs w:val="15"/>
          <w:b w:val="1"/>
          <w:bCs w:val="1"/>
          <w:i w:val="1"/>
          <w:iCs w:val="1"/>
          <w:color w:val="auto"/>
        </w:rPr>
        <w:t>Our ability to use our deferred tax assets to offset future taxable income may be subject to certain limitations that could subject our business to higher tax liability.</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may be limited in the portion of net operating loss carryforwards, or NOLs, that we can use in the future to offset taxable income for U.S. federal and state income tax purposes. The Tax Cuts and Jobs Act, or the Tax Act, made broad and complex changes to U.S. tax law, including changes to the uses and limitations of NOLs. For example, while the Tax Act allows for federal NOLs incurred in tax years beginning after December 31, 2017 to be carried forward indefinitely, the Tax Act also imposes an 80% limitation on the use of NOLs that are generated in tax years beginning after December 31, 2017. However, NOLs generated prior to December 31, 2017 will still have a 20-year carryforward period, but are not subject to the 80% limitation. As of December 31, 2019, we had federal and state NOLs of</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20"/>
          </w:cols>
          <w:pgMar w:left="320" w:top="407" w:right="135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approximately $61.3 million and $53.0 million, respectively, to offset future taxable income. Certain of these federal and state net operating loss carry-forwards will begin expiring in 2034.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performed an ownership analysis and identified two previous ownership changes, as defined under Section 382 and 383 of the Code in 2013 and 2015. However, neither resulted in a material limitation that will reduce the total amount of our NOLs and credits that can be utilized. Future changes in our stock ownership, including this or future offerings, as well as other changes that may be outside of our control, could result in additional ownership changes under Section 382 of the Code. Our NOLs may also be impaired under similar provisions of state law. We assess the available positive and negative evidence to estimate if sufficient future taxable income will be generated to utilize the existing deferred tax assets. On the basis of this evaluation, a full valuation allowance has historically been recorded to recognize only deferred tax assets that are more likely than not to be realized. Certain of our deferred tax assets may expire unutilized or underutilized, which could prevent us from offsetting future taxable income.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Changes in U.S. tax laws could have a material adverse effect on our business, financial condition and results of operations.</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Tax Act contains significant changes to U.S. tax law, including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The impact of the Tax Act will likely be subject to ongoing technical guidance and accounting interpretation, which we will continue to monitor and assess. As we expand the scale of our business activities, any changes in the U.S. taxation of such activities may increase our effective tax rate and harm our business, financial condition and results of operations.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00"/>
          </w:cols>
          <w:pgMar w:left="320" w:top="407" w:right="137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RISKS RELATED TO THIS OFFERING AND OWNERSHIP OF OUR COMMON STOCK</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 active trading market for our common stock may never develop or be sustained.</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been approved to list our common stock on the Nasdaq Global Select Market under the symbol “UPST”. However, we cannot assure you that an active trading market for our common stock will develop on that exchange or elsewhere or, if developed, that any market will be sustained. Accordingly, we cannot assure you of the liquidity of any trading market, your ability to sell your shares of our common stock when desired, or the prices that you may obtain for your shares.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trading price of our common stock may be volatile, and you could lose all or part of your investment.</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Prior to this offering, there has been no public market for shares of our common stock. The initial public offering price of our common stock was determined through negotiation among us, the selling stockholders and the underwriters. This price does not necessarily reflect the price at which investors in the market will be willing to buy and sell shares of our common stock following this offering. In addition, the trading price of our common stock following this offering is likely to be volatile and could be subject to fluctuations in response to various factors, some of which are beyond our control. These fluctuations could cause you to lose all or part of your investment in our common stock since you might be unable to sell your shares at or above the price you paid in this offering. Factors that could cause fluctuations in the trading price of our common stock include:</w:t>
      </w:r>
    </w:p>
    <w:p>
      <w:pPr>
        <w:spacing w:after="0" w:line="92" w:lineRule="exact"/>
        <w:rPr>
          <w:sz w:val="20"/>
          <w:szCs w:val="20"/>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volatility in the trading prices and trading volumes of financial technology stocks;</w:t>
      </w:r>
    </w:p>
    <w:p>
      <w:pPr>
        <w:spacing w:after="0" w:line="97" w:lineRule="exact"/>
        <w:rPr>
          <w:rFonts w:ascii="Arial" w:cs="Arial" w:eastAsia="Arial" w:hAnsi="Arial"/>
          <w:sz w:val="15"/>
          <w:szCs w:val="15"/>
          <w:color w:val="auto"/>
        </w:rPr>
      </w:pPr>
    </w:p>
    <w:p>
      <w:pPr>
        <w:ind w:left="1660" w:right="6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financial technology companies and technology companies that offer services to financial institutions;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sales of shares of our common stock by us or our stockholders;</w:t>
      </w:r>
    </w:p>
    <w:p>
      <w:pPr>
        <w:spacing w:after="0" w:line="97"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of securities analysts to maintain coverage of us, changes in financial estimates by securities analysts who follow our company, or our failure to meet these estimates or the expectations of investors;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those projections, or our failure to meet those projections;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features, or services;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actual or anticipated changes in our results of operations or fluctuations in our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prevailing interest rates;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quarterly fluctuations in demand for the loans we facilitate through our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fluctuations in the trading volume of our shares or the size of our public float;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actual or anticipated developments in our business, our competitors’ businesses or the competitive landscape generally;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litigation involving us, our industry, or both, or investigations by regulators into our operations or those of our competitors;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00"/>
          </w:cols>
          <w:pgMar w:left="320" w:top="407" w:right="137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compliance with government policies or regulations;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issuance of any cease-and-desist orders from regulatory agencies that we are subject to;</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or other proprietary rights;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actual or perceived data security breaches or other data security incidents;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announced or completed acquisitions of businesses, products, services, or technologies by us or our competitors;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in accounting standards, policies, guidelines, interpretations, or principles;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recruitment or departure of key personnel;</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incidents of terrorism, political unrest, natural disasters, pandemics or responses to these events;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general economic conditions and slow or negative growth of our markets.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45" w:lineRule="exact"/>
        <w:rPr>
          <w:sz w:val="20"/>
          <w:szCs w:val="20"/>
          <w:color w:val="auto"/>
        </w:rPr>
      </w:pPr>
    </w:p>
    <w:p>
      <w:pPr>
        <w:ind w:left="1020" w:right="500"/>
        <w:spacing w:after="0" w:line="270" w:lineRule="auto"/>
        <w:rPr>
          <w:sz w:val="20"/>
          <w:szCs w:val="20"/>
          <w:color w:val="auto"/>
        </w:rPr>
      </w:pPr>
      <w:r>
        <w:rPr>
          <w:rFonts w:ascii="Arial" w:cs="Arial" w:eastAsia="Arial" w:hAnsi="Arial"/>
          <w:sz w:val="15"/>
          <w:szCs w:val="15"/>
          <w:b w:val="1"/>
          <w:bCs w:val="1"/>
          <w:i w:val="1"/>
          <w:iCs w:val="1"/>
          <w:color w:val="auto"/>
        </w:rPr>
        <w:t>Certain insiders have significant voting power, which could limit your ability to influence the outcome of key transactions, including a change of control.</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will be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Participation in this offering by entities affiliated with Third Point Ventures LLC could reduce the public float for our shares.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If these entities purchase all or a portion of the shares in which they have indicated an interest in this offering, such purchase could reduce the available public float for our shares if such entities hold these shares long-term.</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20"/>
          </w:cols>
          <w:pgMar w:left="320" w:top="407" w:right="135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80"/>
        <w:spacing w:after="0" w:line="252" w:lineRule="auto"/>
        <w:rPr>
          <w:sz w:val="20"/>
          <w:szCs w:val="20"/>
          <w:color w:val="auto"/>
        </w:rPr>
      </w:pPr>
      <w:r>
        <w:rPr>
          <w:rFonts w:ascii="Arial" w:cs="Arial" w:eastAsia="Arial" w:hAnsi="Arial"/>
          <w:sz w:val="15"/>
          <w:szCs w:val="15"/>
          <w:b w:val="1"/>
          <w:bCs w:val="1"/>
          <w:i w:val="1"/>
          <w:iCs w:val="1"/>
          <w:color w:val="auto"/>
        </w:rPr>
        <w:t>A substantial portion of the outstanding shares of our common stock after this offering will be restricted from immediate resale but may be sold on a stock exchange in the near future. The large number of shares of our capital stock eligible for public sale or subject to rights requiring us to register them for public sale could depress the market price of our common stock.</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63,460,881 shares of our common stock (after giving effect to the Capital Stock Conversion, the exercise of a preferred stock warrant in November 2020 and the exercise of options to purchase common stock by certain selling stockholders in connection with the sale by such selling stockholders in this offering) outstanding as of September 30, 2020, we will have 72,460,881 shares of our common stock outstanding immediately after this offering.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of our stock for 180 days following the date of this prospectus. We refer to such period as the lock-up period. In addition, the underwriter representatives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73"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As a result of these agreements and the provisions of our investors’ rights agreement described further in the section titled “Description of Capital Stock—Registration Rights,” and subject to the provisions of Rule 144 or Rule 701 under the Securities Act, shares of our common stock will be available for sale in the public market as follows:</w:t>
      </w:r>
    </w:p>
    <w:p>
      <w:pPr>
        <w:spacing w:after="0" w:line="91" w:lineRule="exact"/>
        <w:rPr>
          <w:sz w:val="20"/>
          <w:szCs w:val="20"/>
          <w:color w:val="auto"/>
        </w:rPr>
      </w:pPr>
    </w:p>
    <w:p>
      <w:pPr>
        <w:ind w:left="1660" w:right="34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beginning on the date of this prospectus, all 12,015,690 shares of our common stock sold in this offering will be immediately available for sale in the public market; and</w:t>
      </w:r>
    </w:p>
    <w:p>
      <w:pPr>
        <w:spacing w:after="0" w:line="87" w:lineRule="exact"/>
        <w:rPr>
          <w:rFonts w:ascii="Arial" w:cs="Arial" w:eastAsia="Arial" w:hAnsi="Arial"/>
          <w:sz w:val="15"/>
          <w:szCs w:val="15"/>
          <w:color w:val="auto"/>
        </w:rPr>
      </w:pPr>
    </w:p>
    <w:p>
      <w:pPr>
        <w:ind w:left="1660" w:right="2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beginning 181 days after the date of this prospectus (subject to the terms of the lock-up agreements and market standoff agreements described above), all remaining shares of our common stock will be eligible for sale in the public market from time to time thereafter, subject in some cases to the volume and other restrictions of Rule 144, as described below.</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Upon completion of this offering, stockholders owning an aggregate of up to 47,949,785 shares of our common stock will be entitled, 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the registration statement of which this prospectus forms a part,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Sales of our shares as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00"/>
          </w:cols>
          <w:pgMar w:left="320" w:top="407" w:right="137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common stock does not provide any rights directly related to the loans we hold.</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42" w:lineRule="exact"/>
        <w:rPr>
          <w:sz w:val="20"/>
          <w:szCs w:val="20"/>
          <w:color w:val="auto"/>
        </w:rPr>
      </w:pPr>
    </w:p>
    <w:p>
      <w:pPr>
        <w:ind w:left="1020" w:right="860"/>
        <w:spacing w:after="0" w:line="270" w:lineRule="auto"/>
        <w:rPr>
          <w:sz w:val="20"/>
          <w:szCs w:val="20"/>
          <w:color w:val="auto"/>
        </w:rPr>
      </w:pPr>
      <w:r>
        <w:rPr>
          <w:rFonts w:ascii="Arial" w:cs="Arial" w:eastAsia="Arial" w:hAnsi="Arial"/>
          <w:sz w:val="15"/>
          <w:szCs w:val="15"/>
          <w:b w:val="1"/>
          <w:bCs w:val="1"/>
          <w:i w:val="1"/>
          <w:iCs w:val="1"/>
          <w:color w:val="auto"/>
        </w:rPr>
        <w:t>You may be diluted by the future issuance of additional common stock in connection with our equity incentive plans, acquisitions or otherwise.</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After this offering and the use of proceeds to us therefrom, we will have an aggregate of 627,539,119 shares of common stock authorized but unissued, and our amended and restated certificate of incorporation will authorize us to issue these shares of common stock and rights relating to common stock for the consideration and on the terms and conditions established by our board of directors in its sole discretion, whether in connection with acquisitions or otherwise. We have reserved 5,520,000 shares for issuance under our 2020 Equity Incentive Plan subject to adjustment in certain events. See “Executive Compensation—2020 Equity Incentive Plan.” Any common stock that we issue, including under our 2020 Equity Incentive Plan or other equity incentive plans that we may adopt in the future, could dilute the percentage ownership held by the investors who purchase common stock in this offering.</w:t>
      </w:r>
    </w:p>
    <w:p>
      <w:pPr>
        <w:spacing w:after="0" w:line="243" w:lineRule="exact"/>
        <w:rPr>
          <w:sz w:val="20"/>
          <w:szCs w:val="20"/>
          <w:color w:val="auto"/>
        </w:rPr>
      </w:pPr>
    </w:p>
    <w:p>
      <w:pPr>
        <w:ind w:left="1020" w:right="240"/>
        <w:spacing w:after="0" w:line="270" w:lineRule="auto"/>
        <w:rPr>
          <w:sz w:val="20"/>
          <w:szCs w:val="20"/>
          <w:color w:val="auto"/>
        </w:rPr>
      </w:pPr>
      <w:r>
        <w:rPr>
          <w:rFonts w:ascii="Arial" w:cs="Arial" w:eastAsia="Arial" w:hAnsi="Arial"/>
          <w:sz w:val="15"/>
          <w:szCs w:val="15"/>
          <w:b w:val="1"/>
          <w:bCs w:val="1"/>
          <w:i w:val="1"/>
          <w:iCs w:val="1"/>
          <w:color w:val="auto"/>
        </w:rPr>
        <w:t>If you purchase our common stock in this offering, you will incur immediate and substantial dilution in the book value of your investment.</w:t>
      </w:r>
    </w:p>
    <w:p>
      <w:pPr>
        <w:spacing w:after="0" w:line="58"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The initial public offering price of our common stock is substantially higher than the pro forma as adjusted net tangible book value per share of our outstanding common stock of $3.73 per share as of September 30, 2020. Investors purchasing shares of our common stock in this offering will pay a price per share that substantially exceeds the book value of our tangible assets after subtracting our liabilities. As a result, investors purchasing common stock in this offering will incur immediate dilution of $17.27 per share, based on an assumed initial public offering price of $21.00 per share.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This dilution is due in large part to the substantially lower price paid by our investors who purchased shares prior to this offering as compared to the price offered to the public in this offering, and any previous exercise of stock options granted to our service providers. In addition, as of September 30, 2020, options to purchase 18,889,653 shares of our common stock were outstanding with a weighted-average exercise price of $3.17 per share. The exercise of any of these options would result in additional dilution. As a result of the dilution to investors purchasing shares in this offering, investors may receive less than the purchase price paid in this offering, if anything, in the event of our liquidation. See the section titled “Dilution” for more information.</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We have broad discretion over the use of the net proceeds from this offering and we may not use them effectively.</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our management fails to apply these proceeds effectively, such failure could adversely affect our business, results of operations, financial condition, and the price of our common stock. Pending their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20"/>
          </w:cols>
          <w:pgMar w:left="320" w:top="407" w:right="135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20"/>
        <w:spacing w:after="0" w:line="245" w:lineRule="auto"/>
        <w:rPr>
          <w:sz w:val="20"/>
          <w:szCs w:val="20"/>
          <w:color w:val="auto"/>
        </w:rPr>
      </w:pPr>
      <w:r>
        <w:rPr>
          <w:rFonts w:ascii="Arial" w:cs="Arial" w:eastAsia="Arial" w:hAnsi="Arial"/>
          <w:sz w:val="15"/>
          <w:szCs w:val="15"/>
          <w:color w:val="auto"/>
        </w:rPr>
        <w:t>use, we may invest our proceeds in a manner that does not produce income or that loses value. Our investments may not yield a favorable return to our investors and may negatively impact the price of our common stock.</w:t>
      </w:r>
    </w:p>
    <w:p>
      <w:pPr>
        <w:spacing w:after="0" w:line="238" w:lineRule="exact"/>
        <w:rPr>
          <w:sz w:val="20"/>
          <w:szCs w:val="20"/>
          <w:color w:val="auto"/>
        </w:rPr>
      </w:pPr>
    </w:p>
    <w:p>
      <w:pPr>
        <w:ind w:left="1020" w:right="140"/>
        <w:spacing w:after="0" w:line="270"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58"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as they will be in effect following this offering, contain provisions that may make the acquisition of our company more difficult, including the following:</w:t>
      </w:r>
    </w:p>
    <w:p>
      <w:pPr>
        <w:spacing w:after="0" w:line="91" w:lineRule="exact"/>
        <w:rPr>
          <w:sz w:val="20"/>
          <w:szCs w:val="20"/>
          <w:color w:val="auto"/>
        </w:rPr>
      </w:pPr>
    </w:p>
    <w:p>
      <w:pPr>
        <w:ind w:left="1660" w:right="10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Board of Directors is classified into three classes of directors with staggered three-year terms and directors are only able to be removed from office for cause;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vacancies on our Board of Directors will be able to be filled only by our Board of Directors and not by stockholders;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only the Chair of our Board of Directors, our Chief Executive Officer, or a majority of our entire Board of Directors are authorized to call a special meeting of stockholders;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certain litigation against us can only be brought in Delaware;</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 and</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66"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These anti -takeover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42" w:lineRule="exact"/>
        <w:rPr>
          <w:sz w:val="20"/>
          <w:szCs w:val="20"/>
          <w:color w:val="auto"/>
        </w:rPr>
      </w:pPr>
    </w:p>
    <w:p>
      <w:pPr>
        <w:ind w:left="1020" w:right="140"/>
        <w:spacing w:after="0" w:line="252" w:lineRule="auto"/>
        <w:rPr>
          <w:sz w:val="20"/>
          <w:szCs w:val="20"/>
          <w:color w:val="auto"/>
        </w:rPr>
      </w:pPr>
      <w:r>
        <w:rPr>
          <w:rFonts w:ascii="Arial" w:cs="Arial" w:eastAsia="Arial" w:hAnsi="Arial"/>
          <w:sz w:val="15"/>
          <w:szCs w:val="15"/>
          <w:b w:val="1"/>
          <w:bCs w:val="1"/>
          <w:i w:val="1"/>
          <w:iCs w:val="1"/>
          <w:color w:val="auto"/>
        </w:rPr>
        <w:t>Our amended and restated bylaws will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Our amended and restated bylaws, which will become effective immediately prior to the completion of this offering, will provide that, unless we consent in writing to the selection of an alternative forum, to the fullest extent permitted by law, the sole and exclusive forum for</w:t>
      </w:r>
    </w:p>
    <w:p>
      <w:pPr>
        <w:ind w:left="1020" w:right="100" w:firstLine="7"/>
        <w:spacing w:after="0" w:line="238" w:lineRule="auto"/>
        <w:tabs>
          <w:tab w:leader="none" w:pos="1195"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180"/>
          </w:cols>
          <w:pgMar w:left="320" w:top="407" w:right="139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20"/>
        <w:spacing w:after="0" w:line="245" w:lineRule="auto"/>
        <w:rPr>
          <w:sz w:val="20"/>
          <w:szCs w:val="20"/>
          <w:color w:val="auto"/>
        </w:rPr>
      </w:pPr>
      <w:r>
        <w:rPr>
          <w:rFonts w:ascii="Arial" w:cs="Arial" w:eastAsia="Arial" w:hAnsi="Arial"/>
          <w:sz w:val="15"/>
          <w:szCs w:val="15"/>
          <w:color w:val="auto"/>
        </w:rPr>
        <w:t>district court for the District of Delaware), in all cases subject to the court having jurisdiction over indispensable parties named as defendants.</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will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43" w:lineRule="exact"/>
        <w:rPr>
          <w:sz w:val="20"/>
          <w:szCs w:val="20"/>
          <w:color w:val="auto"/>
        </w:rPr>
      </w:pPr>
    </w:p>
    <w:p>
      <w:pPr>
        <w:ind w:left="1020" w:right="400"/>
        <w:spacing w:after="0" w:line="270" w:lineRule="auto"/>
        <w:rPr>
          <w:sz w:val="20"/>
          <w:szCs w:val="20"/>
          <w:color w:val="auto"/>
        </w:rPr>
      </w:pPr>
      <w:r>
        <w:rPr>
          <w:rFonts w:ascii="Arial" w:cs="Arial" w:eastAsia="Arial" w:hAnsi="Arial"/>
          <w:sz w:val="15"/>
          <w:szCs w:val="15"/>
          <w:b w:val="1"/>
          <w:bCs w:val="1"/>
          <w:i w:val="1"/>
          <w:iCs w:val="1"/>
          <w:color w:val="auto"/>
        </w:rPr>
        <w:t>Our common stock market price and trading volume could decline if equity or industry analysts do not publish research or publish inaccurate or unfavorable research about our business.</w:t>
      </w:r>
    </w:p>
    <w:p>
      <w:pPr>
        <w:spacing w:after="0" w:line="58"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45"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In addition,</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180"/>
          </w:cols>
          <w:pgMar w:left="320" w:top="407" w:right="139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6" w:lineRule="auto"/>
        <w:rPr>
          <w:sz w:val="20"/>
          <w:szCs w:val="20"/>
          <w:color w:val="auto"/>
        </w:rPr>
      </w:pPr>
      <w:r>
        <w:rPr>
          <w:rFonts w:ascii="Arial" w:cs="Arial" w:eastAsia="Arial" w:hAnsi="Arial"/>
          <w:sz w:val="15"/>
          <w:szCs w:val="15"/>
          <w:color w:val="auto"/>
        </w:rPr>
        <w:t>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exemptions for so long as we are an “emerging growth company,” which could be as long as five years following the effectiveness of this offering. We expect, however, that we will cease being an “emerging growth company” prior to such time. We cannot predict if investors will find our common stock less attractive to the extent that we rely on these exemptions. If some investors find our common stock less attractive as a result, there may be a less active trading market for our common stock and the price of our common stock may be more volatile.</w:t>
      </w:r>
    </w:p>
    <w:p>
      <w:pPr>
        <w:spacing w:after="0" w:line="247" w:lineRule="exact"/>
        <w:rPr>
          <w:sz w:val="20"/>
          <w:szCs w:val="20"/>
          <w:color w:val="auto"/>
        </w:rPr>
      </w:pPr>
    </w:p>
    <w:p>
      <w:pPr>
        <w:ind w:left="1020" w:right="220"/>
        <w:spacing w:after="0" w:line="270"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affect our ability to attract and retain qualified board members.</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As a public company, we will be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also expect that being a public company will make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management team has limited experience managing a public company.</w:t>
      </w:r>
    </w:p>
    <w:p>
      <w:pPr>
        <w:spacing w:after="0" w:line="105" w:lineRule="exact"/>
        <w:rPr>
          <w:sz w:val="20"/>
          <w:szCs w:val="20"/>
          <w:color w:val="auto"/>
        </w:rPr>
      </w:pPr>
    </w:p>
    <w:p>
      <w:pPr>
        <w:ind w:left="1020" w:right="620" w:firstLine="460"/>
        <w:spacing w:after="0" w:line="245" w:lineRule="auto"/>
        <w:rPr>
          <w:sz w:val="20"/>
          <w:szCs w:val="20"/>
          <w:color w:val="auto"/>
        </w:rPr>
      </w:pPr>
      <w:r>
        <w:rPr>
          <w:rFonts w:ascii="Arial" w:cs="Arial" w:eastAsia="Arial" w:hAnsi="Arial"/>
          <w:sz w:val="15"/>
          <w:szCs w:val="15"/>
          <w:color w:val="auto"/>
        </w:rPr>
        <w:t>Our management team has limited or no experience managing a publicly traded company, interacting with public company investors, and complying with the increasingly complex laws pertaining</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20"/>
          </w:cols>
          <w:pgMar w:left="320" w:top="407"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20"/>
        <w:spacing w:after="0"/>
        <w:rPr>
          <w:sz w:val="20"/>
          <w:szCs w:val="20"/>
          <w:color w:val="auto"/>
        </w:rPr>
      </w:pPr>
      <w:r>
        <w:rPr>
          <w:rFonts w:ascii="Arial" w:cs="Arial" w:eastAsia="Arial" w:hAnsi="Arial"/>
          <w:sz w:val="15"/>
          <w:szCs w:val="15"/>
          <w:color w:val="auto"/>
        </w:rPr>
        <w:t>to public companies. These new obligations and constituents will require significant attention from our management team and could divert their attention away from the day-to-day management of our business, which could harm our business, results of operations, and financial condition.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do not intend to pay dividends for the foreseeable future.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180"/>
          </w:cols>
          <w:pgMar w:left="320" w:top="407" w:right="139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This prospectus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94" w:lineRule="exact"/>
        <w:rPr>
          <w:sz w:val="20"/>
          <w:szCs w:val="20"/>
          <w:color w:val="auto"/>
        </w:rPr>
      </w:pPr>
    </w:p>
    <w:p>
      <w:pPr>
        <w:ind w:left="1660" w:right="54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future financial performance, including our expectations regarding our revenue, our operating expenses, our ability to determine reserves and our ability to remain profitable;</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improve the effectiveness and predictiveness of our AI models and our expectations that improvements in our AI models can lead to higher approval rates and lower interest rates;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increase the volume of loans facilitated by our AI lending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enter into new and maintain existing bank partnerships;</w:t>
      </w:r>
    </w:p>
    <w:p>
      <w:pPr>
        <w:spacing w:after="0" w:line="97" w:lineRule="exact"/>
        <w:rPr>
          <w:rFonts w:ascii="Arial" w:cs="Arial" w:eastAsia="Arial" w:hAnsi="Arial"/>
          <w:sz w:val="15"/>
          <w:szCs w:val="15"/>
          <w:color w:val="auto"/>
        </w:rPr>
      </w:pPr>
    </w:p>
    <w:p>
      <w:pPr>
        <w:ind w:left="1660" w:right="3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successfully maintain a diversified loan funding strategy, including bank partnerships and whole loan sales and securitization transactions;</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maintain competitive interest rates offered to borrowers on our platform, while enabling our bank partners to achieve an adequate return over their cost of funding;</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successfully build our brand and protect our reputation from negative publicity;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increase the effectiveness of our marketing strategies, including our direct consumer marketing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impact of the COVID-19 pandemic and any associated economic downturn on our business and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expectations and management of future growth, including expanding the number of potential borrowers;</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successfully adjust our proprietary AI models, products and services in a timely manner in response to changing macroeconomic conditions and fluctuations in the credit market;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compliance with applicable local, state and federal laws;</w:t>
      </w:r>
    </w:p>
    <w:p>
      <w:pPr>
        <w:spacing w:after="0" w:line="97" w:lineRule="exact"/>
        <w:rPr>
          <w:rFonts w:ascii="Arial" w:cs="Arial" w:eastAsia="Arial" w:hAnsi="Arial"/>
          <w:sz w:val="15"/>
          <w:szCs w:val="15"/>
          <w:color w:val="auto"/>
        </w:rPr>
      </w:pPr>
    </w:p>
    <w:p>
      <w:pPr>
        <w:ind w:left="1660" w:right="50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comply with and successfully adapt to complex and evolving regulatory environments, including regulation of artificial intelligence and machine learning technology;</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expectations regarding regulatory support of our approach to AI-based lending, including our ongoing discussions with the CFPB;</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protect against increasingly sophisticated fraudulent borrowing and online theft;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service loans and the ability of third-party collection agents, to pursue collection of delinquent and defaulted loans;</w:t>
      </w:r>
    </w:p>
    <w:p>
      <w:pPr>
        <w:spacing w:after="0" w:line="9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successfully compete with companies that are currently in, or may in the future enter, the markets in which we operate;</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expectations regarding new and evolving markets and our ability enter into new markets and introduce new products and services, such as our recent introduction of auto loans;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00"/>
          </w:cols>
          <w:pgMar w:left="320" w:top="407" w:right="137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hanging="183"/>
        <w:spacing w:after="0" w:line="245" w:lineRule="auto"/>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effectively secure and maintain the confidentiality of the information received, accessed, stored, provided and used across our systems;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successfully obtain and maintain funding and liquidity to support continued growth and general corporate purposes;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attract, integrate and retain qualified employees;</w:t>
      </w:r>
    </w:p>
    <w:p>
      <w:pPr>
        <w:spacing w:after="0" w:line="97" w:lineRule="exact"/>
        <w:rPr>
          <w:rFonts w:ascii="Arial" w:cs="Arial" w:eastAsia="Arial" w:hAnsi="Arial"/>
          <w:sz w:val="15"/>
          <w:szCs w:val="15"/>
          <w:color w:val="auto"/>
        </w:rPr>
      </w:pPr>
    </w:p>
    <w:p>
      <w:pPr>
        <w:ind w:left="1660" w:right="540" w:hanging="183"/>
        <w:spacing w:after="0" w:line="245" w:lineRule="auto"/>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effectively manage and expand the capabilities of our operations teams, outsourcing relationships and other business operations;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maintain, protect and enhance our intellectual property;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expectations regarding outstanding litigation and regulatory investigations;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anticipated uses of net proceeds from this offering.</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Neither we nor any other person assumes responsibility for the accuracy and completeness of any of these forward-looking statements. Moreover, 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7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00"/>
          </w:cols>
          <w:pgMar w:left="320" w:top="407" w:right="137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INDUSTRY, MARKET AND OTHER DATA</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Unless otherwise indicated, estimates and information contained in this prospectus concerning our industry and the market in which we operate, including our general expectations, market position, market opportunity, and market size, are based on industry publications and reports generated by third-party providers, other publicly available studies, and our internal sources and estimates. This information involves a number of assumptions and limitations, and you are cautioned not to give undue weight to such estimates. Although we are responsible for all of the disclosure contained in this prospectus and we believe the information from the industry publications and other third-party sources included in this prospectus is reliable, we have not independently verified the accuracy or completeness of the data contained in such sources. The content of, or accessibility through, the below sources and websites, except to the extent specifically set forth in this prospectus, does not constitute a portion of this prospectus and is not incorporated herein, and any websites are an inactive textual reference only.</w:t>
      </w:r>
    </w:p>
    <w:p>
      <w:pPr>
        <w:spacing w:after="0" w:line="17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source of certain statistical data, estimates and forecasts contained in this prospectus are the following independent industry publications or reports:</w:t>
      </w:r>
    </w:p>
    <w:p>
      <w:pPr>
        <w:spacing w:after="0" w:line="87" w:lineRule="exact"/>
        <w:rPr>
          <w:sz w:val="20"/>
          <w:szCs w:val="20"/>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Adrian D. Garcia, Bankrate: JPM, Big Banks Spend Billions on Tech but Innovation Lags, July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Bain &amp; Company, Inc., Evolving the Customer Experience in Banking, 2017.</w:t>
      </w:r>
    </w:p>
    <w:p>
      <w:pPr>
        <w:spacing w:after="0" w:line="97" w:lineRule="exact"/>
        <w:rPr>
          <w:rFonts w:ascii="Arial" w:cs="Arial" w:eastAsia="Arial" w:hAnsi="Arial"/>
          <w:sz w:val="15"/>
          <w:szCs w:val="15"/>
          <w:color w:val="auto"/>
        </w:rPr>
      </w:pPr>
    </w:p>
    <w:p>
      <w:pPr>
        <w:ind w:left="1660" w:right="18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Board of Governors of the Federal Reserve System, Consumer Financial Protection Bureau, Federal Deposit Insurance Corporation, National Credit Union Administration and Office of the Comptroller of the Currency, Interagency Statement on the Use of Alternative Data in Credit Underwriting, December 2019.</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Eldar Beiseitov, Federal Reserve Bank of St. Louis: Unsecured Personal Loans Get a Boost From Fintech Lenders, July 2019.</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Consumer Financial Protection Bureau, No-Action Letter to Upstart Network, Inc. dated September 14, 2017, as modified on September 11, 2020.</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Consumer Financial Protection Bureau, Policy on No-Action Letters, September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Federal Home Loan Bank of San Francisco, Cost of Funds Index,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Federal Deposit Insurance Corporation, Statistics on Depository Institutions,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Federal Reserve Board, Statistical Release: Consumer Credit,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Federal Reserve Board, Household Debt Service and Financial Obligations Ratios,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Forbes, citing Temkin Group Insight Report, NPS Benchmark Study, 2018, October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Q2 2020, September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Q1 2020, June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Q4 2019, March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Q3 2019, November 2019.</w:t>
      </w:r>
    </w:p>
    <w:p>
      <w:pPr>
        <w:spacing w:after="0" w:line="97" w:lineRule="exact"/>
        <w:rPr>
          <w:rFonts w:ascii="Arial" w:cs="Arial" w:eastAsia="Arial" w:hAnsi="Arial"/>
          <w:sz w:val="15"/>
          <w:szCs w:val="15"/>
          <w:color w:val="auto"/>
        </w:rPr>
      </w:pPr>
    </w:p>
    <w:p>
      <w:pPr>
        <w:ind w:left="1660" w:right="700" w:hanging="183"/>
        <w:spacing w:after="0" w:line="245"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Kathleen L. Kraninger, Consumer Financial Protection Bureau: Director Kraninger’s Remarks at TCH-BPI Conference, November 2019.</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00"/>
          </w:cols>
          <w:pgMar w:left="320" w:top="407" w:right="137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Kirsten Wysen, Open Source Solutions: Why Credit Scores and Payday Lending Matter for Health, October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Kroll Bond Rating Agency, KBRA Surveillance Reports,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McKinsey Global Institute, Notes From the AI Frontier: Modeling the Impact of AI on the World Economy, September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Naeem Siddiqi, Intelligent Credit Scoring: Building and Implementing Better Credit Risk Scorecards—2nd Edition, 2017.</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Northwestern Mutual, 2019 Planning &amp; Progress Study: The Debt Debacle, 2019.</w:t>
      </w:r>
    </w:p>
    <w:p>
      <w:pPr>
        <w:spacing w:after="0" w:line="97"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Patrice Ficklin and Paul Watkins, Consumer Financial Protection Bureau Blog: An Update on Credit Access and the Bureau’s First No-Action Letter, August 2019.</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PricewaterhouseCoopers LLP, Experience Is Everything: Here’s How to Get It Right, 2018.</w:t>
      </w:r>
    </w:p>
    <w:p>
      <w:pPr>
        <w:spacing w:after="0" w:line="97"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RedPoint Global and the Harris Poll, Addressing the Gaps in Customer Experience: A Benchmark Study Exploring the Ever Evolving Customer Experience and How Marketers and Consumers Are Adapting, March 2019.</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Rob Kaufman, myFico Blog: The History of the FICO Score, August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Statista: Value of Loans of all Commercial Banks in the United States from March 2014 to August 2020, September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Wei Wu, Vadim Verkhoglyad and Alex Kale, dv01 Insights: Covid-19 Performance Report Volume 9, July 2020.</w:t>
      </w:r>
    </w:p>
    <w:p>
      <w:pPr>
        <w:spacing w:after="0" w:line="177"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References to market size estimates are based on quarterly U.S. loan origination data published by TransUnion as part of its quarterly Consumer Credit Origination, Balance and Delinquency Trends reports.</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disclosed in this prospectus, the Net Promoter Scores for our bank partners’ lending programs are approximately 79, which represents the weighted average of the Net Promoter Scores of each of our bank partners in the third quarter of 2020. The Net Promoter Scores of our bank partners were derived through a third-party service that administers surveys to loan applicants immediately following the applicants’ acceptance of a loan on Upstart’s platform. Net Promoter Scores are calculated based on responses measured on a scale of one to ten to the survey question, “how likely is it that you would recommend us?” Responses of nine or 10 are considered “promoters,” responses of seven or eight are considered neutral or “passives,” and responses of six or less are considered “detractors.” The number of detractors is subtracted from the number of promoters, and the resulting number is divided by the total number of respondents to obtain the Net Promoter Score using the methodology developed by Bain &amp; Company, Inc. References to our bank partners’ Net Promoter Scores are based on survey data gathered in the third quarter of 2020. Net Promoter Scores for other banks used for comparison were obtained from Forbes, citing the Temkin Group Insight Report, NPS Benchmark Study, 2018, October 2018.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w:t>
      </w:r>
    </w:p>
    <w:p>
      <w:pPr>
        <w:spacing w:after="0" w:line="173" w:lineRule="exact"/>
        <w:rPr>
          <w:sz w:val="20"/>
          <w:szCs w:val="20"/>
          <w:color w:val="auto"/>
        </w:rPr>
      </w:pPr>
    </w:p>
    <w:p>
      <w:pPr>
        <w:ind w:left="1020" w:right="380" w:firstLine="460"/>
        <w:spacing w:after="0"/>
        <w:rPr>
          <w:sz w:val="20"/>
          <w:szCs w:val="20"/>
          <w:color w:val="auto"/>
        </w:rPr>
      </w:pPr>
      <w:r>
        <w:rPr>
          <w:rFonts w:ascii="Arial" w:cs="Arial" w:eastAsia="Arial" w:hAnsi="Arial"/>
          <w:sz w:val="15"/>
          <w:szCs w:val="15"/>
          <w:color w:val="auto"/>
        </w:rPr>
        <w:t>The industry in which we operate is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180"/>
          </w:cols>
          <w:pgMar w:left="320" w:top="407" w:right="139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USE OF PROCEEDS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estimate that the net proceeds to us from the sale of shares of our common stock in this offering will be approximately $166.9 million, based upon the assumed initial public offering price of $21.00 per share, which is the midpoint of the estimated offering price range set forth on the cover page of this prospectus, and after deducting estimated underwriting discounts and commissions and estimated offering expenses payable by us. We will not receive any proceeds from the sale of common stock by the selling stockholders in this offering.</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Each $1.00 increase or decrease in the assumed initial public offering price of $21.00 per share, which is the midpoint of the estimated offering price range set forth on the cover page of this prospectus, would increase or decrease the net proceeds that we receive from this offering by approximately $8.4 million, assuming that the number of shares offered by us, as set forth on the cover page of this prospectus, remains the same and after deducting the estimated underwriting discounts and commissions payable by us. Similarly, each increase or decrease of 1.0 million in the number of shares of our common stock offered by us would increase or decrease the net proceeds that we receive from this offering by approximately $19.5 million, assuming the assumed initial public offering price remains the same and after deducting the estimated underwriting discounts and commissions payable by us.</w:t>
      </w:r>
    </w:p>
    <w:p>
      <w:pPr>
        <w:spacing w:after="0" w:line="171"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create a public market for our common stock, and enable access to the public equity markets for us and our stockholders.</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intend to use the net proceeds we receive from this offering for general corporate purposes, including working capital, operating expenses, and capital expenditures. Additionally, we may use a portion of the net proceeds we receive from this offering to acquire or invest in businesses, products, services, or technologies. However, we do not have agreements or commitments for any material acquisitions or investments at this time. We cannot specify with certainty the particular uses of the net proceeds that we will receive from this offering. Accordingly, we will have broad discretion in using these proceeds. Pending the use of proceeds from this offering as described above, we may invest the net proceeds that we receive in this offering in short-term, investment grade, interest-bearing instruments.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20"/>
          </w:cols>
          <w:pgMar w:left="320" w:top="407" w:right="135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DIVIDEND POLICY</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Additionally, our ability to pay cash dividends on our common stock is limited by restrictions under the terms of our credit facilities with Silicon Valley Bank.</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140"/>
          </w:cols>
          <w:pgMar w:left="320" w:top="407" w:right="143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CAPITALIZATION</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our cash and capitalization as of September 30, 2020 as follows:</w:t>
      </w:r>
    </w:p>
    <w:p>
      <w:pPr>
        <w:spacing w:after="0" w:line="98" w:lineRule="exact"/>
        <w:rPr>
          <w:sz w:val="20"/>
          <w:szCs w:val="20"/>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97" w:lineRule="exact"/>
        <w:rPr>
          <w:rFonts w:ascii="Arial" w:cs="Arial" w:eastAsia="Arial" w:hAnsi="Arial"/>
          <w:sz w:val="15"/>
          <w:szCs w:val="15"/>
          <w:color w:val="auto"/>
        </w:rPr>
      </w:pPr>
    </w:p>
    <w:p>
      <w:pPr>
        <w:ind w:left="1660" w:right="20" w:hanging="183"/>
        <w:spacing w:after="0" w:line="238"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 pro forma basis, giving effect to (i) the exercise in November 2020 of a warrant to purchase 600,208 shares of our Series B preferred stock resulting in the reclassification of our convertible preferred stock warrant liability to additional paid-in capital, (ii) the Capital Stock Conversion, as if such conversions had occurred on September 30, 2020 and (iii) the filing and effectiveness of our amended and restated certificate of incorporation in Delaware that will become effective immediately prior to the completion of this offering; and</w:t>
      </w:r>
    </w:p>
    <w:p>
      <w:pPr>
        <w:spacing w:after="0" w:line="91" w:lineRule="exact"/>
        <w:rPr>
          <w:rFonts w:ascii="Arial" w:cs="Arial" w:eastAsia="Arial" w:hAnsi="Arial"/>
          <w:sz w:val="15"/>
          <w:szCs w:val="15"/>
          <w:color w:val="auto"/>
        </w:rPr>
      </w:pPr>
    </w:p>
    <w:p>
      <w:pPr>
        <w:ind w:left="1660" w:right="20" w:hanging="183"/>
        <w:spacing w:after="0" w:line="237"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 pro forma as adjusted basis, giving effect to (i) the pro forma adjustments set forth above, (ii) the sale and issuance by us of 9,000,000 shares of our common stock in this offering, based upon the assumed initial public offering price of $21.00 per share, which is the midpoint of the estimated offering price range set forth on the cover page of this prospectus, and after deducting estimated underwriting discounts and commissions and estimated offering expenses payable by us, and (iii) the issuance of 466,389 shares of common stock upon the exercise of options held by certain selling stockholders in connection with the sale of such shares by such selling stockholders in this offering.</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8"/>
          </w:tcPr>
          <w:p>
            <w:pPr>
              <w:ind w:left="440"/>
              <w:spacing w:after="0"/>
              <w:rPr>
                <w:sz w:val="20"/>
                <w:szCs w:val="20"/>
                <w:color w:val="auto"/>
              </w:rPr>
            </w:pPr>
            <w:r>
              <w:rPr>
                <w:rFonts w:ascii="Arial" w:cs="Arial" w:eastAsia="Arial" w:hAnsi="Arial"/>
                <w:sz w:val="12"/>
                <w:szCs w:val="12"/>
                <w:b w:val="1"/>
                <w:bCs w:val="1"/>
                <w:color w:val="auto"/>
                <w:w w:val="99"/>
              </w:rPr>
              <w:t>As of September 30, 2020</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54"/>
              <w:spacing w:after="0" w:line="117" w:lineRule="exact"/>
              <w:rPr>
                <w:sz w:val="20"/>
                <w:szCs w:val="20"/>
                <w:color w:val="auto"/>
              </w:rPr>
            </w:pPr>
            <w:r>
              <w:rPr>
                <w:rFonts w:ascii="Arial" w:cs="Arial" w:eastAsia="Arial" w:hAnsi="Arial"/>
                <w:sz w:val="12"/>
                <w:szCs w:val="12"/>
                <w:b w:val="1"/>
                <w:bCs w:val="1"/>
                <w:color w:val="auto"/>
                <w:w w:val="99"/>
              </w:rPr>
              <w:t>Pro</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2"/>
                <w:szCs w:val="12"/>
                <w:b w:val="1"/>
                <w:bCs w:val="1"/>
                <w:color w:val="auto"/>
              </w:rPr>
              <w:t>Pro</w:t>
            </w:r>
          </w:p>
        </w:tc>
        <w:tc>
          <w:tcPr>
            <w:tcW w:w="160" w:type="dxa"/>
            <w:vAlign w:val="bottom"/>
          </w:tcPr>
          <w:p>
            <w:pPr>
              <w:spacing w:after="0"/>
              <w:rPr>
                <w:sz w:val="11"/>
                <w:szCs w:val="11"/>
                <w:color w:val="auto"/>
              </w:rPr>
            </w:pPr>
          </w:p>
        </w:tc>
        <w:tc>
          <w:tcPr>
            <w:tcW w:w="720" w:type="dxa"/>
            <w:vAlign w:val="bottom"/>
            <w:gridSpan w:val="3"/>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forma as</w:t>
            </w:r>
          </w:p>
        </w:tc>
        <w:tc>
          <w:tcPr>
            <w:tcW w:w="0" w:type="dxa"/>
            <w:vAlign w:val="bottom"/>
          </w:tcPr>
          <w:p>
            <w:pPr>
              <w:spacing w:after="0"/>
              <w:rPr>
                <w:sz w:val="1"/>
                <w:szCs w:val="1"/>
                <w:color w:val="auto"/>
              </w:rPr>
            </w:pPr>
          </w:p>
        </w:tc>
      </w:tr>
      <w:tr>
        <w:trPr>
          <w:trHeight w:val="127"/>
        </w:trPr>
        <w:tc>
          <w:tcPr>
            <w:tcW w:w="66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100" w:type="dxa"/>
            <w:vAlign w:val="bottom"/>
          </w:tcPr>
          <w:p>
            <w:pPr>
              <w:spacing w:after="0"/>
              <w:rPr>
                <w:sz w:val="11"/>
                <w:szCs w:val="11"/>
                <w:color w:val="auto"/>
              </w:rPr>
            </w:pPr>
          </w:p>
        </w:tc>
        <w:tc>
          <w:tcPr>
            <w:tcW w:w="480" w:type="dxa"/>
            <w:vAlign w:val="bottom"/>
            <w:vMerge w:val="restart"/>
          </w:tcPr>
          <w:p>
            <w:pPr>
              <w:jc w:val="right"/>
              <w:ind w:right="34"/>
              <w:spacing w:after="0"/>
              <w:rPr>
                <w:sz w:val="20"/>
                <w:szCs w:val="20"/>
                <w:color w:val="auto"/>
              </w:rPr>
            </w:pPr>
            <w:r>
              <w:rPr>
                <w:rFonts w:ascii="Arial" w:cs="Arial" w:eastAsia="Arial" w:hAnsi="Arial"/>
                <w:sz w:val="12"/>
                <w:szCs w:val="12"/>
                <w:b w:val="1"/>
                <w:bCs w:val="1"/>
                <w:color w:val="auto"/>
                <w:w w:val="98"/>
              </w:rPr>
              <w:t>Actual</w:t>
            </w:r>
          </w:p>
        </w:tc>
        <w:tc>
          <w:tcPr>
            <w:tcW w:w="2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spacing w:after="0" w:line="127" w:lineRule="exact"/>
              <w:rPr>
                <w:sz w:val="20"/>
                <w:szCs w:val="20"/>
                <w:color w:val="auto"/>
              </w:rPr>
            </w:pPr>
            <w:r>
              <w:rPr>
                <w:rFonts w:ascii="Arial" w:cs="Arial" w:eastAsia="Arial" w:hAnsi="Arial"/>
                <w:sz w:val="9"/>
                <w:szCs w:val="9"/>
                <w:b w:val="1"/>
                <w:bCs w:val="1"/>
                <w:color w:val="auto"/>
              </w:rPr>
              <w:t>adjusted</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35"/>
        </w:trPr>
        <w:tc>
          <w:tcPr>
            <w:tcW w:w="660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54"/>
              <w:spacing w:after="0" w:line="136" w:lineRule="exact"/>
              <w:rPr>
                <w:sz w:val="20"/>
                <w:szCs w:val="20"/>
                <w:color w:val="auto"/>
              </w:rPr>
            </w:pPr>
            <w:r>
              <w:rPr>
                <w:rFonts w:ascii="Arial" w:cs="Arial" w:eastAsia="Arial" w:hAnsi="Arial"/>
                <w:sz w:val="12"/>
                <w:szCs w:val="12"/>
                <w:b w:val="1"/>
                <w:bCs w:val="1"/>
                <w:color w:val="auto"/>
              </w:rPr>
              <w:t>forma</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54"/>
              <w:spacing w:after="0"/>
              <w:rPr>
                <w:sz w:val="20"/>
                <w:szCs w:val="20"/>
                <w:color w:val="auto"/>
              </w:rPr>
            </w:pPr>
            <w:r>
              <w:rPr>
                <w:rFonts w:ascii="Arial" w:cs="Arial" w:eastAsia="Arial" w:hAnsi="Arial"/>
                <w:sz w:val="10"/>
                <w:szCs w:val="10"/>
                <w:b w:val="1"/>
                <w:bCs w:val="1"/>
                <w:color w:val="auto"/>
                <w:w w:val="97"/>
              </w:rPr>
              <w:t>(2)</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w:t>
            </w: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53,234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53,240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224,608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tcPr>
          <w:p>
            <w:pPr>
              <w:spacing w:after="0" w:line="143" w:lineRule="exact"/>
              <w:rPr>
                <w:sz w:val="20"/>
                <w:szCs w:val="20"/>
                <w:color w:val="auto"/>
              </w:rPr>
            </w:pPr>
            <w:r>
              <w:rPr>
                <w:rFonts w:ascii="Arial" w:cs="Arial" w:eastAsia="Arial" w:hAnsi="Arial"/>
                <w:sz w:val="14"/>
                <w:szCs w:val="14"/>
                <w:color w:val="auto"/>
              </w:rPr>
              <w:t>Convertible preferred stock warrant liability</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7,458</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borrowings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100,588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100,588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100,588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4"/>
                <w:szCs w:val="14"/>
                <w:color w:val="auto"/>
              </w:rPr>
              <w:t>Convertible preferred stock, par value $0.0001 per share: 53,927,657 shares authorized, 47,349,577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tcPr>
          <w:p>
            <w:pPr>
              <w:ind w:left="140"/>
              <w:spacing w:after="0" w:line="158" w:lineRule="exact"/>
              <w:rPr>
                <w:sz w:val="20"/>
                <w:szCs w:val="20"/>
                <w:color w:val="auto"/>
              </w:rPr>
            </w:pPr>
            <w:r>
              <w:rPr>
                <w:rFonts w:ascii="Arial" w:cs="Arial" w:eastAsia="Arial" w:hAnsi="Arial"/>
                <w:sz w:val="14"/>
                <w:szCs w:val="14"/>
                <w:color w:val="auto"/>
              </w:rPr>
              <w:t>issued and outstanding, actual; no shares authorized, issued and outstanding, pro forma and pro forma</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ind w:left="140"/>
              <w:spacing w:after="0" w:line="156" w:lineRule="exact"/>
              <w:rPr>
                <w:sz w:val="20"/>
                <w:szCs w:val="20"/>
                <w:color w:val="auto"/>
              </w:rPr>
            </w:pPr>
            <w:r>
              <w:rPr>
                <w:rFonts w:ascii="Arial" w:cs="Arial" w:eastAsia="Arial" w:hAnsi="Arial"/>
                <w:sz w:val="14"/>
                <w:szCs w:val="14"/>
                <w:color w:val="auto"/>
              </w:rPr>
              <w:t>as adjusted</w:t>
            </w:r>
          </w:p>
        </w:tc>
        <w:tc>
          <w:tcPr>
            <w:tcW w:w="1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w w:val="90"/>
              </w:rPr>
              <w:t>162,546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Stockholders’ (deficit) equity:</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4"/>
                <w:szCs w:val="14"/>
                <w:color w:val="auto"/>
              </w:rPr>
              <w:t>Preferred stock, par value $0.0001 per share: no shares authorized, issued and outstanding, actual;</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ind w:left="140"/>
              <w:spacing w:after="0" w:line="156" w:lineRule="exact"/>
              <w:rPr>
                <w:sz w:val="20"/>
                <w:szCs w:val="20"/>
                <w:color w:val="auto"/>
              </w:rPr>
            </w:pPr>
            <w:r>
              <w:rPr>
                <w:rFonts w:ascii="Arial" w:cs="Arial" w:eastAsia="Arial" w:hAnsi="Arial"/>
                <w:sz w:val="14"/>
                <w:szCs w:val="14"/>
                <w:color w:val="auto"/>
              </w:rPr>
              <w:t>70,000,000 shares authorized, no shares issued and outstanding, pro forma and pro forma as adjusted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Common stock, par value $0.0001 per share: 90,000,000 shares authorized, 15,044,707 shares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issued and outstanding, actual; 700,000,000 shares authorized, 62,994,492 shares issued and</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outstanding, pro forma; and 700,000,000 shares authorized, 72,460,881 shares issued and</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outstanding, pro forma as adjusted</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tcPr>
          <w:p>
            <w:pPr>
              <w:spacing w:after="0" w:line="158"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22,914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192,919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w w:val="98"/>
              </w:rPr>
              <w:t>364,286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5"/>
              </w:rPr>
              <w:t>(70,249)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9"/>
              </w:rPr>
              <w:t>(70,249)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(75,134)</w:t>
            </w:r>
          </w:p>
        </w:tc>
        <w:tc>
          <w:tcPr>
            <w:tcW w:w="0" w:type="dxa"/>
            <w:vAlign w:val="bottom"/>
          </w:tcPr>
          <w:p>
            <w:pPr>
              <w:spacing w:after="0"/>
              <w:rPr>
                <w:sz w:val="1"/>
                <w:szCs w:val="1"/>
                <w:color w:val="auto"/>
              </w:rPr>
            </w:pPr>
          </w:p>
        </w:tc>
      </w:tr>
      <w:tr>
        <w:trPr>
          <w:trHeight w:val="160"/>
        </w:trPr>
        <w:tc>
          <w:tcPr>
            <w:tcW w:w="6600" w:type="dxa"/>
            <w:vAlign w:val="bottom"/>
          </w:tcPr>
          <w:p>
            <w:pPr>
              <w:spacing w:after="0" w:line="158" w:lineRule="exact"/>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stockholders’ (deficit) equity</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5"/>
              </w:rPr>
              <w:t>(47,333)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122,676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289,159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0" w:type="dxa"/>
            <w:vAlign w:val="bottom"/>
          </w:tcPr>
          <w:p>
            <w:pPr>
              <w:ind w:left="540"/>
              <w:spacing w:after="0"/>
              <w:rPr>
                <w:sz w:val="20"/>
                <w:szCs w:val="20"/>
                <w:color w:val="auto"/>
              </w:rPr>
            </w:pPr>
            <w:r>
              <w:rPr>
                <w:rFonts w:ascii="Arial" w:cs="Arial" w:eastAsia="Arial" w:hAnsi="Arial"/>
                <w:sz w:val="14"/>
                <w:szCs w:val="14"/>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223,259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223,264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389,747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480" w:right="80" w:hanging="453"/>
        <w:spacing w:after="0" w:line="246" w:lineRule="auto"/>
        <w:tabs>
          <w:tab w:leader="none" w:pos="14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Each $1.00 increase or decrease in the assumed initial public offering price of $21.00 per share, which is the midpoint of the estimated offering price range set forth on the cover page of this prospectus, would increase or decrease the amount</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20"/>
          </w:cols>
          <w:pgMar w:left="320" w:top="407" w:right="135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480" w:right="80"/>
        <w:spacing w:after="0" w:line="238" w:lineRule="auto"/>
        <w:rPr>
          <w:sz w:val="20"/>
          <w:szCs w:val="20"/>
          <w:color w:val="auto"/>
        </w:rPr>
      </w:pPr>
      <w:r>
        <w:rPr>
          <w:rFonts w:ascii="Arial" w:cs="Arial" w:eastAsia="Arial" w:hAnsi="Arial"/>
          <w:sz w:val="12"/>
          <w:szCs w:val="12"/>
          <w:color w:val="auto"/>
        </w:rPr>
        <w:t>of our pro forma as adjusted cash, additional paid-in capital, total stockholders’ equity, and total capitalization by $8.4 million, assuming that the number of shares offered by us, as set forth on the cover page of this prospectus, remains the same and after deducting estimated underwriting discounts and commissions payable by us. An increase or decrease of 1.0 million shares in the number of shares offered by us would increase or decrease, as applicable, the amount of our pro forma as adjusted cash, additional paid-in capital, total stockholders’ equity, and total capitalization by $19.5 million, assuming the assumed initial public offering price remains the same, and after deducting estimated underwriting discounts and commissions payable by us.</w:t>
      </w:r>
    </w:p>
    <w:p>
      <w:pPr>
        <w:spacing w:after="0" w:line="48" w:lineRule="exact"/>
        <w:rPr>
          <w:sz w:val="20"/>
          <w:szCs w:val="20"/>
          <w:color w:val="auto"/>
        </w:rPr>
      </w:pPr>
    </w:p>
    <w:p>
      <w:pPr>
        <w:ind w:left="1480" w:hanging="453"/>
        <w:spacing w:after="0"/>
        <w:tabs>
          <w:tab w:leader="none" w:pos="14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Pro forma as adjusted cash excludes $4.2 million of deferred offering costs that had been paid as of September 30, 2020.</w:t>
      </w:r>
    </w:p>
    <w:p>
      <w:pPr>
        <w:spacing w:after="0" w:line="17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pro forma column in the table above is based on 62,994,492 shares of our common stock (including shares of preferred stock issued in November 2020 upon the exercise of a warrant to purchase Series B preferred stock and the Capital Stock Conversion) outstanding as of September 30, 2020. The pro forma as adjusted column in the table above is based on 63,460,881 shares of our common stock (including shares of preferred stock issued in November 2020 upon the exercise of a warrant to purchase Series B preferred stock, the Capital Stock Conversion, and the exercise of options to purchase common stock by certain selling stockholders in connection with the sale by such selling stockholders in this offering) outstanding as of September 30, 2020. The pro forma and pro forma as adjusted columns exclude the following:</w:t>
      </w:r>
    </w:p>
    <w:p>
      <w:pPr>
        <w:spacing w:after="0" w:line="92" w:lineRule="exact"/>
        <w:rPr>
          <w:sz w:val="20"/>
          <w:szCs w:val="20"/>
          <w:color w:val="auto"/>
        </w:rPr>
      </w:pPr>
    </w:p>
    <w:p>
      <w:pPr>
        <w:ind w:left="1660" w:right="560" w:hanging="183"/>
        <w:spacing w:after="0" w:line="24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18,889,653 shares of our common stock issuable upon the exercise of options to purchase shares of our common stock outstanding as of September 30, 2020, with a weighted-average exercise price of $3.17 per share;</w:t>
      </w:r>
    </w:p>
    <w:p>
      <w:pPr>
        <w:spacing w:after="0" w:line="87" w:lineRule="exact"/>
        <w:rPr>
          <w:rFonts w:ascii="Arial" w:cs="Arial" w:eastAsia="Arial" w:hAnsi="Arial"/>
          <w:sz w:val="15"/>
          <w:szCs w:val="15"/>
          <w:color w:val="auto"/>
        </w:rPr>
      </w:pPr>
    </w:p>
    <w:p>
      <w:pPr>
        <w:ind w:left="1660" w:right="360" w:hanging="183"/>
        <w:spacing w:after="0" w:line="24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319,669 shares of our common stock issuable upon the exercise of warrants outstanding as of September 30, 2020, with a weighted-average exercise price of $1.77 per share;</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1,540,938 shares of our common stock issuable upon the exercise of options to purchase shares of our common stock issued after September 30, 2020, with a weighted-average exercise price of $15.16 per share;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10,765,271 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020" w:hanging="351"/>
        <w:spacing w:after="0" w:line="245" w:lineRule="auto"/>
        <w:tabs>
          <w:tab w:leader="none" w:pos="2020" w:val="left"/>
        </w:tabs>
        <w:numPr>
          <w:ilvl w:val="1"/>
          <w:numId w:val="52"/>
        </w:numPr>
        <w:rPr>
          <w:rFonts w:ascii="Arial" w:cs="Arial" w:eastAsia="Arial" w:hAnsi="Arial"/>
          <w:sz w:val="15"/>
          <w:szCs w:val="15"/>
          <w:color w:val="auto"/>
        </w:rPr>
      </w:pPr>
      <w:r>
        <w:rPr>
          <w:rFonts w:ascii="Arial" w:cs="Arial" w:eastAsia="Arial" w:hAnsi="Arial"/>
          <w:sz w:val="15"/>
          <w:szCs w:val="15"/>
          <w:color w:val="auto"/>
        </w:rPr>
        <w:t>5,520,000 shares of our common stock reserved for future issuance under our 2020 Plan, which will become effective prior to the completion of this offering;</w:t>
      </w:r>
    </w:p>
    <w:p>
      <w:pPr>
        <w:spacing w:after="0" w:line="87" w:lineRule="exact"/>
        <w:rPr>
          <w:rFonts w:ascii="Arial" w:cs="Arial" w:eastAsia="Arial" w:hAnsi="Arial"/>
          <w:sz w:val="15"/>
          <w:szCs w:val="15"/>
          <w:color w:val="auto"/>
        </w:rPr>
      </w:pPr>
    </w:p>
    <w:p>
      <w:pPr>
        <w:ind w:left="2020" w:right="360" w:hanging="351"/>
        <w:spacing w:after="0" w:line="245" w:lineRule="auto"/>
        <w:tabs>
          <w:tab w:leader="none" w:pos="2020" w:val="left"/>
        </w:tabs>
        <w:numPr>
          <w:ilvl w:val="1"/>
          <w:numId w:val="52"/>
        </w:numPr>
        <w:rPr>
          <w:rFonts w:ascii="Arial" w:cs="Arial" w:eastAsia="Arial" w:hAnsi="Arial"/>
          <w:sz w:val="15"/>
          <w:szCs w:val="15"/>
          <w:color w:val="auto"/>
        </w:rPr>
      </w:pPr>
      <w:r>
        <w:rPr>
          <w:rFonts w:ascii="Arial" w:cs="Arial" w:eastAsia="Arial" w:hAnsi="Arial"/>
          <w:sz w:val="15"/>
          <w:szCs w:val="15"/>
          <w:color w:val="auto"/>
        </w:rPr>
        <w:t>3,865,271 shares of our common stock reserved for future issuance under our 2012 Plan, provided that we will cease granting awards under our 2012 Plan upon the effectiveness of the 2020 Plan; and</w:t>
      </w:r>
    </w:p>
    <w:p>
      <w:pPr>
        <w:spacing w:after="0" w:line="87" w:lineRule="exact"/>
        <w:rPr>
          <w:rFonts w:ascii="Arial" w:cs="Arial" w:eastAsia="Arial" w:hAnsi="Arial"/>
          <w:sz w:val="15"/>
          <w:szCs w:val="15"/>
          <w:color w:val="auto"/>
        </w:rPr>
      </w:pPr>
    </w:p>
    <w:p>
      <w:pPr>
        <w:ind w:left="2020" w:right="120" w:hanging="351"/>
        <w:spacing w:after="0" w:line="245" w:lineRule="auto"/>
        <w:tabs>
          <w:tab w:leader="none" w:pos="2020" w:val="left"/>
        </w:tabs>
        <w:numPr>
          <w:ilvl w:val="1"/>
          <w:numId w:val="52"/>
        </w:numPr>
        <w:rPr>
          <w:rFonts w:ascii="Arial" w:cs="Arial" w:eastAsia="Arial" w:hAnsi="Arial"/>
          <w:sz w:val="15"/>
          <w:szCs w:val="15"/>
          <w:color w:val="auto"/>
        </w:rPr>
      </w:pPr>
      <w:r>
        <w:rPr>
          <w:rFonts w:ascii="Arial" w:cs="Arial" w:eastAsia="Arial" w:hAnsi="Arial"/>
          <w:sz w:val="15"/>
          <w:szCs w:val="15"/>
          <w:color w:val="auto"/>
        </w:rPr>
        <w:t>1,380,000 shares of our common stock reserved for future issuance under our ESPP, which will become effective prior to the completion of this offering.</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Each of our 2020 Plan and our ESPP provides for annual automatic increases in the number of shares reserved thereunder, and our 2020 Plan also provides for increases to the number of shares that may be granted thereunder based on awards under our 2012 Plan that expire, are forfeited, or otherwise repurchased by us, as more fully described in the section titled “Executive Compensation— Employee Benefit and Stock Plans.”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160"/>
          </w:cols>
          <w:pgMar w:left="320" w:top="407" w:right="141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DILUTION</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completion of this offering.</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historical net tangible book value per share is determined by dividing our total tangible assets less our convertible preferred stock and our total liabilities by the number of shares of our common stock outstanding. Our historical net tangible book value as of September 30, 2020 was $(66.1) million, or $(4.39) per share. Our pro forma net tangible book value as of September 30, 2020 was $103.9 million, or $1.65 per share, based on the total number of shares of our common stock outstanding as of September 30, 2020, after giving effect to (i) the exercise in November 2020 of a warrant to purchase shares of our Series B preferred stock resulting in the reclassification of our convertible preferred stock warrant liability to additional paid-in capital, (ii) the Capital Stock Conversion and (iii) the filing and effectiveness of our amended and restated certificate of incorporation in Delaware that will become effective immediately prior to the completion of this offering.</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After giving effect to (i) the sale by us of 9,000,000 shares of our common stock in this offering at the assumed initial public offering price of $21.00 per share, which is the midpoint of the estimated offering price range set forth on the cover page of this prospectus, and after deducting estimated underwriting discounts and commissions and estimated offering expenses payable by us, and (ii) the issuance of 466,389 shares of common stock upon the exercise of options held by certain selling stockholders in connection with the sale of such shares by such selling stockholders in this offering, our pro forma as adjusted net tangible book value as of September 30, 2020 would have been $ 270.4 million, or $3.73 per share. This represents an immediate increase in pro forma net tangible book value of $2.08 per share to our existing stockholders and an immediate dilution in pro forma net tangible book value of $17.27 per share to investors purchasing shares of our common stock in this offering at the assumed initial public offering price. The following table illustrates this dilution:</w:t>
      </w:r>
    </w:p>
    <w:p>
      <w:pPr>
        <w:spacing w:after="0" w:line="19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8060" w:type="dxa"/>
            <w:vAlign w:val="bottom"/>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$21.00</w:t>
            </w:r>
          </w:p>
        </w:tc>
      </w:tr>
      <w:tr>
        <w:trPr>
          <w:trHeight w:val="158"/>
        </w:trPr>
        <w:tc>
          <w:tcPr>
            <w:tcW w:w="8060" w:type="dxa"/>
            <w:vAlign w:val="bottom"/>
          </w:tcPr>
          <w:p>
            <w:pPr>
              <w:ind w:left="280"/>
              <w:spacing w:after="0" w:line="158" w:lineRule="exact"/>
              <w:rPr>
                <w:sz w:val="20"/>
                <w:szCs w:val="20"/>
                <w:color w:val="auto"/>
              </w:rPr>
            </w:pPr>
            <w:r>
              <w:rPr>
                <w:rFonts w:ascii="Arial" w:cs="Arial" w:eastAsia="Arial" w:hAnsi="Arial"/>
                <w:sz w:val="14"/>
                <w:szCs w:val="14"/>
                <w:color w:val="auto"/>
              </w:rPr>
              <w:t>Historical net tangible book value (deficit) per share as of September 30, 2020</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$(4.39)</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0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Increase per share attributable to the pro forma adjustments described above</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6.04</w:t>
            </w: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9"/>
        </w:trPr>
        <w:tc>
          <w:tcPr>
            <w:tcW w:w="8060" w:type="dxa"/>
            <w:vAlign w:val="bottom"/>
          </w:tcPr>
          <w:p>
            <w:pPr>
              <w:ind w:left="280"/>
              <w:spacing w:after="0" w:line="159" w:lineRule="exact"/>
              <w:rPr>
                <w:sz w:val="20"/>
                <w:szCs w:val="20"/>
                <w:color w:val="auto"/>
              </w:rPr>
            </w:pPr>
            <w:r>
              <w:rPr>
                <w:rFonts w:ascii="Arial" w:cs="Arial" w:eastAsia="Arial" w:hAnsi="Arial"/>
                <w:sz w:val="14"/>
                <w:szCs w:val="14"/>
                <w:color w:val="auto"/>
                <w:w w:val="98"/>
              </w:rPr>
              <w:t>Pro forma net tangible book value per share as of September 30, 2020, before giving to effect new investors purchasing shares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8060" w:type="dxa"/>
            <w:vAlign w:val="bottom"/>
          </w:tcPr>
          <w:p>
            <w:pPr>
              <w:ind w:left="420"/>
              <w:spacing w:after="0" w:line="156" w:lineRule="exact"/>
              <w:rPr>
                <w:sz w:val="20"/>
                <w:szCs w:val="20"/>
                <w:color w:val="auto"/>
              </w:rPr>
            </w:pPr>
            <w:r>
              <w:rPr>
                <w:rFonts w:ascii="Arial" w:cs="Arial" w:eastAsia="Arial" w:hAnsi="Arial"/>
                <w:sz w:val="14"/>
                <w:szCs w:val="14"/>
                <w:color w:val="auto"/>
              </w:rPr>
              <w:t>of common stock in this offering</w:t>
            </w:r>
          </w:p>
        </w:tc>
        <w:tc>
          <w:tcPr>
            <w:tcW w:w="6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1.65</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80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Increase in pro forma net tangible book value per share attributable to new investors purchasing shares of common stock in</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80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this offering</w:t>
            </w:r>
          </w:p>
        </w:tc>
        <w:tc>
          <w:tcPr>
            <w:tcW w:w="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2.08</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3"/>
        </w:trPr>
        <w:tc>
          <w:tcPr>
            <w:tcW w:w="8060" w:type="dxa"/>
            <w:vAlign w:val="bottom"/>
          </w:tcPr>
          <w:p>
            <w:pPr>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660" w:type="dxa"/>
            <w:vAlign w:val="bottom"/>
            <w:gridSpan w:val="2"/>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40" w:type="dxa"/>
            <w:vAlign w:val="bottom"/>
          </w:tcPr>
          <w:p>
            <w:pPr>
              <w:spacing w:after="0"/>
              <w:rPr>
                <w:sz w:val="14"/>
                <w:szCs w:val="14"/>
                <w:color w:val="auto"/>
              </w:rPr>
            </w:pPr>
          </w:p>
        </w:tc>
      </w:tr>
      <w:tr>
        <w:trPr>
          <w:trHeight w:val="158"/>
        </w:trPr>
        <w:tc>
          <w:tcPr>
            <w:tcW w:w="8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Dilution in pro forma net tangible book value per share to new investors in this offering</w:t>
            </w:r>
          </w:p>
        </w:tc>
        <w:tc>
          <w:tcPr>
            <w:tcW w:w="1140" w:type="dxa"/>
            <w:vAlign w:val="bottom"/>
            <w:gridSpan w:val="4"/>
            <w:shd w:val="clear" w:color="auto" w:fill="CCEEFF"/>
          </w:tcPr>
          <w:p>
            <w:pPr>
              <w:jc w:val="right"/>
              <w:ind w:right="40"/>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17.27</w:t>
            </w:r>
          </w:p>
        </w:tc>
      </w:tr>
      <w:tr>
        <w:trPr>
          <w:trHeight w:val="20"/>
        </w:trPr>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Each $1.00 increase or decrease in the assumed initial public offering price of $21.00 per share, which is the midpoint of the estimated offering price range set forth on the cover page of this prospectus, would increase or decrease, as applicable, our pro forma as adjusted net tangible book value per share to new investors by $0.12, and would increase or decrease, as applicable, dilution per share to new investors purchasing shares of common stock in this offering by $0.88,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our common stock offered by us would increase or decrease, as applicable, our pro forma as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20"/>
          </w:cols>
          <w:pgMar w:left="320" w:top="407" w:right="135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adjusted net tangible book value by approximately $0.22 per share and increase or decrease, as applicable, the dilution to new investors purchasing shares of common stock in this offering by $(0.22) per share, assuming the assumed initial public offering price remains the same, and after deducting underwriting discounts and commissions and estimated offering expenses payable by us.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following table presents, as of September 30, 2020, after giving effect to an exercise in November 2020 of a warrant to purchase shares of our Series B preferred stock, the Capital Stock Conversion and the 466,389 shares of common stock to be issued upon the exercise of options to purchase shares of our common stock by certain selling stockholders in connection with this offering,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and the average price per share paid or to be paid to us at the assumed initial public offering price of $21.00 per share, which is the midpoint of the estimated offering price range set forth on the cover page of this prospectus, before deducting estimated underwriting discounts and commissions and estimated offering expenses payable by us: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880" w:type="dxa"/>
            <w:vAlign w:val="bottom"/>
            <w:gridSpan w:val="4"/>
            <w:vMerge w:val="restart"/>
          </w:tcPr>
          <w:p>
            <w:pPr>
              <w:jc w:val="right"/>
              <w:ind w:right="620"/>
              <w:spacing w:after="0"/>
              <w:rPr>
                <w:sz w:val="20"/>
                <w:szCs w:val="20"/>
                <w:color w:val="auto"/>
              </w:rPr>
            </w:pPr>
            <w:r>
              <w:rPr>
                <w:rFonts w:ascii="Arial" w:cs="Arial" w:eastAsia="Arial" w:hAnsi="Arial"/>
                <w:sz w:val="12"/>
                <w:szCs w:val="12"/>
                <w:b w:val="1"/>
                <w:bCs w:val="1"/>
                <w:color w:val="auto"/>
              </w:rPr>
              <w:t>Shares Purchased</w:t>
            </w:r>
          </w:p>
        </w:tc>
        <w:tc>
          <w:tcPr>
            <w:tcW w:w="2200" w:type="dxa"/>
            <w:vAlign w:val="bottom"/>
            <w:gridSpan w:val="4"/>
            <w:vMerge w:val="restart"/>
          </w:tcPr>
          <w:p>
            <w:pPr>
              <w:jc w:val="right"/>
              <w:ind w:right="740"/>
              <w:spacing w:after="0"/>
              <w:rPr>
                <w:sz w:val="20"/>
                <w:szCs w:val="20"/>
                <w:color w:val="auto"/>
              </w:rPr>
            </w:pPr>
            <w:r>
              <w:rPr>
                <w:rFonts w:ascii="Arial" w:cs="Arial" w:eastAsia="Arial" w:hAnsi="Arial"/>
                <w:sz w:val="12"/>
                <w:szCs w:val="12"/>
                <w:b w:val="1"/>
                <w:bCs w:val="1"/>
                <w:color w:val="auto"/>
              </w:rPr>
              <w:t>Total Consideration</w:t>
            </w:r>
          </w:p>
        </w:tc>
        <w:tc>
          <w:tcPr>
            <w:tcW w:w="520" w:type="dxa"/>
            <w:vAlign w:val="bottom"/>
            <w:gridSpan w:val="2"/>
          </w:tcPr>
          <w:p>
            <w:pPr>
              <w:jc w:val="center"/>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34"/>
        </w:trPr>
        <w:tc>
          <w:tcPr>
            <w:tcW w:w="460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22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56"/>
              <w:spacing w:after="0" w:line="134" w:lineRule="exact"/>
              <w:rPr>
                <w:sz w:val="20"/>
                <w:szCs w:val="20"/>
                <w:color w:val="auto"/>
              </w:rPr>
            </w:pPr>
            <w:r>
              <w:rPr>
                <w:rFonts w:ascii="Arial" w:cs="Arial" w:eastAsia="Arial" w:hAnsi="Arial"/>
                <w:sz w:val="12"/>
                <w:szCs w:val="12"/>
                <w:b w:val="1"/>
                <w:bCs w:val="1"/>
                <w:color w:val="auto"/>
                <w:w w:val="95"/>
              </w:rPr>
              <w:t>Price</w:t>
            </w:r>
          </w:p>
        </w:tc>
        <w:tc>
          <w:tcPr>
            <w:tcW w:w="0" w:type="dxa"/>
            <w:vAlign w:val="bottom"/>
          </w:tcPr>
          <w:p>
            <w:pPr>
              <w:spacing w:after="0"/>
              <w:rPr>
                <w:sz w:val="1"/>
                <w:szCs w:val="1"/>
                <w:color w:val="auto"/>
              </w:rPr>
            </w:pPr>
          </w:p>
        </w:tc>
      </w:tr>
      <w:tr>
        <w:trPr>
          <w:trHeight w:val="116"/>
        </w:trPr>
        <w:tc>
          <w:tcPr>
            <w:tcW w:w="46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56"/>
              <w:spacing w:after="0" w:line="117" w:lineRule="exact"/>
              <w:rPr>
                <w:sz w:val="20"/>
                <w:szCs w:val="20"/>
                <w:color w:val="auto"/>
              </w:rPr>
            </w:pPr>
            <w:r>
              <w:rPr>
                <w:rFonts w:ascii="Arial" w:cs="Arial" w:eastAsia="Arial" w:hAnsi="Arial"/>
                <w:sz w:val="12"/>
                <w:szCs w:val="12"/>
                <w:b w:val="1"/>
                <w:bCs w:val="1"/>
                <w:color w:val="auto"/>
              </w:rPr>
              <w:t>Per</w:t>
            </w:r>
          </w:p>
        </w:tc>
        <w:tc>
          <w:tcPr>
            <w:tcW w:w="0" w:type="dxa"/>
            <w:vAlign w:val="bottom"/>
          </w:tcPr>
          <w:p>
            <w:pPr>
              <w:spacing w:after="0"/>
              <w:rPr>
                <w:sz w:val="1"/>
                <w:szCs w:val="1"/>
                <w:color w:val="auto"/>
              </w:rPr>
            </w:pPr>
          </w:p>
        </w:tc>
      </w:tr>
      <w:tr>
        <w:trPr>
          <w:trHeight w:val="145"/>
        </w:trPr>
        <w:tc>
          <w:tcPr>
            <w:tcW w:w="460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2"/>
                <w:szCs w:val="1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5"/>
              </w:rPr>
              <w:t>Percent</w:t>
            </w: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Amount</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5"/>
              </w:rPr>
              <w:t>Percentage</w:t>
            </w:r>
          </w:p>
        </w:tc>
        <w:tc>
          <w:tcPr>
            <w:tcW w:w="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Share</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Existing stockholders</w:t>
            </w: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0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63,460,881</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w:t>
            </w:r>
          </w:p>
        </w:tc>
        <w:tc>
          <w:tcPr>
            <w:tcW w:w="11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8"/>
              </w:rPr>
              <w:t>$163,995,250</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58"/>
        </w:trPr>
        <w:tc>
          <w:tcPr>
            <w:tcW w:w="4600" w:type="dxa"/>
            <w:vAlign w:val="bottom"/>
          </w:tcPr>
          <w:p>
            <w:pPr>
              <w:spacing w:after="0" w:line="158" w:lineRule="exact"/>
              <w:rPr>
                <w:sz w:val="20"/>
                <w:szCs w:val="20"/>
                <w:color w:val="auto"/>
              </w:rPr>
            </w:pPr>
            <w:r>
              <w:rPr>
                <w:rFonts w:ascii="Arial" w:cs="Arial" w:eastAsia="Arial" w:hAnsi="Arial"/>
                <w:sz w:val="14"/>
                <w:szCs w:val="14"/>
                <w:color w:val="auto"/>
              </w:rPr>
              <w:t>New investors</w:t>
            </w:r>
          </w:p>
        </w:tc>
        <w:tc>
          <w:tcPr>
            <w:tcW w:w="102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9,000,000</w:t>
            </w:r>
          </w:p>
        </w:tc>
        <w:tc>
          <w:tcPr>
            <w:tcW w:w="8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12%</w:t>
            </w: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189,000,000</w:t>
            </w:r>
          </w:p>
        </w:tc>
        <w:tc>
          <w:tcPr>
            <w:tcW w:w="10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54%</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23"/>
        </w:trPr>
        <w:tc>
          <w:tcPr>
            <w:tcW w:w="4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Totals</w:t>
            </w:r>
          </w:p>
        </w:tc>
        <w:tc>
          <w:tcPr>
            <w:tcW w:w="10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w w:val="99"/>
              </w:rPr>
              <w:t>72,460,881</w:t>
            </w:r>
          </w:p>
        </w:tc>
        <w:tc>
          <w:tcPr>
            <w:tcW w:w="86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100%</w:t>
            </w:r>
          </w:p>
        </w:tc>
        <w:tc>
          <w:tcPr>
            <w:tcW w:w="1140" w:type="dxa"/>
            <w:vAlign w:val="bottom"/>
            <w:gridSpan w:val="2"/>
            <w:shd w:val="clear" w:color="auto" w:fill="CCEEFF"/>
          </w:tcPr>
          <w:p>
            <w:pPr>
              <w:jc w:val="center"/>
              <w:ind w:right="300"/>
              <w:spacing w:after="0" w:line="158" w:lineRule="exact"/>
              <w:rPr>
                <w:sz w:val="20"/>
                <w:szCs w:val="20"/>
                <w:color w:val="auto"/>
              </w:rPr>
            </w:pPr>
            <w:r>
              <w:rPr>
                <w:rFonts w:ascii="Arial" w:cs="Arial" w:eastAsia="Arial" w:hAnsi="Arial"/>
                <w:sz w:val="14"/>
                <w:szCs w:val="14"/>
                <w:color w:val="auto"/>
                <w:w w:val="98"/>
              </w:rPr>
              <w:t>$352,995,250</w:t>
            </w:r>
          </w:p>
        </w:tc>
        <w:tc>
          <w:tcPr>
            <w:tcW w:w="106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Sales by the selling stockholders in this offering will reduce the number of shares held by existing stockholders to 60,445,191, or approximately 83% of the total shares of common stock outstanding after this offering, and will increase the number of shares held by new investors to 12,015,690, or approximately 17% of the total shares of common stock outstanding after this offering.</w:t>
      </w:r>
    </w:p>
    <w:p>
      <w:pPr>
        <w:spacing w:after="0" w:line="170"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Each $1.00 increase or decrease in the assumed initial public offering price of $21.00 per share, which is the midpoint of the estimated offering price range set forth on the cover page of this prospectus, would increase or decrease, as applicable, the total consideration paid by new investors and total consideration paid by all stockholders by $9.0 million, assuming that the number of shares of our common stock offered by us, as set forth on the cover page of this prospectus, remains the same before deducting estimated underwriting discounts and commissions and estimated offering expenses payable by us. Similarly, each increase or decrease of</w:t>
      </w:r>
    </w:p>
    <w:p>
      <w:pPr>
        <w:spacing w:after="0" w:line="1" w:lineRule="exact"/>
        <w:rPr>
          <w:sz w:val="20"/>
          <w:szCs w:val="20"/>
          <w:color w:val="auto"/>
        </w:rPr>
      </w:pPr>
    </w:p>
    <w:p>
      <w:pPr>
        <w:ind w:left="1020" w:right="180"/>
        <w:spacing w:after="0"/>
        <w:rPr>
          <w:sz w:val="20"/>
          <w:szCs w:val="20"/>
          <w:color w:val="auto"/>
        </w:rPr>
      </w:pPr>
      <w:r>
        <w:rPr>
          <w:rFonts w:ascii="Arial" w:cs="Arial" w:eastAsia="Arial" w:hAnsi="Arial"/>
          <w:sz w:val="15"/>
          <w:szCs w:val="15"/>
          <w:color w:val="auto"/>
        </w:rPr>
        <w:t>1.0 million in the number of shares of our common stock offered by us would increase or decrease the total consideration paid by new investors and total consideration paid by all stockholders by $21.0 million, assuming the assumed initial public offering price remains the same before deducting the estimated underwriting discounts and commissions payable by us.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Except as otherwise indicated, the above discussion and tables assume no exercise of the underwriters’ option to purchase additional shares of our common stock from certain selling stockholders. If the underwriters’ option to purchase additional shares of our common stock were exercised in full, our existing stockholders would own approximately 81% and our new investors would own approximately 19% of the total number of shares of our common stock outstanding upon completion of this offering.</w:t>
      </w:r>
    </w:p>
    <w:p>
      <w:pPr>
        <w:spacing w:after="0" w:line="172"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The number of shares of our common stock that will be outstanding after this offering is based on 63,460,881 shares of our common stock (including the preferred stock issued in November 2020 upon the exercise of a warrant to purchase Series B preferred stock, the Capital Stock Conversion and the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20"/>
          </w:cols>
          <w:pgMar w:left="320" w:top="407" w:right="135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spacing w:after="0" w:line="245" w:lineRule="auto"/>
        <w:rPr>
          <w:sz w:val="20"/>
          <w:szCs w:val="20"/>
          <w:color w:val="auto"/>
        </w:rPr>
      </w:pPr>
      <w:r>
        <w:rPr>
          <w:rFonts w:ascii="Arial" w:cs="Arial" w:eastAsia="Arial" w:hAnsi="Arial"/>
          <w:sz w:val="15"/>
          <w:szCs w:val="15"/>
          <w:color w:val="auto"/>
        </w:rPr>
        <w:t>466,389 shares of common stock to be issued upon the exercise of options to purchase shares of our common stock by certain selling stockholders in connection with this offering) outstanding as of September 30, 2020, and excludes:</w:t>
      </w:r>
    </w:p>
    <w:p>
      <w:pPr>
        <w:spacing w:after="0" w:line="87" w:lineRule="exact"/>
        <w:rPr>
          <w:sz w:val="20"/>
          <w:szCs w:val="20"/>
          <w:color w:val="auto"/>
        </w:rPr>
      </w:pPr>
    </w:p>
    <w:p>
      <w:pPr>
        <w:ind w:left="1660" w:right="560" w:hanging="183"/>
        <w:spacing w:after="0" w:line="245"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18,889,653 shares of our common stock issuable upon the exercise of options to purchase shares of our common stock outstanding as of September 30, 2020, with a weighted-average exercise price of $3.17 per share;</w:t>
      </w:r>
    </w:p>
    <w:p>
      <w:pPr>
        <w:spacing w:after="0" w:line="87" w:lineRule="exact"/>
        <w:rPr>
          <w:rFonts w:ascii="Arial" w:cs="Arial" w:eastAsia="Arial" w:hAnsi="Arial"/>
          <w:sz w:val="15"/>
          <w:szCs w:val="15"/>
          <w:color w:val="auto"/>
        </w:rPr>
      </w:pPr>
    </w:p>
    <w:p>
      <w:pPr>
        <w:ind w:left="1660" w:right="360" w:hanging="183"/>
        <w:spacing w:after="0" w:line="245"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319,669 shares of our common stock issuable upon the exercise of warrants outstanding as of September 30, 2020, with a weighted-average exercise price of $1.77 per share;</w:t>
      </w:r>
    </w:p>
    <w:p>
      <w:pPr>
        <w:spacing w:after="0" w:line="8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1,540,938 shares of common stock issuable upon the exercise of options to purchase shares of our common stock issued after September 30, 2020, with a weighted-average exercise price of $15.16 per share;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10,765,271 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020" w:hanging="351"/>
        <w:spacing w:after="0" w:line="245" w:lineRule="auto"/>
        <w:tabs>
          <w:tab w:leader="none" w:pos="20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5,520,000 shares of our common stock reserved for future issuance under our 2020 Plan, which will become effective prior to the completion of this offering;</w:t>
      </w:r>
    </w:p>
    <w:p>
      <w:pPr>
        <w:spacing w:after="0" w:line="87" w:lineRule="exact"/>
        <w:rPr>
          <w:rFonts w:ascii="Arial" w:cs="Arial" w:eastAsia="Arial" w:hAnsi="Arial"/>
          <w:sz w:val="15"/>
          <w:szCs w:val="15"/>
          <w:color w:val="auto"/>
        </w:rPr>
      </w:pPr>
    </w:p>
    <w:p>
      <w:pPr>
        <w:ind w:left="2020" w:right="360" w:hanging="351"/>
        <w:spacing w:after="0" w:line="245" w:lineRule="auto"/>
        <w:tabs>
          <w:tab w:leader="none" w:pos="20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3,865,271 shares of our common stock reserved for future issuance under our 2012 Plan, provided that we will cease granting awards under our 2012 Plan upon the effectiveness of the 2020 Plan; and</w:t>
      </w:r>
    </w:p>
    <w:p>
      <w:pPr>
        <w:spacing w:after="0" w:line="87" w:lineRule="exact"/>
        <w:rPr>
          <w:rFonts w:ascii="Arial" w:cs="Arial" w:eastAsia="Arial" w:hAnsi="Arial"/>
          <w:sz w:val="15"/>
          <w:szCs w:val="15"/>
          <w:color w:val="auto"/>
        </w:rPr>
      </w:pPr>
    </w:p>
    <w:p>
      <w:pPr>
        <w:ind w:left="2020" w:right="120" w:hanging="351"/>
        <w:spacing w:after="0" w:line="245" w:lineRule="auto"/>
        <w:tabs>
          <w:tab w:leader="none" w:pos="20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1,380,000 shares of our common stock reserved for future issuance under our ESPP, which will become effective prior to the completion of this offering.</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Each of our 2020 Plan and our ESPP provides for annual automatic increases in the number of shares reserved thereunder, and our 2020 Plan also provides for increases to the number of shares that may be granted thereunder based on shares under our 2012 Plan that expire, are forfeited, or otherwise repurchased by us, as more fully described in the section titled “Executive Compensation— Employee Benefit and Stock Plans.”</w:t>
      </w:r>
    </w:p>
    <w:p>
      <w:pPr>
        <w:spacing w:after="0" w:line="172"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To the extent that any outstanding options to purchase our common stock are exercised, or new awards are granted under our equity compensation plans, there will be further dilution to investors participating in this offering.</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160"/>
          </w:cols>
          <w:pgMar w:left="320" w:top="407" w:right="141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SELECTED CONSOLIDATED FINANCIAL AND OTHER DATA</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following selected consolidated statements of operations data for the years ended December 31, 2017, 2018 and 2019 and the consolidated balance sheet data as of December 31, 2018 and 2019 have been derived from our audited consolidated financial statements included elsewhere in this prospectus. The selected consolidated statements of operations data for the nine months ended September 30, 2019 and 2020 and the consolidated balance sheet data as of September 30, 2020 have been derived from our unaudited interim consolidated financial statements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the results that may be expected in the future. You should read the following selected consolidated financial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33"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126"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43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8"/>
          </w:tcPr>
          <w:p>
            <w:pPr>
              <w:jc w:val="center"/>
              <w:ind w:right="400"/>
              <w:spacing w:after="0"/>
              <w:rPr>
                <w:sz w:val="20"/>
                <w:szCs w:val="20"/>
                <w:color w:val="auto"/>
              </w:rPr>
            </w:pPr>
            <w:r>
              <w:rPr>
                <w:rFonts w:ascii="Arial" w:cs="Arial" w:eastAsia="Arial" w:hAnsi="Arial"/>
                <w:sz w:val="12"/>
                <w:szCs w:val="12"/>
                <w:b w:val="1"/>
                <w:bCs w:val="1"/>
                <w:color w:val="auto"/>
                <w:w w:val="99"/>
              </w:rPr>
              <w:t>Year Ended December 31,</w:t>
            </w:r>
          </w:p>
        </w:tc>
        <w:tc>
          <w:tcPr>
            <w:tcW w:w="60" w:type="dxa"/>
            <w:vAlign w:val="bottom"/>
          </w:tcPr>
          <w:p>
            <w:pPr>
              <w:spacing w:after="0"/>
              <w:rPr>
                <w:sz w:val="12"/>
                <w:szCs w:val="12"/>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4300" w:type="dxa"/>
            <w:vAlign w:val="bottom"/>
            <w:tcBorders>
              <w:bottom w:val="single" w:sz="8" w:color="CCEEFF"/>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2017</w:t>
            </w:r>
          </w:p>
        </w:tc>
        <w:tc>
          <w:tcPr>
            <w:tcW w:w="18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2018</w:t>
            </w:r>
          </w:p>
        </w:tc>
        <w:tc>
          <w:tcPr>
            <w:tcW w:w="3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0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Revenue:</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00" w:type="dxa"/>
            <w:vAlign w:val="bottom"/>
          </w:tcPr>
          <w:p>
            <w:pPr>
              <w:ind w:left="240"/>
              <w:spacing w:after="0" w:line="136" w:lineRule="exact"/>
              <w:rPr>
                <w:sz w:val="20"/>
                <w:szCs w:val="20"/>
                <w:color w:val="auto"/>
              </w:rPr>
            </w:pPr>
            <w:r>
              <w:rPr>
                <w:rFonts w:ascii="Arial" w:cs="Arial" w:eastAsia="Arial" w:hAnsi="Arial"/>
                <w:sz w:val="12"/>
                <w:szCs w:val="12"/>
                <w:color w:val="auto"/>
              </w:rPr>
              <w:t>Revenue from fees, net</w:t>
            </w:r>
          </w:p>
        </w:tc>
        <w:tc>
          <w:tcPr>
            <w:tcW w:w="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51,161</w:t>
            </w:r>
          </w:p>
        </w:tc>
        <w:tc>
          <w:tcPr>
            <w:tcW w:w="2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88,482</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159,847</w:t>
            </w:r>
          </w:p>
        </w:tc>
        <w:tc>
          <w:tcPr>
            <w:tcW w:w="3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98,699</w:t>
            </w:r>
          </w:p>
        </w:tc>
        <w:tc>
          <w:tcPr>
            <w:tcW w:w="2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144,179</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Interest income and fair value adjustments, net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6,128</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10,831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4,342</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2,918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2,527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00" w:type="dxa"/>
            <w:vAlign w:val="bottom"/>
          </w:tcPr>
          <w:p>
            <w:pPr>
              <w:ind w:left="480"/>
              <w:spacing w:after="0"/>
              <w:rPr>
                <w:sz w:val="20"/>
                <w:szCs w:val="20"/>
                <w:color w:val="auto"/>
              </w:rPr>
            </w:pPr>
            <w:r>
              <w:rPr>
                <w:rFonts w:ascii="Arial" w:cs="Arial" w:eastAsia="Arial" w:hAnsi="Arial"/>
                <w:sz w:val="12"/>
                <w:szCs w:val="12"/>
                <w:color w:val="auto"/>
              </w:rPr>
              <w:t>Total revenue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57,289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99,313</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164,189</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101,617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146,706</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Operating expenses:</w:t>
            </w: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tcPr>
          <w:p>
            <w:pPr>
              <w:ind w:left="240"/>
              <w:spacing w:after="0" w:line="136" w:lineRule="exact"/>
              <w:rPr>
                <w:sz w:val="20"/>
                <w:szCs w:val="20"/>
                <w:color w:val="auto"/>
              </w:rPr>
            </w:pPr>
            <w:r>
              <w:rPr>
                <w:rFonts w:ascii="Arial" w:cs="Arial" w:eastAsia="Arial" w:hAnsi="Arial"/>
                <w:sz w:val="10"/>
                <w:szCs w:val="10"/>
                <w:color w:val="auto"/>
              </w:rPr>
              <w:t>Sales and marketing</w:t>
            </w:r>
            <w:r>
              <w:rPr>
                <w:rFonts w:ascii="Arial" w:cs="Arial" w:eastAsia="Arial" w:hAnsi="Arial"/>
                <w:sz w:val="15"/>
                <w:szCs w:val="15"/>
                <w:color w:val="auto"/>
                <w:vertAlign w:val="superscript"/>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33,838</w:t>
            </w:r>
          </w:p>
        </w:tc>
        <w:tc>
          <w:tcPr>
            <w:tcW w:w="20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63,633</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93,175</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61,236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65,113</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Customer operations</w:t>
            </w:r>
            <w:r>
              <w:rPr>
                <w:rFonts w:ascii="Arial" w:cs="Arial" w:eastAsia="Arial" w:hAnsi="Arial"/>
                <w:sz w:val="15"/>
                <w:szCs w:val="15"/>
                <w:color w:val="auto"/>
                <w:vertAlign w:val="superscript"/>
              </w:rPr>
              <w:t>(1)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10,232</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15,416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24,947</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16,593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24,792</w:t>
            </w:r>
          </w:p>
        </w:tc>
        <w:tc>
          <w:tcPr>
            <w:tcW w:w="0" w:type="dxa"/>
            <w:vAlign w:val="bottom"/>
          </w:tcPr>
          <w:p>
            <w:pPr>
              <w:spacing w:after="0"/>
              <w:rPr>
                <w:sz w:val="1"/>
                <w:szCs w:val="1"/>
                <w:color w:val="auto"/>
              </w:rPr>
            </w:pPr>
          </w:p>
        </w:tc>
      </w:tr>
      <w:tr>
        <w:trPr>
          <w:trHeight w:val="135"/>
        </w:trPr>
        <w:tc>
          <w:tcPr>
            <w:tcW w:w="4300" w:type="dxa"/>
            <w:vAlign w:val="bottom"/>
          </w:tcPr>
          <w:p>
            <w:pPr>
              <w:ind w:left="240"/>
              <w:spacing w:after="0" w:line="136" w:lineRule="exact"/>
              <w:rPr>
                <w:sz w:val="20"/>
                <w:szCs w:val="20"/>
                <w:color w:val="auto"/>
              </w:rPr>
            </w:pPr>
            <w:r>
              <w:rPr>
                <w:rFonts w:ascii="Arial" w:cs="Arial" w:eastAsia="Arial" w:hAnsi="Arial"/>
                <w:sz w:val="10"/>
                <w:szCs w:val="10"/>
                <w:color w:val="auto"/>
              </w:rPr>
              <w:t>Engineering and product development</w:t>
            </w:r>
            <w:r>
              <w:rPr>
                <w:rFonts w:ascii="Arial" w:cs="Arial" w:eastAsia="Arial" w:hAnsi="Arial"/>
                <w:sz w:val="15"/>
                <w:szCs w:val="15"/>
                <w:color w:val="auto"/>
                <w:vertAlign w:val="superscript"/>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5,324</w:t>
            </w:r>
          </w:p>
        </w:tc>
        <w:tc>
          <w:tcPr>
            <w:tcW w:w="20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8,415</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18,777</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11,480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24,651</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General, administrative, and other</w:t>
            </w:r>
            <w:r>
              <w:rPr>
                <w:rFonts w:ascii="Arial" w:cs="Arial" w:eastAsia="Arial" w:hAnsi="Arial"/>
                <w:sz w:val="15"/>
                <w:szCs w:val="15"/>
                <w:color w:val="auto"/>
                <w:vertAlign w:val="superscript"/>
              </w:rPr>
              <w:t>(1)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15,431</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19,820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31,865</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20,399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30,778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30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64,825</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107,284</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168,764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109,708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145,334</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(Loss) income from operations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(7,536)</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(7,971)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(4,575)</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(8,091)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135"/>
        </w:trPr>
        <w:tc>
          <w:tcPr>
            <w:tcW w:w="4300" w:type="dxa"/>
            <w:vAlign w:val="bottom"/>
          </w:tcPr>
          <w:p>
            <w:pPr>
              <w:spacing w:after="0" w:line="136" w:lineRule="exact"/>
              <w:rPr>
                <w:sz w:val="20"/>
                <w:szCs w:val="20"/>
                <w:color w:val="auto"/>
              </w:rPr>
            </w:pPr>
            <w:r>
              <w:rPr>
                <w:rFonts w:ascii="Arial" w:cs="Arial" w:eastAsia="Arial" w:hAnsi="Arial"/>
                <w:sz w:val="12"/>
                <w:szCs w:val="12"/>
                <w:color w:val="auto"/>
              </w:rPr>
              <w:t>Other income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330</w:t>
            </w:r>
          </w:p>
        </w:tc>
        <w:tc>
          <w:tcPr>
            <w:tcW w:w="20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487</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1,036</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832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5,497</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Expense on warrants and convertible notes, net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(1,649)</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(3,734)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(1,407)</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(2,626)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(2,317)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300" w:type="dxa"/>
            <w:vAlign w:val="bottom"/>
          </w:tcPr>
          <w:p>
            <w:pPr>
              <w:spacing w:after="0"/>
              <w:rPr>
                <w:sz w:val="20"/>
                <w:szCs w:val="20"/>
                <w:color w:val="auto"/>
              </w:rPr>
            </w:pPr>
            <w:r>
              <w:rPr>
                <w:rFonts w:ascii="Arial" w:cs="Arial" w:eastAsia="Arial" w:hAnsi="Arial"/>
                <w:sz w:val="12"/>
                <w:szCs w:val="12"/>
                <w:color w:val="auto"/>
              </w:rPr>
              <w:t>Net (loss) income before income taxes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(8,855)</w:t>
            </w:r>
          </w:p>
        </w:tc>
        <w:tc>
          <w:tcPr>
            <w:tcW w:w="20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(11,218)</w:t>
            </w:r>
          </w:p>
        </w:tc>
        <w:tc>
          <w:tcPr>
            <w:tcW w:w="8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(4,946)</w:t>
            </w: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(9,885)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4,552</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Provision for income taxes</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ind w:left="420"/>
              <w:spacing w:after="0" w:line="136"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74</w:t>
            </w:r>
          </w:p>
        </w:tc>
        <w:tc>
          <w:tcPr>
            <w:tcW w:w="3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ind w:left="4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00" w:type="dxa"/>
            <w:vAlign w:val="bottom"/>
          </w:tcPr>
          <w:p>
            <w:pPr>
              <w:spacing w:after="0"/>
              <w:rPr>
                <w:sz w:val="20"/>
                <w:szCs w:val="20"/>
                <w:color w:val="auto"/>
              </w:rPr>
            </w:pPr>
            <w:r>
              <w:rPr>
                <w:rFonts w:ascii="Arial" w:cs="Arial" w:eastAsia="Arial" w:hAnsi="Arial"/>
                <w:sz w:val="12"/>
                <w:szCs w:val="12"/>
                <w:color w:val="auto"/>
              </w:rPr>
              <w:t>Net (loss) income before attribution to noncontrolling interests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(8,861)</w:t>
            </w:r>
          </w:p>
        </w:tc>
        <w:tc>
          <w:tcPr>
            <w:tcW w:w="20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(11,218)</w:t>
            </w:r>
          </w:p>
        </w:tc>
        <w:tc>
          <w:tcPr>
            <w:tcW w:w="8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(5,020)</w:t>
            </w: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(9,885)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4,552</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 income attributable to noncontrolling interests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(1,144)</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1,101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(4,554)</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(3,368)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300" w:type="dxa"/>
            <w:vAlign w:val="bottom"/>
          </w:tcPr>
          <w:p>
            <w:pPr>
              <w:spacing w:after="0"/>
              <w:rPr>
                <w:sz w:val="20"/>
                <w:szCs w:val="20"/>
                <w:color w:val="auto"/>
              </w:rPr>
            </w:pPr>
            <w:r>
              <w:rPr>
                <w:rFonts w:ascii="Arial" w:cs="Arial" w:eastAsia="Arial" w:hAnsi="Arial"/>
                <w:sz w:val="12"/>
                <w:szCs w:val="12"/>
                <w:color w:val="auto"/>
              </w:rPr>
              <w:t>Net (loss) income attributable to Upstart Holdings, Inc. common stockholders</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(7,717)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(12,319)</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(466)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(6,517)</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4,956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3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Net (loss) income per common share attributable to Upstart Holdings, Inc.</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common stockholders, basic and diluted</w:t>
            </w:r>
            <w:r>
              <w:rPr>
                <w:rFonts w:ascii="Arial" w:cs="Arial" w:eastAsia="Arial" w:hAnsi="Arial"/>
                <w:sz w:val="15"/>
                <w:szCs w:val="15"/>
                <w:color w:val="auto"/>
                <w:vertAlign w:val="superscript"/>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(0.56)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(0.87)</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(0.03)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Weighted-average number of shares outstanding used in computing net loss</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00" w:type="dxa"/>
            <w:vAlign w:val="bottom"/>
          </w:tcPr>
          <w:p>
            <w:pPr>
              <w:ind w:left="120"/>
              <w:spacing w:after="0" w:line="129" w:lineRule="exact"/>
              <w:rPr>
                <w:sz w:val="20"/>
                <w:szCs w:val="20"/>
                <w:color w:val="auto"/>
              </w:rPr>
            </w:pPr>
            <w:r>
              <w:rPr>
                <w:rFonts w:ascii="Arial" w:cs="Arial" w:eastAsia="Arial" w:hAnsi="Arial"/>
                <w:sz w:val="12"/>
                <w:szCs w:val="12"/>
                <w:color w:val="auto"/>
              </w:rPr>
              <w:t>per share attributable to Upstart Holdings, Inc. common stockholders, basic</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tcPr>
          <w:p>
            <w:pPr>
              <w:ind w:left="120"/>
              <w:spacing w:after="0" w:line="138" w:lineRule="exact"/>
              <w:rPr>
                <w:sz w:val="20"/>
                <w:szCs w:val="20"/>
                <w:color w:val="auto"/>
              </w:rPr>
            </w:pPr>
            <w:r>
              <w:rPr>
                <w:rFonts w:ascii="Arial" w:cs="Arial" w:eastAsia="Arial" w:hAnsi="Arial"/>
                <w:sz w:val="10"/>
                <w:szCs w:val="10"/>
                <w:color w:val="auto"/>
              </w:rPr>
              <w:t>and diluted</w:t>
            </w:r>
            <w:r>
              <w:rPr>
                <w:rFonts w:ascii="Arial" w:cs="Arial" w:eastAsia="Arial" w:hAnsi="Arial"/>
                <w:sz w:val="15"/>
                <w:szCs w:val="15"/>
                <w:color w:val="auto"/>
                <w:vertAlign w:val="superscript"/>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w w:val="96"/>
              </w:rPr>
              <w:t>13,873,810</w:t>
            </w:r>
          </w:p>
        </w:tc>
        <w:tc>
          <w:tcPr>
            <w:tcW w:w="20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w w:val="96"/>
              </w:rPr>
              <w:t>14,128,183</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14,335,611</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w w:val="99"/>
              </w:rPr>
              <w:t>14,313,262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14,663,623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Pro forma net income per share attributable to Upstart Holdings, Inc. common</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stockholders, basic</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0.06</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Weighted-average number of shares used to compute pro forma net income</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00" w:type="dxa"/>
            <w:vAlign w:val="bottom"/>
          </w:tcPr>
          <w:p>
            <w:pPr>
              <w:ind w:left="120"/>
              <w:spacing w:after="0" w:line="132" w:lineRule="exact"/>
              <w:rPr>
                <w:sz w:val="20"/>
                <w:szCs w:val="20"/>
                <w:color w:val="auto"/>
              </w:rPr>
            </w:pPr>
            <w:r>
              <w:rPr>
                <w:rFonts w:ascii="Arial" w:cs="Arial" w:eastAsia="Arial" w:hAnsi="Arial"/>
                <w:sz w:val="12"/>
                <w:szCs w:val="12"/>
                <w:color w:val="auto"/>
              </w:rPr>
              <w:t>per share attributable to Upstart Holdings, Inc. common stockholders, basic</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62,249,893</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62,613,408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3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 forma net income per share attributable to Upstart Holdings, Inc. common</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stockholders, diluted</w:t>
            </w:r>
            <w:r>
              <w:rPr>
                <w:rFonts w:ascii="Arial" w:cs="Arial" w:eastAsia="Arial" w:hAnsi="Arial"/>
                <w:sz w:val="15"/>
                <w:szCs w:val="15"/>
                <w:color w:val="auto"/>
                <w:vertAlign w:val="superscript"/>
              </w:rPr>
              <w:t>(2)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0.05</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Weighted-average number of shares used to compute pro forma net income</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00" w:type="dxa"/>
            <w:vAlign w:val="bottom"/>
          </w:tcPr>
          <w:p>
            <w:pPr>
              <w:ind w:left="120"/>
              <w:spacing w:after="0" w:line="129" w:lineRule="exact"/>
              <w:rPr>
                <w:sz w:val="20"/>
                <w:szCs w:val="20"/>
                <w:color w:val="auto"/>
              </w:rPr>
            </w:pPr>
            <w:r>
              <w:rPr>
                <w:rFonts w:ascii="Arial" w:cs="Arial" w:eastAsia="Arial" w:hAnsi="Arial"/>
                <w:sz w:val="12"/>
                <w:szCs w:val="12"/>
                <w:color w:val="auto"/>
              </w:rPr>
              <w:t>per share attributable to Upstart Holdings, Inc. common stockholders,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tcPr>
          <w:p>
            <w:pPr>
              <w:ind w:left="120"/>
              <w:spacing w:after="0" w:line="138" w:lineRule="exact"/>
              <w:rPr>
                <w:sz w:val="20"/>
                <w:szCs w:val="20"/>
                <w:color w:val="auto"/>
              </w:rPr>
            </w:pPr>
            <w:r>
              <w:rPr>
                <w:rFonts w:ascii="Arial" w:cs="Arial" w:eastAsia="Arial" w:hAnsi="Arial"/>
                <w:sz w:val="10"/>
                <w:szCs w:val="10"/>
                <w:color w:val="auto"/>
              </w:rPr>
              <w:t>diluted</w:t>
            </w:r>
            <w:r>
              <w:rPr>
                <w:rFonts w:ascii="Arial" w:cs="Arial" w:eastAsia="Arial" w:hAnsi="Arial"/>
                <w:sz w:val="15"/>
                <w:szCs w:val="15"/>
                <w:color w:val="auto"/>
                <w:vertAlign w:val="superscript"/>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71,497,924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71,733,580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20"/>
          </w:cols>
          <w:pgMar w:left="320" w:top="407" w:right="135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480" w:hanging="453"/>
        <w:spacing w:after="0"/>
        <w:tabs>
          <w:tab w:leader="none" w:pos="14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tbl>
      <w:tblPr>
        <w:tblLayout w:type="fixed"/>
        <w:tblInd w:w="1480" w:type="dxa"/>
        <w:tblCellMar>
          <w:top w:w="0" w:type="dxa"/>
          <w:left w:w="0" w:type="dxa"/>
          <w:bottom w:w="0" w:type="dxa"/>
          <w:right w:w="0" w:type="dxa"/>
        </w:tblCellMar>
      </w:tblPr>
      <w:tr>
        <w:trPr>
          <w:trHeight w:val="121"/>
        </w:trPr>
        <w:tc>
          <w:tcPr>
            <w:tcW w:w="39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5"/>
          </w:tcPr>
          <w:p>
            <w:pPr>
              <w:jc w:val="center"/>
              <w:ind w:right="100"/>
              <w:spacing w:after="0" w:line="121" w:lineRule="exact"/>
              <w:rPr>
                <w:sz w:val="20"/>
                <w:szCs w:val="20"/>
                <w:color w:val="auto"/>
              </w:rPr>
            </w:pPr>
            <w:r>
              <w:rPr>
                <w:rFonts w:ascii="Arial" w:cs="Arial" w:eastAsia="Arial" w:hAnsi="Arial"/>
                <w:sz w:val="12"/>
                <w:szCs w:val="12"/>
                <w:b w:val="1"/>
                <w:bCs w:val="1"/>
                <w:color w:val="auto"/>
                <w:w w:val="99"/>
              </w:rPr>
              <w:t>Nine Months</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5"/>
          </w:tcPr>
          <w:p>
            <w:pPr>
              <w:jc w:val="center"/>
              <w:ind w:right="120"/>
              <w:spacing w:after="0" w:line="136"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45"/>
        </w:trPr>
        <w:tc>
          <w:tcPr>
            <w:tcW w:w="39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9"/>
          </w:tcPr>
          <w:p>
            <w:pPr>
              <w:jc w:val="right"/>
              <w:ind w:right="30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94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3940" w:type="dxa"/>
            <w:vAlign w:val="bottom"/>
            <w:tcBorders>
              <w:bottom w:val="single" w:sz="8" w:color="CCEEFF"/>
            </w:tcBorders>
            <w:vMerge w:val="continue"/>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2017</w:t>
            </w:r>
          </w:p>
        </w:tc>
        <w:tc>
          <w:tcPr>
            <w:tcW w:w="1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2018</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2019</w:t>
            </w:r>
          </w:p>
        </w:tc>
        <w:tc>
          <w:tcPr>
            <w:tcW w:w="20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19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32</w:t>
            </w:r>
          </w:p>
        </w:tc>
        <w:tc>
          <w:tcPr>
            <w:tcW w:w="160" w:type="dxa"/>
            <w:vAlign w:val="bottom"/>
            <w:tcBorders>
              <w:right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183</w:t>
            </w:r>
          </w:p>
        </w:tc>
        <w:tc>
          <w:tcPr>
            <w:tcW w:w="18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157</w:t>
            </w:r>
          </w:p>
        </w:tc>
        <w:tc>
          <w:tcPr>
            <w:tcW w:w="520" w:type="dxa"/>
            <w:vAlign w:val="bottom"/>
            <w:gridSpan w:val="3"/>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35"/>
        </w:trPr>
        <w:tc>
          <w:tcPr>
            <w:tcW w:w="394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124</w:t>
            </w:r>
          </w:p>
        </w:tc>
        <w:tc>
          <w:tcPr>
            <w:tcW w:w="160" w:type="dxa"/>
            <w:vAlign w:val="bottom"/>
          </w:tcPr>
          <w:p>
            <w:pPr>
              <w:spacing w:after="0"/>
              <w:rPr>
                <w:sz w:val="11"/>
                <w:szCs w:val="11"/>
                <w:color w:val="auto"/>
              </w:rPr>
            </w:pPr>
          </w:p>
        </w:tc>
        <w:tc>
          <w:tcPr>
            <w:tcW w:w="4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433</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252</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35"/>
        </w:trPr>
        <w:tc>
          <w:tcPr>
            <w:tcW w:w="3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574</w:t>
            </w: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753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1,803</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932</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3,181</w:t>
            </w:r>
          </w:p>
        </w:tc>
        <w:tc>
          <w:tcPr>
            <w:tcW w:w="0" w:type="dxa"/>
            <w:vAlign w:val="bottom"/>
          </w:tcPr>
          <w:p>
            <w:pPr>
              <w:spacing w:after="0"/>
              <w:rPr>
                <w:sz w:val="1"/>
                <w:szCs w:val="1"/>
                <w:color w:val="auto"/>
              </w:rPr>
            </w:pPr>
          </w:p>
        </w:tc>
      </w:tr>
      <w:tr>
        <w:trPr>
          <w:trHeight w:val="135"/>
        </w:trPr>
        <w:tc>
          <w:tcPr>
            <w:tcW w:w="394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560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931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1,292</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863</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2,160</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1,290</w:t>
            </w: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2,045</w:t>
            </w:r>
          </w:p>
        </w:tc>
        <w:tc>
          <w:tcPr>
            <w:tcW w:w="1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3,806</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w w:val="89"/>
              </w:rPr>
              <w:t>$</w:t>
            </w:r>
          </w:p>
        </w:tc>
        <w:tc>
          <w:tcPr>
            <w:tcW w:w="4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w w:val="99"/>
              </w:rPr>
              <w:t>2,204</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7,102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480" w:right="60" w:hanging="453"/>
        <w:spacing w:after="0" w:line="241" w:lineRule="auto"/>
        <w:tabs>
          <w:tab w:leader="none" w:pos="1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See Note 16 to our consolidated financial statements for an explanation of the calculations of our basic and diluted net loss per share attributable to Upstart Holdings, Inc. common stockholders, pro forma net income per share attributable to Upstart Holdings, Inc. common stockholders and the weighted-average number of shares used in the computation of the per share amounts.</w:t>
      </w: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Consolidated Balance Sheet Data</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vMerge w:val="restart"/>
          </w:tcPr>
          <w:p>
            <w:pPr>
              <w:jc w:val="right"/>
              <w:ind w:right="660"/>
              <w:spacing w:after="0"/>
              <w:rPr>
                <w:sz w:val="20"/>
                <w:szCs w:val="20"/>
                <w:color w:val="auto"/>
              </w:rPr>
            </w:pPr>
            <w:r>
              <w:rPr>
                <w:rFonts w:ascii="Arial" w:cs="Arial" w:eastAsia="Arial" w:hAnsi="Arial"/>
                <w:sz w:val="12"/>
                <w:szCs w:val="12"/>
                <w:b w:val="1"/>
                <w:bCs w:val="1"/>
                <w:color w:val="auto"/>
              </w:rPr>
              <w:t>As of December 31,</w:t>
            </w:r>
          </w:p>
        </w:tc>
        <w:tc>
          <w:tcPr>
            <w:tcW w:w="18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66"/>
        </w:trPr>
        <w:tc>
          <w:tcPr>
            <w:tcW w:w="5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5"/>
            <w:vMerge w:val="continue"/>
          </w:tcPr>
          <w:p>
            <w:pPr>
              <w:spacing w:after="0"/>
              <w:rPr>
                <w:sz w:val="5"/>
                <w:szCs w:val="5"/>
                <w:color w:val="auto"/>
              </w:rPr>
            </w:pPr>
          </w:p>
        </w:tc>
        <w:tc>
          <w:tcPr>
            <w:tcW w:w="920" w:type="dxa"/>
            <w:vAlign w:val="bottom"/>
            <w:gridSpan w:val="3"/>
            <w:vMerge w:val="restart"/>
          </w:tcPr>
          <w:p>
            <w:pPr>
              <w:spacing w:after="0" w:line="136"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49"/>
        </w:trPr>
        <w:tc>
          <w:tcPr>
            <w:tcW w:w="5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52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10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73,038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44,389</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line="158" w:lineRule="exact"/>
              <w:rPr>
                <w:sz w:val="20"/>
                <w:szCs w:val="20"/>
                <w:color w:val="auto"/>
              </w:rPr>
            </w:pPr>
            <w:r>
              <w:rPr>
                <w:rFonts w:ascii="Arial" w:cs="Arial" w:eastAsia="Arial" w:hAnsi="Arial"/>
                <w:sz w:val="14"/>
                <w:szCs w:val="14"/>
                <w:color w:val="auto"/>
              </w:rPr>
              <w:t>Loans (at fair value)</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502,666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232,305</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122,708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 (at fair value)</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8,314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22,053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645,908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393,462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309,804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Borrowings</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74,983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118,609</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100,588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4"/>
                <w:szCs w:val="14"/>
                <w:color w:val="auto"/>
              </w:rPr>
              <w:t>Payable to securitization note holders and residual certificate holders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373,068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96,107</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
        </w:trPr>
        <w:tc>
          <w:tcPr>
            <w:tcW w:w="5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liabilities</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542,655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292,604</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194,591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00" w:type="dxa"/>
            <w:vAlign w:val="bottom"/>
          </w:tcPr>
          <w:p>
            <w:pPr>
              <w:spacing w:after="0"/>
              <w:rPr>
                <w:sz w:val="20"/>
                <w:szCs w:val="20"/>
                <w:color w:val="auto"/>
              </w:rPr>
            </w:pPr>
            <w:r>
              <w:rPr>
                <w:rFonts w:ascii="Arial" w:cs="Arial" w:eastAsia="Arial" w:hAnsi="Arial"/>
                <w:sz w:val="14"/>
                <w:szCs w:val="14"/>
                <w:color w:val="auto"/>
              </w:rPr>
              <w:t>Convertible preferred stock</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157,923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162,546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deficit</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9"/>
              </w:rPr>
              <w:t>(75,078)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9"/>
              </w:rPr>
              <w:t>(75,205)</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(70,249)</w:t>
            </w:r>
          </w:p>
        </w:tc>
        <w:tc>
          <w:tcPr>
            <w:tcW w:w="0" w:type="dxa"/>
            <w:vAlign w:val="bottom"/>
          </w:tcPr>
          <w:p>
            <w:pPr>
              <w:spacing w:after="0"/>
              <w:rPr>
                <w:sz w:val="1"/>
                <w:szCs w:val="1"/>
                <w:color w:val="auto"/>
              </w:rPr>
            </w:pPr>
          </w:p>
        </w:tc>
      </w:tr>
      <w:tr>
        <w:trPr>
          <w:trHeight w:val="158"/>
        </w:trPr>
        <w:tc>
          <w:tcPr>
            <w:tcW w:w="5200" w:type="dxa"/>
            <w:vAlign w:val="bottom"/>
          </w:tcPr>
          <w:p>
            <w:pPr>
              <w:ind w:left="280"/>
              <w:spacing w:after="0" w:line="158" w:lineRule="exact"/>
              <w:rPr>
                <w:sz w:val="20"/>
                <w:szCs w:val="20"/>
                <w:color w:val="auto"/>
              </w:rPr>
            </w:pPr>
            <w:r>
              <w:rPr>
                <w:rFonts w:ascii="Arial" w:cs="Arial" w:eastAsia="Arial" w:hAnsi="Arial"/>
                <w:sz w:val="14"/>
                <w:szCs w:val="14"/>
                <w:color w:val="auto"/>
              </w:rPr>
              <w:t>Total Upstart Holdings, Inc. stockholders’ deficit</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9"/>
              </w:rPr>
              <w:t>(66,671)</w:t>
            </w: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9"/>
              </w:rPr>
              <w:t>(62,714)</w:t>
            </w:r>
          </w:p>
        </w:tc>
        <w:tc>
          <w:tcPr>
            <w:tcW w:w="1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(47,333)</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Noncontrolling interests</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1,026</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5200" w:type="dxa"/>
            <w:vAlign w:val="bottom"/>
          </w:tcPr>
          <w:p>
            <w:pPr>
              <w:ind w:left="280"/>
              <w:spacing w:after="0"/>
              <w:rPr>
                <w:sz w:val="20"/>
                <w:szCs w:val="20"/>
                <w:color w:val="auto"/>
              </w:rPr>
            </w:pPr>
            <w:r>
              <w:rPr>
                <w:rFonts w:ascii="Arial" w:cs="Arial" w:eastAsia="Arial" w:hAnsi="Arial"/>
                <w:sz w:val="14"/>
                <w:szCs w:val="14"/>
                <w:color w:val="auto"/>
              </w:rPr>
              <w:t>Total stockholders’ deficit</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(54,670)</w:t>
            </w: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(61,688)</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(47,333)</w:t>
            </w:r>
          </w:p>
        </w:tc>
        <w:tc>
          <w:tcPr>
            <w:tcW w:w="0" w:type="dxa"/>
            <w:vAlign w:val="bottom"/>
          </w:tcPr>
          <w:p>
            <w:pPr>
              <w:spacing w:after="0"/>
              <w:rPr>
                <w:sz w:val="1"/>
                <w:szCs w:val="1"/>
                <w:color w:val="auto"/>
              </w:rPr>
            </w:pPr>
          </w:p>
        </w:tc>
      </w:tr>
      <w:tr>
        <w:trPr>
          <w:trHeight w:val="50"/>
        </w:trPr>
        <w:tc>
          <w:tcPr>
            <w:tcW w:w="5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645,908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393,462</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309,804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Key Operating Metrics</w:t>
      </w:r>
    </w:p>
    <w:p>
      <w:pPr>
        <w:spacing w:after="0" w:line="10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ind w:left="12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5700" w:type="dxa"/>
            <w:vAlign w:val="bottom"/>
          </w:tcPr>
          <w:p>
            <w:pPr>
              <w:spacing w:after="0"/>
              <w:rPr>
                <w:sz w:val="12"/>
                <w:szCs w:val="12"/>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Year Ended December 31,</w:t>
            </w:r>
          </w:p>
        </w:tc>
        <w:tc>
          <w:tcPr>
            <w:tcW w:w="1420" w:type="dxa"/>
            <w:vAlign w:val="bottom"/>
            <w:gridSpan w:val="4"/>
          </w:tcPr>
          <w:p>
            <w:pPr>
              <w:ind w:left="28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70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6"/>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49"/>
        </w:trPr>
        <w:tc>
          <w:tcPr>
            <w:tcW w:w="57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Number of Loans Transacted</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0"/>
              </w:rPr>
              <w:t>136,468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176,983</w:t>
            </w:r>
          </w:p>
        </w:tc>
        <w:tc>
          <w:tcPr>
            <w:tcW w:w="60" w:type="dxa"/>
            <w:vAlign w:val="bottom"/>
            <w:shd w:val="clear" w:color="auto" w:fill="CCEEFF"/>
          </w:tcPr>
          <w:p>
            <w:pPr>
              <w:spacing w:after="0"/>
              <w:rPr>
                <w:sz w:val="12"/>
                <w:szCs w:val="12"/>
                <w:color w:val="auto"/>
              </w:rPr>
            </w:pPr>
          </w:p>
        </w:tc>
      </w:tr>
      <w:tr>
        <w:trPr>
          <w:trHeight w:val="158"/>
        </w:trPr>
        <w:tc>
          <w:tcPr>
            <w:tcW w:w="570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8.1%</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9.1%</w:t>
            </w: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13.1%</w:t>
            </w: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12.2%</w:t>
            </w:r>
          </w:p>
        </w:tc>
        <w:tc>
          <w:tcPr>
            <w:tcW w:w="6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14.0%</w:t>
            </w:r>
          </w:p>
        </w:tc>
      </w:tr>
      <w:tr>
        <w:trPr>
          <w:trHeight w:val="158"/>
        </w:trPr>
        <w:tc>
          <w:tcPr>
            <w:tcW w:w="5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34%</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64%</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3"/>
                <w:szCs w:val="13"/>
                <w:color w:val="auto"/>
              </w:rPr>
            </w:pPr>
          </w:p>
        </w:tc>
      </w:tr>
    </w:tbl>
    <w:p>
      <w:pPr>
        <w:spacing w:after="0" w:line="180"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Operations—Key Operating Metrics” for a description of Number of Loans Transacted, Conversion Rate and Percentage of Loans Fully Automated.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20"/>
          </w:cols>
          <w:pgMar w:left="320" w:top="407" w:right="135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Non-GAAP Financial Measures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56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240" w:type="dxa"/>
            <w:vAlign w:val="bottom"/>
            <w:gridSpan w:val="9"/>
          </w:tcPr>
          <w:p>
            <w:pPr>
              <w:jc w:val="center"/>
              <w:ind w:right="220"/>
              <w:spacing w:after="0"/>
              <w:rPr>
                <w:sz w:val="20"/>
                <w:szCs w:val="20"/>
                <w:color w:val="auto"/>
              </w:rPr>
            </w:pPr>
            <w:r>
              <w:rPr>
                <w:rFonts w:ascii="Arial" w:cs="Arial" w:eastAsia="Arial" w:hAnsi="Arial"/>
                <w:sz w:val="12"/>
                <w:szCs w:val="12"/>
                <w:b w:val="1"/>
                <w:bCs w:val="1"/>
                <w:color w:val="auto"/>
                <w:w w:val="99"/>
              </w:rPr>
              <w:t>Year Ended December 31,</w:t>
            </w:r>
          </w:p>
        </w:tc>
        <w:tc>
          <w:tcPr>
            <w:tcW w:w="13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5660" w:type="dxa"/>
            <w:vAlign w:val="bottom"/>
            <w:tcBorders>
              <w:bottom w:val="single" w:sz="8" w:color="CCEEFF"/>
            </w:tcBorders>
            <w:vMerge w:val="continue"/>
          </w:tcPr>
          <w:p>
            <w:pPr>
              <w:spacing w:after="0"/>
              <w:rPr>
                <w:sz w:val="10"/>
                <w:szCs w:val="10"/>
                <w:color w:val="auto"/>
              </w:rPr>
            </w:pPr>
          </w:p>
        </w:tc>
        <w:tc>
          <w:tcPr>
            <w:tcW w:w="48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7"/>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Contribution Profit</w:t>
            </w: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$ 9,265</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$13,098</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48,940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$25,560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$63,697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660" w:type="dxa"/>
            <w:vAlign w:val="bottom"/>
          </w:tcPr>
          <w:p>
            <w:pPr>
              <w:spacing w:after="0"/>
              <w:rPr>
                <w:sz w:val="20"/>
                <w:szCs w:val="20"/>
                <w:color w:val="auto"/>
              </w:rPr>
            </w:pPr>
            <w:r>
              <w:rPr>
                <w:rFonts w:ascii="Arial" w:cs="Arial" w:eastAsia="Arial" w:hAnsi="Arial"/>
                <w:sz w:val="14"/>
                <w:szCs w:val="14"/>
                <w:color w:val="auto"/>
              </w:rPr>
              <w:t>Adjusted EBITDA</w:t>
            </w:r>
          </w:p>
        </w:tc>
        <w:tc>
          <w:tcPr>
            <w:tcW w:w="640" w:type="dxa"/>
            <w:vAlign w:val="bottom"/>
            <w:gridSpan w:val="2"/>
          </w:tcPr>
          <w:p>
            <w:pPr>
              <w:spacing w:after="0"/>
              <w:rPr>
                <w:sz w:val="20"/>
                <w:szCs w:val="20"/>
                <w:color w:val="auto"/>
              </w:rPr>
            </w:pPr>
            <w:r>
              <w:rPr>
                <w:rFonts w:ascii="Arial" w:cs="Arial" w:eastAsia="Arial" w:hAnsi="Arial"/>
                <w:sz w:val="14"/>
                <w:szCs w:val="14"/>
                <w:color w:val="auto"/>
              </w:rPr>
              <w:t>$(4,679)</w:t>
            </w:r>
          </w:p>
        </w:tc>
        <w:tc>
          <w:tcPr>
            <w:tcW w:w="760" w:type="dxa"/>
            <w:vAlign w:val="bottom"/>
            <w:gridSpan w:val="3"/>
          </w:tcPr>
          <w:p>
            <w:pPr>
              <w:ind w:left="100"/>
              <w:spacing w:after="0"/>
              <w:rPr>
                <w:sz w:val="20"/>
                <w:szCs w:val="20"/>
                <w:color w:val="auto"/>
              </w:rPr>
            </w:pPr>
            <w:r>
              <w:rPr>
                <w:rFonts w:ascii="Arial" w:cs="Arial" w:eastAsia="Arial" w:hAnsi="Arial"/>
                <w:sz w:val="14"/>
                <w:szCs w:val="14"/>
                <w:color w:val="auto"/>
              </w:rPr>
              <w:t>$ (6,226)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5,595</w:t>
            </w:r>
          </w:p>
        </w:tc>
        <w:tc>
          <w:tcPr>
            <w:tcW w:w="760" w:type="dxa"/>
            <w:vAlign w:val="bottom"/>
            <w:gridSpan w:val="2"/>
          </w:tcPr>
          <w:p>
            <w:pPr>
              <w:spacing w:after="0"/>
              <w:rPr>
                <w:sz w:val="20"/>
                <w:szCs w:val="20"/>
                <w:color w:val="auto"/>
              </w:rPr>
            </w:pPr>
            <w:r>
              <w:rPr>
                <w:rFonts w:ascii="Arial" w:cs="Arial" w:eastAsia="Arial" w:hAnsi="Arial"/>
                <w:sz w:val="14"/>
                <w:szCs w:val="14"/>
                <w:color w:val="auto"/>
              </w:rPr>
              <w:t>$ (1,363)</w:t>
            </w:r>
          </w:p>
        </w:tc>
        <w:tc>
          <w:tcPr>
            <w:tcW w:w="500" w:type="dxa"/>
            <w:vAlign w:val="bottom"/>
          </w:tcPr>
          <w:p>
            <w:pPr>
              <w:jc w:val="center"/>
              <w:spacing w:after="0"/>
              <w:rPr>
                <w:sz w:val="20"/>
                <w:szCs w:val="20"/>
                <w:color w:val="auto"/>
              </w:rPr>
            </w:pPr>
            <w:r>
              <w:rPr>
                <w:rFonts w:ascii="Arial" w:cs="Arial" w:eastAsia="Arial" w:hAnsi="Arial"/>
                <w:sz w:val="14"/>
                <w:szCs w:val="14"/>
                <w:color w:val="auto"/>
                <w:w w:val="98"/>
              </w:rPr>
              <w:t>$16,006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Contribution Profit</w:t>
      </w:r>
    </w:p>
    <w:p>
      <w:pPr>
        <w:spacing w:after="0" w:line="105"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We define Contribution Profit as our revenue from fees, net, less certain costs that we consider to be variable and closely correlated to our fee revenue. Our revenue from fees, net consists of platform and referral fees, net and servicing fees, net. Platform fees and referral fees are contracted for and charged separately, although they are generally combined for accounting purposes as they usually represent a single performance obligation. To derive Contribution Profit, we subtract from revenue from fees, net our borrower acquisition costs as well as our borrower verification and servicing costs. Borrower acquisition costs consist of our sales and marketing expenses adjusted to exclude costs not directly attributable to attracting a new borrower, such as payroll related expenses for our business development and marketing teams, as well as other operational, brand awareness and marketing activities. Our borrower verification and servicing costs consist of payroll and other personnel related expenses for personnel engaged in loan onboarding, verification and servicing, as well as servicing system costs. It excludes payroll and personnel related expenses and stock-based compensation for certain members of our customer operations team whose work is not directly attributable to onboarding and servicing loans.</w:t>
      </w:r>
    </w:p>
    <w:p>
      <w:pPr>
        <w:spacing w:after="0" w:line="160"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following table provides a calculation of Contribution Profit for the years ended December 31, 2017, 2018 and 2019, and the nine months ended September 30, 2019 and 2020:</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36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8"/>
          </w:tcPr>
          <w:p>
            <w:pPr>
              <w:ind w:left="380"/>
              <w:spacing w:after="0"/>
              <w:rPr>
                <w:sz w:val="20"/>
                <w:szCs w:val="20"/>
                <w:color w:val="auto"/>
              </w:rPr>
            </w:pPr>
            <w:r>
              <w:rPr>
                <w:rFonts w:ascii="Arial" w:cs="Arial" w:eastAsia="Arial" w:hAnsi="Arial"/>
                <w:sz w:val="12"/>
                <w:szCs w:val="12"/>
                <w:b w:val="1"/>
                <w:bCs w:val="1"/>
                <w:color w:val="auto"/>
              </w:rPr>
              <w:t>Year Ended December 31,</w:t>
            </w:r>
          </w:p>
        </w:tc>
        <w:tc>
          <w:tcPr>
            <w:tcW w:w="140" w:type="dxa"/>
            <w:vAlign w:val="bottom"/>
          </w:tcPr>
          <w:p>
            <w:pPr>
              <w:spacing w:after="0"/>
              <w:rPr>
                <w:sz w:val="12"/>
                <w:szCs w:val="12"/>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3660" w:type="dxa"/>
            <w:vAlign w:val="bottom"/>
            <w:tcBorders>
              <w:bottom w:val="single" w:sz="8" w:color="CCEEFF"/>
            </w:tcBorders>
            <w:vMerge w:val="continue"/>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58"/>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Referral fees, net</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30,921</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$ 53,869</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90,672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$ 56,117</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line="158" w:lineRule="exact"/>
              <w:rPr>
                <w:sz w:val="20"/>
                <w:szCs w:val="20"/>
                <w:color w:val="auto"/>
              </w:rPr>
            </w:pPr>
            <w:r>
              <w:rPr>
                <w:rFonts w:ascii="Arial" w:cs="Arial" w:eastAsia="Arial" w:hAnsi="Arial"/>
                <w:sz w:val="14"/>
                <w:szCs w:val="14"/>
                <w:color w:val="auto"/>
              </w:rPr>
              <w:t>Platform fees, net</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17,146</w:t>
            </w:r>
          </w:p>
        </w:tc>
        <w:tc>
          <w:tcPr>
            <w:tcW w:w="3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29,512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53,383</w:t>
            </w: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32,932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42,657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Servicing fees, net</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3,094</w:t>
            </w: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5,101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15,792</w:t>
            </w:r>
          </w:p>
        </w:tc>
        <w:tc>
          <w:tcPr>
            <w:tcW w:w="88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9,650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20,694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60" w:type="dxa"/>
            <w:vAlign w:val="bottom"/>
          </w:tcPr>
          <w:p>
            <w:pPr>
              <w:ind w:left="280"/>
              <w:spacing w:after="0"/>
              <w:rPr>
                <w:sz w:val="20"/>
                <w:szCs w:val="20"/>
                <w:color w:val="auto"/>
              </w:rPr>
            </w:pPr>
            <w:r>
              <w:rPr>
                <w:rFonts w:ascii="Arial" w:cs="Arial" w:eastAsia="Arial" w:hAnsi="Arial"/>
                <w:sz w:val="14"/>
                <w:szCs w:val="14"/>
                <w:color w:val="auto"/>
              </w:rPr>
              <w:t>Revenue from fees, net</w:t>
            </w:r>
          </w:p>
        </w:tc>
        <w:tc>
          <w:tcPr>
            <w:tcW w:w="1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8"/>
              </w:rPr>
              <w:t>51,161</w:t>
            </w:r>
          </w:p>
        </w:tc>
        <w:tc>
          <w:tcPr>
            <w:tcW w:w="34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88,482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159,847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98,699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144,179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Borrower acquisition costs</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w w:val="95"/>
              </w:rPr>
              <w:t>(32,777)</w:t>
            </w: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(61,658)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(89,569)</w:t>
            </w:r>
          </w:p>
        </w:tc>
        <w:tc>
          <w:tcPr>
            <w:tcW w:w="88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(58,764)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(59,464)</w:t>
            </w:r>
          </w:p>
        </w:tc>
        <w:tc>
          <w:tcPr>
            <w:tcW w:w="0" w:type="dxa"/>
            <w:vAlign w:val="bottom"/>
          </w:tcPr>
          <w:p>
            <w:pPr>
              <w:spacing w:after="0"/>
              <w:rPr>
                <w:sz w:val="1"/>
                <w:szCs w:val="1"/>
                <w:color w:val="auto"/>
              </w:rPr>
            </w:pPr>
          </w:p>
        </w:tc>
      </w:tr>
      <w:tr>
        <w:trPr>
          <w:trHeight w:val="158"/>
        </w:trPr>
        <w:tc>
          <w:tcPr>
            <w:tcW w:w="3660" w:type="dxa"/>
            <w:vAlign w:val="bottom"/>
          </w:tcPr>
          <w:p>
            <w:pPr>
              <w:spacing w:after="0" w:line="158" w:lineRule="exact"/>
              <w:rPr>
                <w:sz w:val="20"/>
                <w:szCs w:val="20"/>
                <w:color w:val="auto"/>
              </w:rPr>
            </w:pPr>
            <w:r>
              <w:rPr>
                <w:rFonts w:ascii="Arial" w:cs="Arial" w:eastAsia="Arial" w:hAnsi="Arial"/>
                <w:sz w:val="14"/>
                <w:szCs w:val="14"/>
                <w:color w:val="auto"/>
              </w:rPr>
              <w:t>Borrower verification and servicing costs</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(9,119)</w:t>
            </w: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(13,726)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(21,338)</w:t>
            </w:r>
          </w:p>
        </w:tc>
        <w:tc>
          <w:tcPr>
            <w:tcW w:w="88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(14,375)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9"/>
              </w:rPr>
              <w:t>(21,018)</w:t>
            </w:r>
          </w:p>
        </w:tc>
        <w:tc>
          <w:tcPr>
            <w:tcW w:w="0" w:type="dxa"/>
            <w:vAlign w:val="bottom"/>
          </w:tcPr>
          <w:p>
            <w:pPr>
              <w:spacing w:after="0"/>
              <w:rPr>
                <w:sz w:val="1"/>
                <w:szCs w:val="1"/>
                <w:color w:val="auto"/>
              </w:rPr>
            </w:pPr>
          </w:p>
        </w:tc>
      </w:tr>
      <w:tr>
        <w:trPr>
          <w:trHeight w:val="23"/>
        </w:trPr>
        <w:tc>
          <w:tcPr>
            <w:tcW w:w="3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direct expenses</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w w:val="95"/>
              </w:rPr>
              <w:t>(41,896)</w:t>
            </w: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(75,384)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3"/>
              </w:rPr>
              <w:t>(110,907)</w:t>
            </w:r>
          </w:p>
        </w:tc>
        <w:tc>
          <w:tcPr>
            <w:tcW w:w="88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(73,139)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(80,482)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60" w:type="dxa"/>
            <w:vAlign w:val="bottom"/>
          </w:tcPr>
          <w:p>
            <w:pPr>
              <w:ind w:left="280"/>
              <w:spacing w:after="0" w:line="149" w:lineRule="exact"/>
              <w:rPr>
                <w:sz w:val="20"/>
                <w:szCs w:val="20"/>
                <w:color w:val="auto"/>
              </w:rPr>
            </w:pPr>
            <w:r>
              <w:rPr>
                <w:rFonts w:ascii="Arial" w:cs="Arial" w:eastAsia="Arial" w:hAnsi="Arial"/>
                <w:sz w:val="14"/>
                <w:szCs w:val="14"/>
                <w:color w:val="auto"/>
              </w:rPr>
              <w:t>Contribution Profit</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9,265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5"/>
              </w:rPr>
              <w:t>$ 13,098</w:t>
            </w:r>
          </w:p>
        </w:tc>
        <w:tc>
          <w:tcPr>
            <w:tcW w:w="2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48,940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$ 25,560</w:t>
            </w:r>
          </w:p>
        </w:tc>
        <w:tc>
          <w:tcPr>
            <w:tcW w:w="2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63,697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Operations—Reconciliation of Non-GAAP Financial Measures” for a reconciliation of loss from operations to Contribution Profit.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Adjusted EBITDA</w:t>
      </w:r>
    </w:p>
    <w:p>
      <w:pPr>
        <w:spacing w:after="0" w:line="105"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We calculate Adjusted EBITDA as net loss attributable to Upstart Holdings, Inc. stockholders adjusted to exclude stock-based compensation expense, depreciation and amortization, expense on warrants and convertible notes, net and provision for income taxes. Adjusted EBITDA does include interest expense from corporate debt and warehouse credit facilities which is incurred in the course of earning corresponding interest income.</w:t>
      </w:r>
    </w:p>
    <w:p>
      <w:pPr>
        <w:spacing w:after="0" w:line="172"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See the section titled “Management’s Discussion and Analysis of Financial Condition and Results of Operations—Reconciliation of Non-GAAP Financial Measures” for a reconciliation of net loss attributable to Upstart Holdings, Inc. common stockholders to Adjusted EBITDA.</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20"/>
          </w:cols>
          <w:pgMar w:left="320" w:top="407" w:right="135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79"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Factors that could cause or contribute to such differences include those identified below and those discussed in the section titled “Risk Factors” and other parts of this prospectus. Our historical results are not necessarily indicative of the results that may be expected for any period in the future.</w:t>
      </w:r>
    </w:p>
    <w:p>
      <w:pPr>
        <w:spacing w:after="0" w:line="243"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72"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Since our inception, we have facilitated the origination of over 620,000 personal loans that have generated more than 9 million repayment events. Our key milestones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120015</wp:posOffset>
            </wp:positionV>
            <wp:extent cx="4350385" cy="257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50385" cy="257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273"/>
        <w:spacing w:after="0"/>
        <w:tabs>
          <w:tab w:leader="none" w:pos="13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2020 metrics are as of September 30, 2020</w:t>
      </w:r>
    </w:p>
    <w:p>
      <w:pPr>
        <w:spacing w:after="0" w:line="177"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believe that banks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180"/>
          </w:cols>
          <w:pgMar w:left="320" w:top="407" w:right="139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Consumers can obtain Upstart-powered loans in one of two ways: either by referral from Upstart.com to one of our bank partners, or directly through our bank partners’ own websites, where our lending technology and experience is white-labeled. Our direct bank partner channel represents a small but growing portion of our overall volume, and we believe this portion will continue to grow over time as we onboard new bank partners. Consumers on our platform are generally offered unsecured personal loans ranging from $ 1,000 to $50,000 in size, at APRs typically ranging from approximately 6.5% to 35.99%, for terms typically ranging from three to five years, with a monthly repayment schedule and no prepayment penalty. These loans are used for a variety of purposes, including credit card consolidation, refinancing of existing debt, home improvements and other personal uses.</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bank partners can retain loans that align with their business and risk objectives. For loans that are not retained by our bank partners, we help diversify the funding of these loans to a broad base of approximately 100 institutional investors that invest in Upstart-powered loans. In the third quarter of 2020, 22% of the loans funded through our platform were retained by the originating bank (compared to 27% in the third quarter of 2019). 76% of loans were purchased by institutional investors through our loan funding programs in the third quarter of 2020 (compared to 67% in the third quarter of 2019), and the remaining 2% were funded through our balance sheet (compared to 6% in the third quarter of 2019). Over the last few years, the percentage of loans retained by bank partners has fluctuated from quarter-to-quarter, but generally increased, while the percentage of loans funded through our balance sheet has generally decreased and the percentage of loans purchased by institutional investors has remained high and relatively stable.</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approach has allowed us to achieve rapid growth in recent years while simultaneously improving our margin profile. The Number of Loans Transacted on our platform increased 88% from 114,125 for the year ended December 31, 2018 to 215,122 over the same period in 2019, and 30% to 176,983 in the nine months ended September 30, 2020 from 136,468 over the same period in 2019. Total revenue increased 65% for the year ended December 31, 2019 to $164.2 million from $99.3 million over the same period in 2018, and 44% to $146.7 million in the nine months ended September 30, 2020 from $101.6 million in the same period of 2019. Net loss decreased from $12.3 million in 2018 to $0.5 million in 2019. During the nine months ended September 30, 2020, net income increased to $5.0 million from net loss of $6.5 million in the same period of 2019.</w:t>
      </w: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Economic Model</w:t>
      </w:r>
    </w:p>
    <w:p>
      <w:pPr>
        <w:spacing w:after="0" w:line="19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Upstart’s revenues are primarily earned in the form of three separate usage-based fees, which can be either dollar or percentage based depending on the contractual arrangement. We charge our bank partners a referral fee of 3% to 4% of the loan principal amount each time we refer a borrower who obtains a loan. Separately, we charge bank partners a platform fee of approximately 2% of loan value each time they originate a loan using our platform. These fees are contracted for and charged separately, although they are generally combined for accounting purposes as they usually represent a single performance obligation. We do not charge the borrowers on our platform any referral, platform or other similar fees for our loan matching services.</w:t>
      </w:r>
    </w:p>
    <w:p>
      <w:pPr>
        <w:spacing w:after="0" w:line="172"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also charge the holder of the loan (either a bank or institutional investor) an ongoing 0.5% to 1% annualized servicing fee based on the outstanding principal over the lifetime of the loan for ongoing servicing of the loan. Taken together, these fees represented 98% of our revenue in the nine months ended September 30, 2020. In addition, we earn a small portion of our revenue from interest income and our securitization activities.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20"/>
          </w:cols>
          <w:pgMar w:left="320" w:top="407" w:right="135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The below table summarizes the dollar value of our economics on an average-sized loan, based on our contractual rates that were in effect as of September 30, 2020.</w:t>
      </w:r>
    </w:p>
    <w:p>
      <w:pPr>
        <w:spacing w:after="0" w:line="171" w:lineRule="exact"/>
        <w:rPr>
          <w:sz w:val="20"/>
          <w:szCs w:val="20"/>
          <w:color w:val="auto"/>
        </w:rPr>
      </w:pPr>
    </w:p>
    <w:p>
      <w:pPr>
        <w:ind w:left="6240"/>
        <w:spacing w:after="0"/>
        <w:tabs>
          <w:tab w:leader="none" w:pos="8040" w:val="left"/>
        </w:tabs>
        <w:rPr>
          <w:sz w:val="20"/>
          <w:szCs w:val="20"/>
          <w:color w:val="auto"/>
        </w:rPr>
      </w:pPr>
      <w:r>
        <w:rPr>
          <w:rFonts w:ascii="Arial" w:cs="Arial" w:eastAsia="Arial" w:hAnsi="Arial"/>
          <w:sz w:val="15"/>
          <w:szCs w:val="15"/>
          <w:b w:val="1"/>
          <w:bCs w:val="1"/>
          <w:color w:val="auto"/>
        </w:rPr>
        <w:t>Paid By</w:t>
      </w:r>
      <w:r>
        <w:rPr>
          <w:sz w:val="20"/>
          <w:szCs w:val="20"/>
          <w:color w:val="auto"/>
        </w:rPr>
        <w:tab/>
      </w:r>
      <w:r>
        <w:rPr>
          <w:rFonts w:ascii="Arial" w:cs="Arial" w:eastAsia="Arial" w:hAnsi="Arial"/>
          <w:sz w:val="14"/>
          <w:szCs w:val="14"/>
          <w:b w:val="1"/>
          <w:bCs w:val="1"/>
          <w:color w:val="auto"/>
        </w:rPr>
        <w:t>Fees per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9525</wp:posOffset>
            </wp:positionV>
            <wp:extent cx="4900930" cy="2292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00930" cy="229235"/>
                    </a:xfrm>
                    <a:prstGeom prst="rect">
                      <a:avLst/>
                    </a:prstGeom>
                    <a:noFill/>
                  </pic:spPr>
                </pic:pic>
              </a:graphicData>
            </a:graphic>
          </wp:anchor>
        </w:drawing>
      </w:r>
    </w:p>
    <w:p>
      <w:pPr>
        <w:sectPr>
          <w:pgSz w:w="11900" w:h="16838" w:orient="portrait"/>
          <w:cols w:equalWidth="0" w:num="1">
            <w:col w:w="10140"/>
          </w:cols>
          <w:pgMar w:left="320" w:top="407" w:right="1439" w:bottom="1440" w:gutter="0" w:footer="0" w:header="0"/>
        </w:sectPr>
      </w:pPr>
    </w:p>
    <w:p>
      <w:pPr>
        <w:spacing w:after="0" w:line="98"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Referral Fees</w:t>
      </w:r>
    </w:p>
    <w:p>
      <w:pPr>
        <w:spacing w:after="0" w:line="346"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Platform Fees</w:t>
      </w:r>
    </w:p>
    <w:p>
      <w:pPr>
        <w:spacing w:after="0" w:line="346"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Servicing Fees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Bank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162560</wp:posOffset>
            </wp:positionV>
            <wp:extent cx="4900930" cy="221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00930" cy="221615"/>
                    </a:xfrm>
                    <a:prstGeom prst="rect">
                      <a:avLst/>
                    </a:prstGeom>
                    <a:noFill/>
                  </pic:spPr>
                </pic:pic>
              </a:graphicData>
            </a:graphic>
          </wp:anchor>
        </w:drawing>
      </w:r>
    </w:p>
    <w:p>
      <w:pPr>
        <w:spacing w:after="0" w:line="3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Bank partner</w:t>
      </w: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Bank partner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-106045</wp:posOffset>
            </wp:positionV>
            <wp:extent cx="4900930" cy="2216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00930" cy="221615"/>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5"/>
          <w:szCs w:val="15"/>
          <w:color w:val="auto"/>
        </w:rPr>
        <w:t>institutional investor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$400-$500</w:t>
      </w:r>
    </w:p>
    <w:p>
      <w:pPr>
        <w:jc w:val="center"/>
        <w:ind w:right="1120"/>
        <w:spacing w:after="0"/>
        <w:rPr>
          <w:sz w:val="20"/>
          <w:szCs w:val="20"/>
          <w:color w:val="auto"/>
        </w:rPr>
      </w:pPr>
      <w:r>
        <w:rPr>
          <w:rFonts w:ascii="Arial" w:cs="Arial" w:eastAsia="Arial" w:hAnsi="Arial"/>
          <w:sz w:val="15"/>
          <w:szCs w:val="15"/>
          <w:color w:val="auto"/>
        </w:rPr>
        <w:t>on origination</w:t>
      </w:r>
    </w:p>
    <w:p>
      <w:pPr>
        <w:spacing w:after="0" w:line="173"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$200-$300</w:t>
      </w:r>
    </w:p>
    <w:p>
      <w:pPr>
        <w:jc w:val="center"/>
        <w:ind w:right="1120"/>
        <w:spacing w:after="0"/>
        <w:rPr>
          <w:sz w:val="20"/>
          <w:szCs w:val="20"/>
          <w:color w:val="auto"/>
        </w:rPr>
      </w:pPr>
      <w:r>
        <w:rPr>
          <w:rFonts w:ascii="Arial" w:cs="Arial" w:eastAsia="Arial" w:hAnsi="Arial"/>
          <w:sz w:val="15"/>
          <w:szCs w:val="15"/>
          <w:color w:val="auto"/>
        </w:rPr>
        <w:t>on origination</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0.5%-1%</w:t>
      </w:r>
    </w:p>
    <w:p>
      <w:pPr>
        <w:ind w:left="180"/>
        <w:spacing w:after="0"/>
        <w:rPr>
          <w:sz w:val="20"/>
          <w:szCs w:val="20"/>
          <w:color w:val="auto"/>
        </w:rPr>
      </w:pPr>
      <w:r>
        <w:rPr>
          <w:rFonts w:ascii="Arial" w:cs="Arial" w:eastAsia="Arial" w:hAnsi="Arial"/>
          <w:sz w:val="15"/>
          <w:szCs w:val="15"/>
          <w:color w:val="auto"/>
        </w:rPr>
        <w:t>per year</w:t>
      </w:r>
    </w:p>
    <w:p>
      <w:pPr>
        <w:spacing w:after="0" w:line="188" w:lineRule="exact"/>
        <w:rPr>
          <w:sz w:val="20"/>
          <w:szCs w:val="20"/>
          <w:color w:val="auto"/>
        </w:rPr>
      </w:pPr>
    </w:p>
    <w:p>
      <w:pPr>
        <w:sectPr>
          <w:pgSz w:w="11900" w:h="16838" w:orient="portrait"/>
          <w:cols w:equalWidth="0" w:num="3">
            <w:col w:w="5140" w:space="720"/>
            <w:col w:w="1520" w:space="720"/>
            <w:col w:w="2040"/>
          </w:cols>
          <w:pgMar w:left="320" w:top="407" w:right="1439" w:bottom="1440" w:gutter="0" w:footer="0" w:header="0"/>
          <w:type w:val="continuous"/>
        </w:sectPr>
      </w:pPr>
    </w:p>
    <w:p>
      <w:pPr>
        <w:ind w:left="1020" w:right="40" w:firstLine="460"/>
        <w:spacing w:after="0" w:line="236" w:lineRule="auto"/>
        <w:rPr>
          <w:sz w:val="20"/>
          <w:szCs w:val="20"/>
          <w:color w:val="auto"/>
        </w:rPr>
      </w:pPr>
      <w:r>
        <w:rPr>
          <w:rFonts w:ascii="Arial" w:cs="Arial" w:eastAsia="Arial" w:hAnsi="Arial"/>
          <w:sz w:val="15"/>
          <w:szCs w:val="15"/>
          <w:color w:val="auto"/>
        </w:rPr>
        <w:t>Loans on our platform today are predominantly sourced from Upstart.com. For these loans, we incur variable costs in the form of borrower acquisition costs and borrower verification and servicing costs; in the nine months ended September 30, 2020, this category of loans generated a 44% contribution margin on average. Borrower acquisition cost and borrower verification and servicing cost are highly correlated with the Number of Loans Transacted on our platform and trended upwards on an annual basis. A small number of loans were sourced directly through bank partners in which we received no referral fee and incurred no acquisition cost; in the nine months ended September 30, 2020 this category of loans generated a 67% contribution margin. In 2018, 2019 and the nine months ended September 30, 2020, the average contribution margin per loan of all Upstart-powered loans was 15%, 31% and 44%, respectively. The rising level of automation and continued improvements to our Conversion Rate achieved through our increasingly sophisticated risk models and our evolving channel mix have contributed to improving loan unit economics over time. We further believe that bank-sourced loans can be an important driver of volume growth in the medium-term future; to the extent we are able to increase the number of loans sourced directly through our bank partners, our contribution margin would be positively impacted.</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summarizes the contribution economics for loans originated by our bank partners in the nine months ended</w:t>
      </w:r>
    </w:p>
    <w:p>
      <w:pPr>
        <w:ind w:left="1020"/>
        <w:spacing w:after="0"/>
        <w:rPr>
          <w:sz w:val="20"/>
          <w:szCs w:val="20"/>
          <w:color w:val="auto"/>
        </w:rPr>
      </w:pPr>
      <w:r>
        <w:rPr>
          <w:rFonts w:ascii="Arial" w:cs="Arial" w:eastAsia="Arial" w:hAnsi="Arial"/>
          <w:sz w:val="15"/>
          <w:szCs w:val="15"/>
          <w:color w:val="auto"/>
        </w:rPr>
        <w:t>September 30, 2020, which reflects the COVID-19 impact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127000</wp:posOffset>
            </wp:positionV>
            <wp:extent cx="4335780" cy="1538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35780"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COVID-19 Pandemic Impact</w:t>
      </w:r>
    </w:p>
    <w:p>
      <w:pPr>
        <w:spacing w:after="0" w:line="105"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The onset of the COVID-19 pandemic began to impact origination volumes on our platform in the second half of March 2020. A rapid rise in unemployment in the United States led to the potential for</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140"/>
          </w:cols>
          <w:pgMar w:left="320" w:top="407" w:right="1439" w:bottom="1440" w:gutter="0" w:footer="0" w:header="0"/>
          <w:type w:val="continuous"/>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60"/>
        <w:spacing w:after="0"/>
        <w:rPr>
          <w:sz w:val="20"/>
          <w:szCs w:val="20"/>
          <w:color w:val="auto"/>
        </w:rPr>
      </w:pPr>
      <w:r>
        <w:rPr>
          <w:rFonts w:ascii="Arial" w:cs="Arial" w:eastAsia="Arial" w:hAnsi="Arial"/>
          <w:sz w:val="15"/>
          <w:szCs w:val="15"/>
          <w:color w:val="auto"/>
        </w:rPr>
        <w:t>increased losses for new originations by our AI models, reduction in originations by bank partners, and a temporary pause in loan funding from institutions and capital markets. These factors collectively resulted in an 86% reduction in the number of loans originated and a 73% reduction in revenue in the second quarter of 2020 compared to the first quarter of 2020.</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response to the market conditions caused by the COVID-19 pandemic, we made certain operational changes, including increases to the fees we charge our bank partners and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Origination volumes recovered quickly, beginning in June 2020, as unemployment plateaued. This recovery continued through subsequent months, such that the Number of Loans Transacted in the three months ended September 30, 2020 was 80,893, representing a 26% increase compared to the Number of Loans Transacted in the three months ended September 30, 2019. Our revenue in the three months ended September 30, 2020 was $65.4 million, representing a 32% increase compared to our revenue in the three months ended September 30, 2019.</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To support borrowers suffering from income loss due to the pandemic, Upstart worked with its bank partners to offer hardship plans that, among other things, allowed affected borrowers to defer loan payments for up to two months. At the peak, approximately 5.6% of borrowers on our platform had enrolled in a hardship program, less than half the rate of online lending industry benchmarks.</w:t>
      </w:r>
      <w:r>
        <w:rPr>
          <w:rFonts w:ascii="Arial" w:cs="Arial" w:eastAsia="Arial" w:hAnsi="Arial"/>
          <w:sz w:val="12"/>
          <w:szCs w:val="12"/>
          <w:color w:val="auto"/>
        </w:rPr>
        <w:t>60</w:t>
      </w:r>
      <w:r>
        <w:rPr>
          <w:rFonts w:ascii="Arial" w:cs="Arial" w:eastAsia="Arial" w:hAnsi="Arial"/>
          <w:sz w:val="15"/>
          <w:szCs w:val="15"/>
          <w:color w:val="auto"/>
        </w:rPr>
        <w:t xml:space="preserve"> Since this time, approximately 95% of these impacted borrowers have exited the hardship program and resumed making loan payments. Further, our model was approximately five times more predictive than FICO credit score alone during the COVID-19 pandemic.</w:t>
      </w:r>
      <w:r>
        <w:rPr>
          <w:rFonts w:ascii="Arial" w:cs="Arial" w:eastAsia="Arial" w:hAnsi="Arial"/>
          <w:sz w:val="12"/>
          <w:szCs w:val="12"/>
          <w:color w:val="auto"/>
        </w:rPr>
        <w:t>61</w:t>
      </w:r>
      <w:r>
        <w:rPr>
          <w:rFonts w:ascii="Arial" w:cs="Arial" w:eastAsia="Arial" w:hAnsi="Arial"/>
          <w:sz w:val="15"/>
          <w:szCs w:val="15"/>
          <w:color w:val="auto"/>
        </w:rPr>
        <w:t xml:space="preserve"> Due to the strength of our AI model, we expect that the COVID-19 pandemic will have minimal impact on bank partners and institutional investor performance for Upstart-powered loans originated prior to the second quarter of 2020.</w:t>
      </w:r>
    </w:p>
    <w:p>
      <w:pPr>
        <w:spacing w:after="0" w:line="171"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Although significant government assistance was provided during the COVID-19 pandemic, the resilience of our bank partner results during this time provides evidence of the benefits that our AI models can offer to bank lending programs. We believe these benefits are even more compelling and valuable during periods of economic downturn.</w:t>
      </w:r>
    </w:p>
    <w:p>
      <w:pPr>
        <w:spacing w:after="0" w:line="242"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Factors Affecting Our Performance</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Continued Improvements to Our AI Models</w:t>
      </w:r>
    </w:p>
    <w:p>
      <w:pPr>
        <w:spacing w:after="0" w:line="10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57"/>
        </w:numPr>
        <w:rPr>
          <w:rFonts w:ascii="Arial" w:cs="Arial" w:eastAsia="Arial" w:hAnsi="Arial"/>
          <w:sz w:val="20"/>
          <w:szCs w:val="20"/>
          <w:color w:val="auto"/>
          <w:vertAlign w:val="superscript"/>
        </w:rPr>
      </w:pPr>
      <w:r>
        <w:rPr>
          <w:rFonts w:ascii="Arial" w:cs="Arial" w:eastAsia="Arial" w:hAnsi="Arial"/>
          <w:sz w:val="12"/>
          <w:szCs w:val="12"/>
          <w:color w:val="auto"/>
        </w:rPr>
        <w:t>Wei Wu, Vadim Verkhoglyad and Alex Kale, dv01 Insights: Covid-19 Performance Report Volume 9, July 2020.</w:t>
      </w:r>
    </w:p>
    <w:p>
      <w:pPr>
        <w:ind w:left="1480" w:right="160" w:hanging="453"/>
        <w:spacing w:after="0" w:line="182" w:lineRule="auto"/>
        <w:tabs>
          <w:tab w:leader="none" w:pos="1480" w:val="left"/>
        </w:tabs>
        <w:numPr>
          <w:ilvl w:val="0"/>
          <w:numId w:val="57"/>
        </w:numPr>
        <w:rPr>
          <w:rFonts w:ascii="Arial" w:cs="Arial" w:eastAsia="Arial" w:hAnsi="Arial"/>
          <w:sz w:val="20"/>
          <w:szCs w:val="20"/>
          <w:color w:val="auto"/>
          <w:vertAlign w:val="superscript"/>
        </w:rPr>
      </w:pPr>
      <w:r>
        <w:rPr>
          <w:rFonts w:ascii="Arial" w:cs="Arial" w:eastAsia="Arial" w:hAnsi="Arial"/>
          <w:sz w:val="12"/>
          <w:szCs w:val="12"/>
          <w:color w:val="auto"/>
        </w:rPr>
        <w:t>Based on an internal Upstart study conducted in May 2020 comparing the percentage of borrowers requesting to enter the hardship program based on their FICO credit scores and the risk tier assigned at origination by Upstart.</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00"/>
          </w:cols>
          <w:pgMar w:left="320" w:top="407" w:right="137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improvements on our conversion funnel also allow us to unlock new marketing channels over time that have previously been unprofitable.</w:t>
      </w:r>
    </w:p>
    <w:p>
      <w:pPr>
        <w:spacing w:after="0" w:line="177"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and Market Adoption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Banks play two key roles in Upstart’s ecosystem: funding loans and acquiring new customers.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 The percent of loans funded and retained by originating banks in the nine months ended September 30, 2020 was 23%, unchanged from 23% in the same period of 2019. Historically, we have observed that each 100 basis point reduction in APR has led to an approximate 15% increase in our conversion rate.</w:t>
      </w:r>
      <w:r>
        <w:rPr>
          <w:rFonts w:ascii="Arial" w:cs="Arial" w:eastAsia="Arial" w:hAnsi="Arial"/>
          <w:sz w:val="12"/>
          <w:szCs w:val="12"/>
          <w:color w:val="auto"/>
        </w:rPr>
        <w:t>62</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To provide funding support for our bank partners, we have built a broad network of institutional investors that can fund Upstart-powered loans through secondary loan purchasing, issuance of pass-through certificates and investment in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Product Expansion and Innovation</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intend to continue developing new financial products that address a broader set of consumer needs over time. We recently announced our entry into the auto lending market and we believe that significant growth opportunities exist to apply our evolving technology to additional segments of credit, such as credit cards, mortgages, student loans, point-of-sale loans, and HELOCs. In addition, we aim to serve a broader role of technology enablement for banks, which we believe will seek more comprehensive technology solutions from their suppliers. For example, we recently began offering an application programming interface product to banks that allows them to utilize our AI underwriting models to support their loan origination process for personal, auto, and student loans. We will incur expenses and opportunity cost to develop and launch new products. Monetization prospects for new products are uncertain, and costs associated with developing and marketing new products might not be recovered, which could weigh on our top-line growth and profitability.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Impact of Macroeconomic Cycles</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Economic cycles can impact our financial performance and related metrics, including consumer demand for loans, conversion rates and the interest rates our bank partners and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64389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right="100" w:hanging="453"/>
        <w:spacing w:after="0" w:line="196" w:lineRule="auto"/>
        <w:tabs>
          <w:tab w:leader="none" w:pos="1480" w:val="left"/>
        </w:tabs>
        <w:numPr>
          <w:ilvl w:val="0"/>
          <w:numId w:val="58"/>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200"/>
          </w:cols>
          <w:pgMar w:left="320" w:top="407" w:right="137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Key Operating Metrics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focus on several key operating metrics to measure the performance of our business and help determine strategic direction.</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ind w:left="12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5700" w:type="dxa"/>
            <w:vAlign w:val="bottom"/>
          </w:tcPr>
          <w:p>
            <w:pPr>
              <w:spacing w:after="0"/>
              <w:rPr>
                <w:sz w:val="12"/>
                <w:szCs w:val="12"/>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Year Ended December 31,</w:t>
            </w:r>
          </w:p>
        </w:tc>
        <w:tc>
          <w:tcPr>
            <w:tcW w:w="1420" w:type="dxa"/>
            <w:vAlign w:val="bottom"/>
            <w:gridSpan w:val="4"/>
          </w:tcPr>
          <w:p>
            <w:pPr>
              <w:ind w:left="28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70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6"/>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49"/>
        </w:trPr>
        <w:tc>
          <w:tcPr>
            <w:tcW w:w="57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Number of Loans Transacted</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0"/>
              </w:rPr>
              <w:t>136,468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176,983</w:t>
            </w:r>
          </w:p>
        </w:tc>
        <w:tc>
          <w:tcPr>
            <w:tcW w:w="60" w:type="dxa"/>
            <w:vAlign w:val="bottom"/>
            <w:shd w:val="clear" w:color="auto" w:fill="CCEEFF"/>
          </w:tcPr>
          <w:p>
            <w:pPr>
              <w:spacing w:after="0"/>
              <w:rPr>
                <w:sz w:val="12"/>
                <w:szCs w:val="12"/>
                <w:color w:val="auto"/>
              </w:rPr>
            </w:pPr>
          </w:p>
        </w:tc>
      </w:tr>
      <w:tr>
        <w:trPr>
          <w:trHeight w:val="158"/>
        </w:trPr>
        <w:tc>
          <w:tcPr>
            <w:tcW w:w="570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8.1%</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9.1%</w:t>
            </w: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13.1%</w:t>
            </w: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12.2%</w:t>
            </w:r>
          </w:p>
        </w:tc>
        <w:tc>
          <w:tcPr>
            <w:tcW w:w="6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14.0%</w:t>
            </w:r>
          </w:p>
        </w:tc>
      </w:tr>
      <w:tr>
        <w:trPr>
          <w:trHeight w:val="158"/>
        </w:trPr>
        <w:tc>
          <w:tcPr>
            <w:tcW w:w="5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34%</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64%</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3"/>
                <w:szCs w:val="13"/>
                <w:color w:val="auto"/>
              </w:rPr>
            </w:pPr>
          </w:p>
        </w:tc>
      </w:tr>
    </w:tbl>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Number of Loans Transacted</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define the Number of Loans Transacted as the transaction volume, measured by number of loans facilitated on our platform, between a borrower and originating bank during the period presented. We believe this metric to be a good proxy for our overall scale and reach as a platform. Number of Loans Transacted has benefited from continuous improvements to our AI models and technology and our ability to streamline and automate the loan application and origination process. Number of Loans Transacted is also driven by our strategic relationships with loan aggregators to attract applicants to our platform. In this regard, Credit Karma recently began directing more customer traffic to a program that hosts and aggregates the credit models of other loan providers directly on its platform for the purpose of giving credit offers. To date, Upstart has opted not to participate in this program. In November 2020, we experienced a reduction in the number of loan applicants directed to the Upstart platform by Credit Karma and a corresponding decrease in the Number of Loans Transacted, and we may experience additional reductions in traffic from Credit Karma in the future.</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Conversion Rate</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define Conversion Rate as the Number of Loans Transacted in a period divided by the number of rate inquiries received, which we record when a borrower requests a loan offer on our platform. We track this metric to understand the impact of improvements to the efficiency of our borrower funnel on our overall growth. Historically, our Conversion Rate has benefitted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Percentage of Loans Fully Automated</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 key driver of our contribution margin and operating efficiency is the Percentage of Loans Fully Automated, which is defined as the total number of loans in a given period originated end-to-end (from initial rate request to final funding) with no human involvement divided by the Number of Loans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320" w:top="407" w:right="135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Transacted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constant in the long term, and to the extent we expand our loan offerings beyond unsecured personal loans, we expect that such percentage may decrease in the short term.</w:t>
      </w:r>
    </w:p>
    <w:p>
      <w:pPr>
        <w:spacing w:after="0" w:line="242"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Components of Results of Operations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Platform and Referral Fees, Net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For bank partners that use our loan funding capabilities, these fees are charged net of any fees the bank partner charges Upstart. For the loans Upstart purchases from bank partners after the completion of the minimum holding periods, Upstart pays bank partners a one-time loan premium fee at the time the loan is sold by such bank partner to Upstart. Upstart also pays bank partners monthly loan trailing fees based on the amount and timing of principal and interest payments made by borrowers of the underlying loans.</w:t>
      </w:r>
      <w:r>
        <w:rPr>
          <w:rFonts w:ascii="Arial" w:cs="Arial" w:eastAsia="Arial" w:hAnsi="Arial"/>
          <w:sz w:val="12"/>
          <w:szCs w:val="12"/>
          <w:color w:val="auto"/>
        </w:rPr>
        <w:t>63</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Servicing Fees, Net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 Upstart currently acts as loan-servicer for substantially all outstanding loans facilitated through the Upstart platform.</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10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common stock warrant liabilities and convertible preferred stock warrant liabilities. Interest income and fair value adjustments, net also includes the full amount of net interest income and expense incurred by consolidated variable interest entities, or VIEs, the majority of which has been historically allocated to third parties in the line item net (loss) income attributable to noncontrolling interests on our consolidated statements of operations and comprehensive income (loss). Interest income and fair value adjustments, net can fluctuate based on the fair value of financial instruments held on our consolidated balance sheet. This amount has historically been a small percentage of our total revenue, and we do not manage our business with a focus on growing this component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7" w:lineRule="exact"/>
        <w:rPr>
          <w:sz w:val="20"/>
          <w:szCs w:val="20"/>
          <w:color w:val="auto"/>
        </w:rPr>
      </w:pPr>
    </w:p>
    <w:p>
      <w:pPr>
        <w:ind w:left="1480" w:hanging="453"/>
        <w:spacing w:after="0"/>
        <w:tabs>
          <w:tab w:leader="none" w:pos="1480" w:val="left"/>
        </w:tabs>
        <w:numPr>
          <w:ilvl w:val="0"/>
          <w:numId w:val="59"/>
        </w:numPr>
        <w:rPr>
          <w:rFonts w:ascii="Arial" w:cs="Arial" w:eastAsia="Arial" w:hAnsi="Arial"/>
          <w:sz w:val="20"/>
          <w:szCs w:val="20"/>
          <w:color w:val="auto"/>
          <w:vertAlign w:val="superscript"/>
        </w:rPr>
      </w:pPr>
      <w:r>
        <w:rPr>
          <w:rFonts w:ascii="Arial" w:cs="Arial" w:eastAsia="Arial" w:hAnsi="Arial"/>
          <w:sz w:val="12"/>
          <w:szCs w:val="12"/>
          <w:color w:val="auto"/>
        </w:rPr>
        <w:t>See Note 2 to our consolidated financial statements for more information about loan premium fees and trailing fees.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20"/>
          </w:cols>
          <w:pgMar w:left="320" w:top="407" w:right="135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10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Customer Operations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Number of Loans Transacted.</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Engineering and Product Development</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Engineering and product development expenses primarily consist of payroll and other personnel-related expenses, including stock-based compensation expense, for the engineering and product development teams as well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Administrative and Other</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 Following the completion of this offering, we expect to incur additional general, administrative and other expenses as a result of operating as a public company, including expenses related to compliance with the rules and regulations of the SEC, additional insurance expenses, investor relations activities and other administrative and professional services. We also expect to increase the size of our general and administrative function to support the growth of our business. As a result, we expect that our general, administrative and other expenses will increase in absolute dollars but may fluctuate as a percentage of our total revenue from period to period.</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Other income primarily consists of dividend income earned on our unrestricted cash balances and sublease income. Other income is recognized in the period earned. During the nine months ended September 30, 2020, other income also included the proceeds from a forgivable loan under the Paycheck Protection Program. For additional details, refer to Note 1 “Description of Business and Significant Accounting Policies” of our consolidated financial statements.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00"/>
          </w:cols>
          <w:pgMar w:left="320" w:top="407" w:right="137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Expense on Warrants and Convertible Notes, Net</w:t>
      </w:r>
    </w:p>
    <w:p>
      <w:pPr>
        <w:spacing w:after="0" w:line="105"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Expense on warrants and convertible notes, net is primarily comprised of the net changes in the fair value of our common and convertible preferred stock warrant liabilities, as well as interest expense on convertible notes outstanding in 2017 and 2018.</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incurred higher expenses in the quarters when the increases in the valuation of our preferred and common stock increased the most. In the fourth quarter of 2020, we estimate the expense for outstanding warrants to be approximately $6.5 million, which is significantly higher than the amount of the warrant expenses we experienced historically. We do not expect to incur additional expenses for the warrants in 2021 and beyond due to the exercise of the preferred stock warrants and the amendment to the common stock warrants as discussed in the sections titled “Description of Capital Stock” and “Liquidity and Capital Resources—Revolving Credit Facility”, respectively.</w:t>
      </w:r>
    </w:p>
    <w:p>
      <w:pPr>
        <w:spacing w:after="0" w:line="245"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historical consolidated statements of operations data:</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52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460" w:type="dxa"/>
            <w:vAlign w:val="bottom"/>
            <w:gridSpan w:val="9"/>
          </w:tcPr>
          <w:p>
            <w:pPr>
              <w:jc w:val="right"/>
              <w:ind w:right="64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42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5240" w:type="dxa"/>
            <w:vAlign w:val="bottom"/>
            <w:tcBorders>
              <w:bottom w:val="single" w:sz="8" w:color="CCEEFF"/>
            </w:tcBorders>
            <w:vMerge w:val="continue"/>
          </w:tcPr>
          <w:p>
            <w:pPr>
              <w:spacing w:after="0"/>
              <w:rPr>
                <w:sz w:val="10"/>
                <w:szCs w:val="10"/>
                <w:color w:val="auto"/>
              </w:rPr>
            </w:pPr>
          </w:p>
        </w:tc>
        <w:tc>
          <w:tcPr>
            <w:tcW w:w="50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2017</w:t>
            </w:r>
          </w:p>
        </w:tc>
        <w:tc>
          <w:tcPr>
            <w:tcW w:w="2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240" w:type="dxa"/>
            <w:vAlign w:val="bottom"/>
          </w:tcPr>
          <w:p>
            <w:pPr>
              <w:ind w:left="280"/>
              <w:spacing w:after="0" w:line="158" w:lineRule="exact"/>
              <w:rPr>
                <w:sz w:val="20"/>
                <w:szCs w:val="20"/>
                <w:color w:val="auto"/>
              </w:rPr>
            </w:pPr>
            <w:r>
              <w:rPr>
                <w:rFonts w:ascii="Arial" w:cs="Arial" w:eastAsia="Arial" w:hAnsi="Arial"/>
                <w:sz w:val="14"/>
                <w:szCs w:val="14"/>
                <w:color w:val="auto"/>
              </w:rPr>
              <w:t>Revenue from fees, net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$51,161</w:t>
            </w:r>
          </w:p>
        </w:tc>
        <w:tc>
          <w:tcPr>
            <w:tcW w:w="26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88,482</w:t>
            </w:r>
          </w:p>
        </w:tc>
        <w:tc>
          <w:tcPr>
            <w:tcW w:w="16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159,847</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98,699</w:t>
            </w:r>
          </w:p>
        </w:tc>
        <w:tc>
          <w:tcPr>
            <w:tcW w:w="1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144,179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6,128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4,342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2,918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63"/>
        </w:trPr>
        <w:tc>
          <w:tcPr>
            <w:tcW w:w="5240" w:type="dxa"/>
            <w:vAlign w:val="bottom"/>
          </w:tcPr>
          <w:p>
            <w:pPr>
              <w:ind w:left="540"/>
              <w:spacing w:after="0"/>
              <w:rPr>
                <w:sz w:val="20"/>
                <w:szCs w:val="20"/>
                <w:color w:val="auto"/>
              </w:rPr>
            </w:pPr>
            <w:r>
              <w:rPr>
                <w:rFonts w:ascii="Arial" w:cs="Arial" w:eastAsia="Arial" w:hAnsi="Arial"/>
                <w:sz w:val="14"/>
                <w:szCs w:val="14"/>
                <w:color w:val="auto"/>
              </w:rPr>
              <w:t>Total revenue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57,289</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164,189</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101,617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146,706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tcPr>
          <w:p>
            <w:pPr>
              <w:ind w:left="280"/>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33,838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63,633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93,175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61,236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65,113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10,232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15,416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24,947</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16,593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24,792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tcPr>
          <w:p>
            <w:pPr>
              <w:ind w:left="280"/>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5,324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8,415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11,480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24,651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15,431</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20,399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30,778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24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64,825</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107,284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168,764</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109,708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145,334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income from operations</w:t>
            </w: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(7,536)</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(7,971)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(4,575)</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(8,091)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330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1,036</w:t>
            </w: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832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5,497</w:t>
            </w: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on warrants and convertible notes, net</w:t>
            </w: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(3,734)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(1,407)</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(2,626)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4"/>
                <w:szCs w:val="14"/>
                <w:color w:val="auto"/>
              </w:rPr>
              <w:t>Net (loss) income before income taxes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(8,855)</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(11,218)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(4,946)</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(9,885)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4,552</w:t>
            </w: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4"/>
                <w:szCs w:val="14"/>
                <w:color w:val="auto"/>
              </w:rPr>
              <w:t>Net (loss) income before attribution to noncontrolling interests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(8,861)</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(11,218)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(5,020)</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(9,885)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4,552</w:t>
            </w: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(1,144)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(4,554)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(3,368)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4"/>
                <w:szCs w:val="14"/>
                <w:color w:val="auto"/>
              </w:rPr>
              <w:t>Net (loss) income attributable to Upstart Holdings, Inc. common stockholders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 (7,717)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(12,319)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(6,517)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4,956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0" w:lineRule="exact"/>
        <w:rPr>
          <w:sz w:val="20"/>
          <w:szCs w:val="20"/>
          <w:color w:val="auto"/>
        </w:rPr>
      </w:pPr>
    </w:p>
    <w:p>
      <w:pPr>
        <w:ind w:left="1480" w:hanging="453"/>
        <w:spacing w:after="0"/>
        <w:tabs>
          <w:tab w:leader="none" w:pos="1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tbl>
      <w:tblPr>
        <w:tblLayout w:type="fixed"/>
        <w:tblInd w:w="1480" w:type="dxa"/>
        <w:tblCellMar>
          <w:top w:w="0" w:type="dxa"/>
          <w:left w:w="0" w:type="dxa"/>
          <w:bottom w:w="0" w:type="dxa"/>
          <w:right w:w="0" w:type="dxa"/>
        </w:tblCellMar>
      </w:tblPr>
      <w:tr>
        <w:trPr>
          <w:trHeight w:val="121"/>
        </w:trPr>
        <w:tc>
          <w:tcPr>
            <w:tcW w:w="38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7"/>
          </w:tcPr>
          <w:p>
            <w:pPr>
              <w:jc w:val="right"/>
              <w:ind w:right="80"/>
              <w:spacing w:after="0" w:line="121" w:lineRule="exact"/>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38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880" w:type="dxa"/>
            <w:vAlign w:val="bottom"/>
          </w:tcPr>
          <w:p>
            <w:pPr>
              <w:spacing w:after="0"/>
              <w:rPr>
                <w:sz w:val="12"/>
                <w:szCs w:val="12"/>
                <w:color w:val="auto"/>
              </w:rPr>
            </w:pPr>
          </w:p>
        </w:tc>
        <w:tc>
          <w:tcPr>
            <w:tcW w:w="1760" w:type="dxa"/>
            <w:vAlign w:val="bottom"/>
            <w:gridSpan w:val="9"/>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2"/>
                <w:szCs w:val="12"/>
                <w:color w:val="auto"/>
              </w:rPr>
            </w:pPr>
          </w:p>
        </w:tc>
        <w:tc>
          <w:tcPr>
            <w:tcW w:w="114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3860" w:type="dxa"/>
            <w:vAlign w:val="bottom"/>
            <w:tcBorders>
              <w:bottom w:val="single" w:sz="8" w:color="CCEEFF"/>
            </w:tcBorders>
            <w:vMerge w:val="continue"/>
          </w:tcPr>
          <w:p>
            <w:pPr>
              <w:spacing w:after="0"/>
              <w:rPr>
                <w:sz w:val="10"/>
                <w:szCs w:val="10"/>
                <w:color w:val="auto"/>
              </w:rPr>
            </w:pPr>
          </w:p>
        </w:tc>
        <w:tc>
          <w:tcPr>
            <w:tcW w:w="1880" w:type="dxa"/>
            <w:vAlign w:val="bottom"/>
            <w:tcBorders>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2017</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2018</w:t>
            </w:r>
          </w:p>
        </w:tc>
        <w:tc>
          <w:tcPr>
            <w:tcW w:w="20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2019</w:t>
            </w:r>
          </w:p>
        </w:tc>
        <w:tc>
          <w:tcPr>
            <w:tcW w:w="2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w w:val="97"/>
              </w:rPr>
              <w:t>2019</w:t>
            </w:r>
          </w:p>
        </w:tc>
        <w:tc>
          <w:tcPr>
            <w:tcW w:w="10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1880" w:type="dxa"/>
            <w:vAlign w:val="bottom"/>
            <w:tcBorders>
              <w:right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32</w:t>
            </w:r>
          </w:p>
        </w:tc>
        <w:tc>
          <w:tcPr>
            <w:tcW w:w="1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183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157</w:t>
            </w:r>
          </w:p>
        </w:tc>
        <w:tc>
          <w:tcPr>
            <w:tcW w:w="20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35"/>
        </w:trPr>
        <w:tc>
          <w:tcPr>
            <w:tcW w:w="386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1880" w:type="dxa"/>
            <w:vAlign w:val="bottom"/>
          </w:tcPr>
          <w:p>
            <w:pPr>
              <w:spacing w:after="0"/>
              <w:rPr>
                <w:sz w:val="11"/>
                <w:szCs w:val="11"/>
                <w:color w:val="auto"/>
              </w:rPr>
            </w:pPr>
          </w:p>
        </w:tc>
        <w:tc>
          <w:tcPr>
            <w:tcW w:w="4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178</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433</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1880" w:type="dxa"/>
            <w:vAlign w:val="bottom"/>
            <w:tcBorders>
              <w:right w:val="single" w:sz="8" w:color="CCEEFF"/>
            </w:tcBorders>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753</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1,803</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932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3,181</w:t>
            </w:r>
          </w:p>
        </w:tc>
        <w:tc>
          <w:tcPr>
            <w:tcW w:w="0" w:type="dxa"/>
            <w:vAlign w:val="bottom"/>
          </w:tcPr>
          <w:p>
            <w:pPr>
              <w:spacing w:after="0"/>
              <w:rPr>
                <w:sz w:val="1"/>
                <w:szCs w:val="1"/>
                <w:color w:val="auto"/>
              </w:rPr>
            </w:pPr>
          </w:p>
        </w:tc>
      </w:tr>
      <w:tr>
        <w:trPr>
          <w:trHeight w:val="135"/>
        </w:trPr>
        <w:tc>
          <w:tcPr>
            <w:tcW w:w="386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1880" w:type="dxa"/>
            <w:vAlign w:val="bottom"/>
          </w:tcPr>
          <w:p>
            <w:pPr>
              <w:spacing w:after="0"/>
              <w:rPr>
                <w:sz w:val="11"/>
                <w:szCs w:val="11"/>
                <w:color w:val="auto"/>
              </w:rPr>
            </w:pPr>
          </w:p>
        </w:tc>
        <w:tc>
          <w:tcPr>
            <w:tcW w:w="4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931</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1,292</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863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2,160</w:t>
            </w:r>
          </w:p>
        </w:tc>
        <w:tc>
          <w:tcPr>
            <w:tcW w:w="0" w:type="dxa"/>
            <w:vAlign w:val="bottom"/>
          </w:tcPr>
          <w:p>
            <w:pPr>
              <w:spacing w:after="0"/>
              <w:rPr>
                <w:sz w:val="1"/>
                <w:szCs w:val="1"/>
                <w:color w:val="auto"/>
              </w:rPr>
            </w:pPr>
          </w:p>
        </w:tc>
      </w:tr>
      <w:tr>
        <w:trPr>
          <w:trHeight w:val="23"/>
        </w:trPr>
        <w:tc>
          <w:tcPr>
            <w:tcW w:w="386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18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1,290</w:t>
            </w:r>
          </w:p>
        </w:tc>
        <w:tc>
          <w:tcPr>
            <w:tcW w:w="1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2,045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3,806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2,204</w:t>
            </w: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7,102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20"/>
          </w:cols>
          <w:pgMar w:left="320" w:top="407" w:right="135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300"/>
        <w:spacing w:after="0"/>
        <w:rPr>
          <w:sz w:val="20"/>
          <w:szCs w:val="20"/>
          <w:color w:val="auto"/>
        </w:rPr>
      </w:pPr>
      <w:r>
        <w:rPr>
          <w:rFonts w:ascii="Arial" w:cs="Arial" w:eastAsia="Arial" w:hAnsi="Arial"/>
          <w:sz w:val="15"/>
          <w:szCs w:val="15"/>
          <w:b w:val="1"/>
          <w:bCs w:val="1"/>
          <w:color w:val="auto"/>
        </w:rPr>
        <w:t>Comparison of Nine Months Ended September 30, 2019 and 2020</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Revenue</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 forth our revenue from fees, net in the periods shown:</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4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Nine Months Ended September 30,</w:t>
            </w: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 Change</w:t>
            </w:r>
          </w:p>
        </w:tc>
        <w:tc>
          <w:tcPr>
            <w:tcW w:w="42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60" w:type="dxa"/>
            <w:vAlign w:val="bottom"/>
            <w:tcBorders>
              <w:bottom w:val="single" w:sz="8" w:color="CCEEFF"/>
            </w:tcBorders>
            <w:vMerge w:val="continue"/>
          </w:tcPr>
          <w:p>
            <w:pPr>
              <w:spacing w:after="0"/>
              <w:rPr>
                <w:sz w:val="10"/>
                <w:szCs w:val="10"/>
                <w:color w:val="auto"/>
              </w:rPr>
            </w:pPr>
          </w:p>
        </w:tc>
        <w:tc>
          <w:tcPr>
            <w:tcW w:w="12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51"/>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69"/>
              <w:spacing w:after="0" w:line="126" w:lineRule="exact"/>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42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4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Platform and referral fees, net</w:t>
            </w: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89,049</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123,485</w:t>
            </w: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$34,436</w:t>
            </w:r>
          </w:p>
        </w:tc>
        <w:tc>
          <w:tcPr>
            <w:tcW w:w="4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69"/>
        </w:trPr>
        <w:tc>
          <w:tcPr>
            <w:tcW w:w="3460" w:type="dxa"/>
            <w:vAlign w:val="bottom"/>
          </w:tcPr>
          <w:p>
            <w:pPr>
              <w:spacing w:after="0" w:line="169" w:lineRule="exact"/>
              <w:rPr>
                <w:sz w:val="20"/>
                <w:szCs w:val="20"/>
                <w:color w:val="auto"/>
              </w:rPr>
            </w:pPr>
            <w:r>
              <w:rPr>
                <w:rFonts w:ascii="Arial" w:cs="Arial" w:eastAsia="Arial" w:hAnsi="Arial"/>
                <w:sz w:val="15"/>
                <w:szCs w:val="15"/>
                <w:color w:val="auto"/>
              </w:rPr>
              <w:t>Servicing fees, net</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9,650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20,694</w:t>
            </w:r>
          </w:p>
        </w:tc>
        <w:tc>
          <w:tcPr>
            <w:tcW w:w="98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11,044</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3"/>
        </w:trPr>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revenue from fees, net</w:t>
            </w:r>
          </w:p>
        </w:tc>
        <w:tc>
          <w:tcPr>
            <w:tcW w:w="14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98,699</w:t>
            </w:r>
          </w:p>
        </w:tc>
        <w:tc>
          <w:tcPr>
            <w:tcW w:w="420" w:type="dxa"/>
            <w:vAlign w:val="bottom"/>
            <w:gridSpan w:val="2"/>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144,179</w:t>
            </w:r>
          </w:p>
        </w:tc>
        <w:tc>
          <w:tcPr>
            <w:tcW w:w="98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w w:val="99"/>
              </w:rPr>
              <w:t>$45,480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Revenue from fees, net increased $ 45.5 million, or 46%, in the nine months ended September 30, 2020, compared to the same period in 2019, which included an increase of $34.4 million in revenue from platform and referral fees, net and an increase of $11.0 million in servicing fees, net. The increase of the platform and referral fees net was primarily driven by a 30% increase in the Number of Loans Transacted from 136,468 in the nine months ended September 30, 2019 to 176,983 for the same period in 2020 as well as an increase in prices of our services in response to the market conditions caused by the COVID-19 pandemic. The increase in the servicing fees, net was primarily due to an 85% increase in outstanding loan principal, as well as a downward revaluation to the net liability of our servicing obligation.</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6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0" w:type="dxa"/>
            <w:vAlign w:val="bottom"/>
          </w:tcPr>
          <w:p>
            <w:pPr>
              <w:spacing w:after="0"/>
              <w:rPr>
                <w:sz w:val="12"/>
                <w:szCs w:val="12"/>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Nine Months Ended September 30,</w:t>
            </w:r>
          </w:p>
        </w:tc>
        <w:tc>
          <w:tcPr>
            <w:tcW w:w="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2"/>
                <w:szCs w:val="12"/>
                <w:b w:val="1"/>
                <w:bCs w:val="1"/>
                <w:color w:val="auto"/>
                <w:w w:val="99"/>
              </w:rPr>
              <w:t>Change</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26"/>
        </w:trPr>
        <w:tc>
          <w:tcPr>
            <w:tcW w:w="46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47"/>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46"/>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Operating entities</w:t>
            </w:r>
            <w:r>
              <w:rPr>
                <w:rFonts w:ascii="Arial" w:cs="Arial" w:eastAsia="Arial" w:hAnsi="Arial"/>
                <w:sz w:val="12"/>
                <w:szCs w:val="12"/>
                <w:color w:val="auto"/>
              </w:rPr>
              <w:t>(1)</w:t>
            </w:r>
            <w:r>
              <w:rPr>
                <w:rFonts w:ascii="Arial" w:cs="Arial" w:eastAsia="Arial" w:hAnsi="Arial"/>
                <w:sz w:val="15"/>
                <w:szCs w:val="15"/>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10,655</w:t>
            </w:r>
          </w:p>
        </w:tc>
        <w:tc>
          <w:tcPr>
            <w:tcW w:w="200" w:type="dxa"/>
            <w:vAlign w:val="bottom"/>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16,275</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5,620</w:t>
            </w: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(5,187)</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(4,655)</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(532)</w:t>
            </w:r>
          </w:p>
        </w:tc>
        <w:tc>
          <w:tcPr>
            <w:tcW w:w="8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Fair value adjustments, net</w:t>
            </w:r>
          </w:p>
        </w:tc>
        <w:tc>
          <w:tcPr>
            <w:tcW w:w="120" w:type="dxa"/>
            <w:vAlign w:val="bottom"/>
          </w:tcPr>
          <w:p>
            <w:pPr>
              <w:spacing w:after="0"/>
              <w:rPr>
                <w:sz w:val="14"/>
                <w:szCs w:val="14"/>
                <w:color w:val="auto"/>
              </w:rPr>
            </w:pP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(1,873)</w:t>
            </w:r>
          </w:p>
        </w:tc>
        <w:tc>
          <w:tcPr>
            <w:tcW w:w="200" w:type="dxa"/>
            <w:vAlign w:val="bottom"/>
          </w:tcPr>
          <w:p>
            <w:pPr>
              <w:spacing w:after="0"/>
              <w:rPr>
                <w:sz w:val="14"/>
                <w:szCs w:val="14"/>
                <w:color w:val="auto"/>
              </w:rPr>
            </w:pPr>
          </w:p>
        </w:tc>
        <w:tc>
          <w:tcPr>
            <w:tcW w:w="118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(9,675)</w:t>
            </w:r>
          </w:p>
        </w:tc>
        <w:tc>
          <w:tcPr>
            <w:tcW w:w="100" w:type="dxa"/>
            <w:vAlign w:val="bottom"/>
          </w:tcPr>
          <w:p>
            <w:pPr>
              <w:spacing w:after="0"/>
              <w:rPr>
                <w:sz w:val="14"/>
                <w:szCs w:val="14"/>
                <w:color w:val="auto"/>
              </w:rPr>
            </w:pPr>
          </w:p>
        </w:tc>
        <w:tc>
          <w:tcPr>
            <w:tcW w:w="94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7,802</w:t>
            </w: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consolidated entities</w:t>
            </w:r>
            <w:r>
              <w:rPr>
                <w:rFonts w:ascii="Arial" w:cs="Arial" w:eastAsia="Arial" w:hAnsi="Arial"/>
                <w:sz w:val="12"/>
                <w:szCs w:val="12"/>
                <w:color w:val="auto"/>
              </w:rPr>
              <w:t>(2)</w:t>
            </w: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tcPr>
          <w:p>
            <w:pPr>
              <w:spacing w:after="0"/>
              <w:rPr>
                <w:sz w:val="14"/>
                <w:szCs w:val="14"/>
                <w:color w:val="auto"/>
              </w:rPr>
            </w:pP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40,644</w:t>
            </w:r>
          </w:p>
        </w:tc>
        <w:tc>
          <w:tcPr>
            <w:tcW w:w="200" w:type="dxa"/>
            <w:vAlign w:val="bottom"/>
          </w:tcPr>
          <w:p>
            <w:pPr>
              <w:spacing w:after="0"/>
              <w:rPr>
                <w:sz w:val="14"/>
                <w:szCs w:val="14"/>
                <w:color w:val="auto"/>
              </w:rPr>
            </w:pPr>
          </w:p>
        </w:tc>
        <w:tc>
          <w:tcPr>
            <w:tcW w:w="118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6,430</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93"/>
              </w:rPr>
              <w:t>(34,214)</w:t>
            </w:r>
          </w:p>
        </w:tc>
        <w:tc>
          <w:tcPr>
            <w:tcW w:w="8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(16,941)</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(2,297)</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w w:val="93"/>
              </w:rPr>
              <w:t>(14,644)</w:t>
            </w:r>
          </w:p>
        </w:tc>
        <w:tc>
          <w:tcPr>
            <w:tcW w:w="8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Fair value adjustments, net</w:t>
            </w:r>
          </w:p>
        </w:tc>
        <w:tc>
          <w:tcPr>
            <w:tcW w:w="120" w:type="dxa"/>
            <w:vAlign w:val="bottom"/>
          </w:tcPr>
          <w:p>
            <w:pPr>
              <w:spacing w:after="0"/>
              <w:rPr>
                <w:sz w:val="14"/>
                <w:szCs w:val="14"/>
                <w:color w:val="auto"/>
              </w:rPr>
            </w:pP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(24,380)</w:t>
            </w:r>
          </w:p>
        </w:tc>
        <w:tc>
          <w:tcPr>
            <w:tcW w:w="200" w:type="dxa"/>
            <w:vAlign w:val="bottom"/>
          </w:tcPr>
          <w:p>
            <w:pPr>
              <w:spacing w:after="0"/>
              <w:rPr>
                <w:sz w:val="14"/>
                <w:szCs w:val="14"/>
                <w:color w:val="auto"/>
              </w:rPr>
            </w:pPr>
          </w:p>
        </w:tc>
        <w:tc>
          <w:tcPr>
            <w:tcW w:w="118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(3,551)</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93"/>
              </w:rPr>
              <w:t>(20,829)</w:t>
            </w:r>
          </w:p>
        </w:tc>
        <w:tc>
          <w:tcPr>
            <w:tcW w:w="8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Company:</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tcPr>
          <w:p>
            <w:pPr>
              <w:spacing w:after="0"/>
              <w:rPr>
                <w:sz w:val="14"/>
                <w:szCs w:val="14"/>
                <w:color w:val="auto"/>
              </w:rPr>
            </w:pP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51,299</w:t>
            </w:r>
          </w:p>
        </w:tc>
        <w:tc>
          <w:tcPr>
            <w:tcW w:w="200" w:type="dxa"/>
            <w:vAlign w:val="bottom"/>
          </w:tcPr>
          <w:p>
            <w:pPr>
              <w:spacing w:after="0"/>
              <w:rPr>
                <w:sz w:val="14"/>
                <w:szCs w:val="14"/>
                <w:color w:val="auto"/>
              </w:rPr>
            </w:pPr>
          </w:p>
        </w:tc>
        <w:tc>
          <w:tcPr>
            <w:tcW w:w="118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22,705</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93"/>
              </w:rPr>
              <w:t>(28,594)</w:t>
            </w:r>
          </w:p>
        </w:tc>
        <w:tc>
          <w:tcPr>
            <w:tcW w:w="8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(22,128)</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(6,952)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w w:val="93"/>
              </w:rPr>
              <w:t>(15,176)</w:t>
            </w:r>
          </w:p>
        </w:tc>
        <w:tc>
          <w:tcPr>
            <w:tcW w:w="8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Fair value adjustments, net</w:t>
            </w:r>
          </w:p>
        </w:tc>
        <w:tc>
          <w:tcPr>
            <w:tcW w:w="120" w:type="dxa"/>
            <w:vAlign w:val="bottom"/>
          </w:tcPr>
          <w:p>
            <w:pPr>
              <w:spacing w:after="0"/>
              <w:rPr>
                <w:sz w:val="14"/>
                <w:szCs w:val="14"/>
                <w:color w:val="auto"/>
              </w:rPr>
            </w:pP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(26,253)</w:t>
            </w:r>
          </w:p>
        </w:tc>
        <w:tc>
          <w:tcPr>
            <w:tcW w:w="200" w:type="dxa"/>
            <w:vAlign w:val="bottom"/>
          </w:tcPr>
          <w:p>
            <w:pPr>
              <w:spacing w:after="0"/>
              <w:rPr>
                <w:sz w:val="14"/>
                <w:szCs w:val="14"/>
                <w:color w:val="auto"/>
              </w:rPr>
            </w:pPr>
          </w:p>
        </w:tc>
        <w:tc>
          <w:tcPr>
            <w:tcW w:w="118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(13,226)</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93"/>
              </w:rPr>
              <w:t>(13,027)</w:t>
            </w:r>
          </w:p>
        </w:tc>
        <w:tc>
          <w:tcPr>
            <w:tcW w:w="8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interest income and fair value adjustments, net</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60"/>
              <w:spacing w:after="0" w:line="169" w:lineRule="exact"/>
              <w:rPr>
                <w:sz w:val="20"/>
                <w:szCs w:val="20"/>
                <w:color w:val="auto"/>
              </w:rPr>
            </w:pPr>
            <w:r>
              <w:rPr>
                <w:rFonts w:ascii="Arial" w:cs="Arial" w:eastAsia="Arial" w:hAnsi="Arial"/>
                <w:sz w:val="15"/>
                <w:szCs w:val="15"/>
                <w:color w:val="auto"/>
              </w:rPr>
              <w:t>2,918</w:t>
            </w: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line="169" w:lineRule="exact"/>
              <w:rPr>
                <w:sz w:val="20"/>
                <w:szCs w:val="20"/>
                <w:color w:val="auto"/>
              </w:rPr>
            </w:pPr>
            <w:r>
              <w:rPr>
                <w:rFonts w:ascii="Arial" w:cs="Arial" w:eastAsia="Arial" w:hAnsi="Arial"/>
                <w:sz w:val="15"/>
                <w:szCs w:val="15"/>
                <w:color w:val="auto"/>
              </w:rPr>
              <w:t>2,527</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(391)</w:t>
            </w:r>
          </w:p>
        </w:tc>
        <w:tc>
          <w:tcPr>
            <w:tcW w:w="8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Consist of balances recognized by entities participating in our ongoing operating activities, including warehouse entities.</w:t>
      </w:r>
    </w:p>
    <w:p>
      <w:pPr>
        <w:ind w:left="1480" w:hanging="453"/>
        <w:spacing w:after="0"/>
        <w:tabs>
          <w:tab w:leader="none" w:pos="1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Consists of balances recognized by other entities, including securitization entities and the fractional loan program (discontinued in 2019).</w:t>
      </w:r>
    </w:p>
    <w:p>
      <w:pPr>
        <w:spacing w:after="0" w:line="173"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Interest income and fair value adjustments, net decreased $0.4 million, or 13%, in the nine months ended September 30, 2020, compared to the same period in 2019. The decrease was driven by a $ 34.2 million decline in interest income and a decline in interest expense and fair value adjustments, of $14.6 million and $20.8 million, respectively, recognized by other consolidated entities. These decreases were due to a reduction of consolidated loan balances from securitization-related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07" w:right="135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VIEs caused by the deconsolidation of previously consolidated securitizations 2017-1, 2017-2, and 2018-1. The deconsolidation of these entities was a result of the expiration of the related risk retention requirements, which caused us to conclude that we are no longer a primary beneficiary of these entities. For additional details, refer to Note 3, “Securitizations and Variable Interest Entities” of our consolidated financial statements. The decrease of the total net interest income and fair value adjustment was also caused by an increase of $7.8 million of fair value adjustments recognized by the operating entities. These negative adjustments were primarily due to the market changes caused by the COVID-19 pandemic. This increase was partially offset by an increase of $5.6 million of interest income in these entities. This increase was a result of an increased average loan balances held by the operating entities during these periods.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Operating Expenses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0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80" w:type="dxa"/>
            <w:vAlign w:val="bottom"/>
            <w:vMerge w:val="restart"/>
          </w:tcPr>
          <w:p>
            <w:pPr>
              <w:spacing w:after="0"/>
              <w:rPr>
                <w:sz w:val="20"/>
                <w:szCs w:val="20"/>
                <w:color w:val="auto"/>
              </w:rPr>
            </w:pPr>
            <w:r>
              <w:rPr>
                <w:rFonts w:ascii="Arial" w:cs="Arial" w:eastAsia="Arial" w:hAnsi="Arial"/>
                <w:sz w:val="12"/>
                <w:szCs w:val="12"/>
                <w:b w:val="1"/>
                <w:bCs w:val="1"/>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Change</w:t>
            </w:r>
          </w:p>
        </w:tc>
        <w:tc>
          <w:tcPr>
            <w:tcW w:w="46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tcBorders>
              <w:bottom w:val="single" w:sz="8" w:color="CCEEFF"/>
            </w:tcBorders>
            <w:vMerge w:val="continue"/>
          </w:tcPr>
          <w:p>
            <w:pPr>
              <w:spacing w:after="0"/>
              <w:rPr>
                <w:sz w:val="10"/>
                <w:szCs w:val="10"/>
                <w:color w:val="auto"/>
              </w:rPr>
            </w:pPr>
          </w:p>
        </w:tc>
        <w:tc>
          <w:tcPr>
            <w:tcW w:w="162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Sales and marketing</w:t>
            </w:r>
          </w:p>
        </w:tc>
        <w:tc>
          <w:tcPr>
            <w:tcW w:w="16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61,236</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65,113</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3,877</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Sales and marketing expenses increased by $ 3.9 million, or 6%, in the nine months ended September 30, 2020, compared to the same period in 2019. The increase was primarily due to a $2.1 million increase in payroll and other personnel-related expenses driven by increased headcount, as well as a $0.7 million increase in advertising and other traffic acquisition costs.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Customer Operations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0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80" w:type="dxa"/>
            <w:vAlign w:val="bottom"/>
            <w:vMerge w:val="restart"/>
          </w:tcPr>
          <w:p>
            <w:pPr>
              <w:spacing w:after="0"/>
              <w:rPr>
                <w:sz w:val="20"/>
                <w:szCs w:val="20"/>
                <w:color w:val="auto"/>
              </w:rPr>
            </w:pPr>
            <w:r>
              <w:rPr>
                <w:rFonts w:ascii="Arial" w:cs="Arial" w:eastAsia="Arial" w:hAnsi="Arial"/>
                <w:sz w:val="12"/>
                <w:szCs w:val="12"/>
                <w:b w:val="1"/>
                <w:bCs w:val="1"/>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Change</w:t>
            </w:r>
          </w:p>
        </w:tc>
        <w:tc>
          <w:tcPr>
            <w:tcW w:w="46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20" w:type="dxa"/>
            <w:vAlign w:val="bottom"/>
            <w:tcBorders>
              <w:bottom w:val="single" w:sz="8" w:color="CCEEFF"/>
            </w:tcBorders>
            <w:vMerge w:val="continue"/>
          </w:tcPr>
          <w:p>
            <w:pPr>
              <w:spacing w:after="0"/>
              <w:rPr>
                <w:sz w:val="10"/>
                <w:szCs w:val="10"/>
                <w:color w:val="auto"/>
              </w:rPr>
            </w:pPr>
          </w:p>
        </w:tc>
        <w:tc>
          <w:tcPr>
            <w:tcW w:w="16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Customer Operations</w:t>
            </w:r>
          </w:p>
        </w:tc>
        <w:tc>
          <w:tcPr>
            <w:tcW w:w="16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16,593</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24,792</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8,199</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1020" w:right="20" w:firstLine="460"/>
        <w:spacing w:after="0" w:line="238" w:lineRule="auto"/>
        <w:rPr>
          <w:sz w:val="20"/>
          <w:szCs w:val="20"/>
          <w:color w:val="auto"/>
        </w:rPr>
      </w:pPr>
      <w:r>
        <w:rPr>
          <w:rFonts w:ascii="Arial" w:cs="Arial" w:eastAsia="Arial" w:hAnsi="Arial"/>
          <w:sz w:val="15"/>
          <w:szCs w:val="15"/>
          <w:color w:val="auto"/>
        </w:rPr>
        <w:t>Customer operations expenses increased by $ 8.2 million, or 49%, in the nine months ended September 30, 2020, compared to the same period in 2019. The increase was primarily due to an increase of $6.4 million in payroll and other personnel-related expenses due to an increase in headcount as well as increased spending of $1.7 million in information verification and platform operations due to a growing volume of loans facilitated through our platform.</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Engineering and Product Development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6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9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Change</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26"/>
        </w:trPr>
        <w:tc>
          <w:tcPr>
            <w:tcW w:w="36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75"/>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Engineering and product development</w:t>
            </w:r>
          </w:p>
        </w:tc>
        <w:tc>
          <w:tcPr>
            <w:tcW w:w="1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60" w:type="dxa"/>
            <w:vAlign w:val="bottom"/>
            <w:vMerge w:val="continue"/>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11,480</w:t>
            </w:r>
          </w:p>
        </w:tc>
        <w:tc>
          <w:tcPr>
            <w:tcW w:w="4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24,651</w:t>
            </w:r>
          </w:p>
        </w:tc>
        <w:tc>
          <w:tcPr>
            <w:tcW w:w="400" w:type="dxa"/>
            <w:vAlign w:val="bottom"/>
            <w:vMerge w:val="continue"/>
            <w:shd w:val="clear" w:color="auto" w:fill="CCEEFF"/>
          </w:tcPr>
          <w:p>
            <w:pPr>
              <w:spacing w:after="0"/>
              <w:rPr>
                <w:sz w:val="13"/>
                <w:szCs w:val="13"/>
                <w:color w:val="auto"/>
              </w:rPr>
            </w:pPr>
          </w:p>
        </w:tc>
        <w:tc>
          <w:tcPr>
            <w:tcW w:w="5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5"/>
              </w:rPr>
              <w:t>$13,171</w:t>
            </w:r>
          </w:p>
        </w:tc>
        <w:tc>
          <w:tcPr>
            <w:tcW w:w="420" w:type="dxa"/>
            <w:vAlign w:val="bottom"/>
            <w:vMerge w:val="continue"/>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Engineering and product development expenses increased by $13.2 million, or 115%, in the nine months ended September 30, 2020, compared to the same period in 2019. The increase was primarily due to an increase of $10.2 million in payroll and other personnel-related expenses driven by an increase in headcount, as well as a $2.9 million increase in spending on consultants and other engineering support services.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Administrative, and Other</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38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w w:val="99"/>
              </w:rPr>
              <w:t>$ Change</w:t>
            </w:r>
          </w:p>
        </w:tc>
        <w:tc>
          <w:tcPr>
            <w:tcW w:w="46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80" w:type="dxa"/>
            <w:vAlign w:val="bottom"/>
            <w:tcBorders>
              <w:bottom w:val="single" w:sz="8" w:color="CCEEFF"/>
            </w:tcBorders>
            <w:vMerge w:val="continue"/>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General, administrative, and other</w:t>
            </w: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20,399</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45"/>
              <w:spacing w:after="0" w:line="161"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30,778</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9"/>
              </w:rPr>
              <w:t>$10,379</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303"/>
        </w:trPr>
        <w:tc>
          <w:tcPr>
            <w:tcW w:w="33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110</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General, administrative, and other expenses increased by $10.4 million, or 51%, in the nine months ended September 30, 2020, compared to the same period in 2019. The increase was primarily due to an increase of $ 3.1 million in personnel-related costs as a result of increased headcount; an increase of $2.2 million in office rent and other facility-related expenses due to the opening of our second headquarters in Columbus, Ohio, and relocation of our first headquarters from San Carlos, California to San Mateo, California; an increase of $1.5 million in legal and compliance-related expenses; and an increase of $1.1 million in other professional services fees.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27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860" w:type="dxa"/>
            <w:vAlign w:val="bottom"/>
          </w:tcPr>
          <w:p>
            <w:pPr>
              <w:spacing w:after="0"/>
              <w:rPr>
                <w:sz w:val="12"/>
                <w:szCs w:val="12"/>
                <w:color w:val="auto"/>
              </w:rPr>
            </w:pPr>
          </w:p>
        </w:tc>
        <w:tc>
          <w:tcPr>
            <w:tcW w:w="2820" w:type="dxa"/>
            <w:vAlign w:val="bottom"/>
            <w:gridSpan w:val="6"/>
          </w:tcPr>
          <w:p>
            <w:pPr>
              <w:ind w:left="180"/>
              <w:spacing w:after="0"/>
              <w:rPr>
                <w:sz w:val="20"/>
                <w:szCs w:val="20"/>
                <w:color w:val="auto"/>
              </w:rPr>
            </w:pPr>
            <w:r>
              <w:rPr>
                <w:rFonts w:ascii="Arial" w:cs="Arial" w:eastAsia="Arial" w:hAnsi="Arial"/>
                <w:sz w:val="12"/>
                <w:szCs w:val="12"/>
                <w:b w:val="1"/>
                <w:bCs w:val="1"/>
                <w:color w:val="auto"/>
              </w:rPr>
              <w:t>Nine Months Ended September 30,</w:t>
            </w:r>
          </w:p>
        </w:tc>
        <w:tc>
          <w:tcPr>
            <w:tcW w:w="80" w:type="dxa"/>
            <w:vAlign w:val="bottom"/>
            <w:vMerge w:val="restart"/>
          </w:tcPr>
          <w:p>
            <w:pPr>
              <w:spacing w:after="0"/>
              <w:rPr>
                <w:sz w:val="20"/>
                <w:szCs w:val="20"/>
                <w:color w:val="auto"/>
              </w:rPr>
            </w:pPr>
            <w:r>
              <w:rPr>
                <w:rFonts w:ascii="Arial" w:cs="Arial" w:eastAsia="Arial" w:hAnsi="Arial"/>
                <w:sz w:val="12"/>
                <w:szCs w:val="12"/>
                <w:b w:val="1"/>
                <w:bCs w:val="1"/>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Change</w:t>
            </w:r>
          </w:p>
        </w:tc>
        <w:tc>
          <w:tcPr>
            <w:tcW w:w="46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Borders>
              <w:bottom w:val="single" w:sz="8" w:color="CCEEFF"/>
            </w:tcBorders>
            <w:vMerge w:val="continue"/>
          </w:tcPr>
          <w:p>
            <w:pPr>
              <w:spacing w:after="0"/>
              <w:rPr>
                <w:sz w:val="10"/>
                <w:szCs w:val="10"/>
                <w:color w:val="auto"/>
              </w:rPr>
            </w:pPr>
          </w:p>
        </w:tc>
        <w:tc>
          <w:tcPr>
            <w:tcW w:w="186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7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Other income</w:t>
            </w:r>
          </w:p>
        </w:tc>
        <w:tc>
          <w:tcPr>
            <w:tcW w:w="1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75"/>
              <w:spacing w:after="0" w:line="161" w:lineRule="exact"/>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832</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5,497</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4,665</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561%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Other income increased by $4.7 million, or 561%, in the nine months ended September 30, 2020, compared to the same period in 2019. The increase was primarily due to receipt of funds under the PPP, totaling $5.3 million and an increase in unrestricted cash balances held in interest-bearing deposit accounts throughout the year at commercial banks, which was partially offset by a decrease in dividend income of $0.8 million.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Expense on Warrants and Convertible Notes,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5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0" w:type="dxa"/>
            <w:vAlign w:val="bottom"/>
          </w:tcPr>
          <w:p>
            <w:pPr>
              <w:spacing w:after="0"/>
              <w:rPr>
                <w:sz w:val="12"/>
                <w:szCs w:val="12"/>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Nine Months Ended September 30,</w:t>
            </w:r>
          </w:p>
        </w:tc>
        <w:tc>
          <w:tcPr>
            <w:tcW w:w="22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2"/>
                <w:szCs w:val="12"/>
                <w:b w:val="1"/>
                <w:bCs w:val="1"/>
                <w:color w:val="auto"/>
                <w:w w:val="95"/>
              </w:rPr>
              <w:t>Change</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26"/>
        </w:trPr>
        <w:tc>
          <w:tcPr>
            <w:tcW w:w="45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72"/>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Expense on warrants and convertible notes, net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(2,626)</w:t>
            </w:r>
          </w:p>
        </w:tc>
        <w:tc>
          <w:tcPr>
            <w:tcW w:w="5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jc w:val="right"/>
              <w:ind w:right="45"/>
              <w:spacing w:after="0" w:line="161"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(2,317)</w:t>
            </w:r>
          </w:p>
        </w:tc>
        <w:tc>
          <w:tcPr>
            <w:tcW w:w="28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(309)</w:t>
            </w:r>
          </w:p>
        </w:tc>
        <w:tc>
          <w:tcPr>
            <w:tcW w:w="500" w:type="dxa"/>
            <w:vAlign w:val="bottom"/>
            <w:vMerge w:val="continue"/>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Expense on warrants and convertible notes decreased by $ 0.3 million, or 12%, in the nine months ended September 30, 2020, compared to the same period in 2019. The decrease was primarily a result of a lower number of instruments outstanding in 2020 due to a repurchase and retirement of certain warrants in the fourth quarter of 2019.</w:t>
      </w:r>
    </w:p>
    <w:p>
      <w:pPr>
        <w:spacing w:after="0" w:line="242"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Comparison of the Years Ended December 31, 2017, 2018, and 2019</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Revenue</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 forth our revenue from fees, net in the periods shown:</w:t>
      </w:r>
    </w:p>
    <w:p>
      <w:pPr>
        <w:spacing w:after="0" w:line="393"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3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Pr>
          <w:p>
            <w:pPr>
              <w:spacing w:after="0"/>
              <w:rPr>
                <w:sz w:val="13"/>
                <w:szCs w:val="13"/>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310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11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96"/>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31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Platform and referral fees, net</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$48,067</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$83,381</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$144,055</w:t>
            </w:r>
          </w:p>
        </w:tc>
        <w:tc>
          <w:tcPr>
            <w:tcW w:w="16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73%</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w:t>
            </w:r>
          </w:p>
        </w:tc>
      </w:tr>
      <w:tr>
        <w:trPr>
          <w:trHeight w:val="160"/>
        </w:trPr>
        <w:tc>
          <w:tcPr>
            <w:tcW w:w="3100" w:type="dxa"/>
            <w:vAlign w:val="bottom"/>
          </w:tcPr>
          <w:p>
            <w:pPr>
              <w:spacing w:after="0" w:line="158" w:lineRule="exact"/>
              <w:rPr>
                <w:sz w:val="20"/>
                <w:szCs w:val="20"/>
                <w:color w:val="auto"/>
              </w:rPr>
            </w:pPr>
            <w:r>
              <w:rPr>
                <w:rFonts w:ascii="Arial" w:cs="Arial" w:eastAsia="Arial" w:hAnsi="Arial"/>
                <w:sz w:val="14"/>
                <w:szCs w:val="14"/>
                <w:color w:val="auto"/>
              </w:rPr>
              <w:t>Servicing fees, net</w:t>
            </w:r>
          </w:p>
        </w:tc>
        <w:tc>
          <w:tcPr>
            <w:tcW w:w="114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3,094</w:t>
            </w:r>
          </w:p>
        </w:tc>
        <w:tc>
          <w:tcPr>
            <w:tcW w:w="4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5,101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15,792</w:t>
            </w:r>
          </w:p>
        </w:tc>
        <w:tc>
          <w:tcPr>
            <w:tcW w:w="16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65%</w:t>
            </w: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210%</w:t>
            </w:r>
          </w:p>
        </w:tc>
      </w:tr>
      <w:tr>
        <w:trPr>
          <w:trHeight w:val="158"/>
        </w:trPr>
        <w:tc>
          <w:tcPr>
            <w:tcW w:w="31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revenue from fees, net</w:t>
            </w:r>
          </w:p>
        </w:tc>
        <w:tc>
          <w:tcPr>
            <w:tcW w:w="1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51,161</w:t>
            </w: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88,482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159,847</w:t>
            </w:r>
          </w:p>
        </w:tc>
        <w:tc>
          <w:tcPr>
            <w:tcW w:w="16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73%</w:t>
            </w:r>
          </w:p>
        </w:tc>
        <w:tc>
          <w:tcPr>
            <w:tcW w:w="8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81%</w:t>
            </w:r>
          </w:p>
        </w:tc>
      </w:tr>
      <w:tr>
        <w:trPr>
          <w:trHeight w:val="20"/>
        </w:trPr>
        <w:tc>
          <w:tcPr>
            <w:tcW w:w="3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Revenue from fees, net increased $71.4 million, or 81%, in the year ended December 31, 2019, compared to the prior year. The increase was primarily due to an increase of $60.7 million in revenue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20"/>
          </w:cols>
          <w:pgMar w:left="320" w:top="407" w:right="135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from platform and referral fees, net. This increase was primarily driven by an 88% increase in the Number of Loans Transacted from 114,125 for the year ended December 31, 2018 to 215,122 for the year ended December 31, 2019. Servicing fees, net increased by $10.7 million due to a doubling in average outstanding loan principal, as well as a downward revaluation to the net liability of our servicing obligation.</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Revenue from fees, net increased $37.3 million, or 73%, in the year ended December 31, 2018 compared to the prior year, comprised primarily of an increase of $35.3 million in revenue from platform and referral fees, net. This increase was primarily due to an 62% increase in the Number of Loans Transacted from 70,457 for the year ended December 31, 2017 to 114,125 for the year ended December 31, 2018.</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98"/>
              </w:rPr>
              <w:t>2017 to 2018</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3640" w:type="dxa"/>
            <w:vAlign w:val="bottom"/>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34"/>
              <w:spacing w:after="0" w:line="126" w:lineRule="exact"/>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0"/>
                <w:szCs w:val="10"/>
                <w:color w:val="auto"/>
              </w:rPr>
            </w:pPr>
          </w:p>
        </w:tc>
        <w:tc>
          <w:tcPr>
            <w:tcW w:w="1260" w:type="dxa"/>
            <w:vAlign w:val="bottom"/>
            <w:gridSpan w:val="2"/>
          </w:tcPr>
          <w:p>
            <w:pPr>
              <w:jc w:val="right"/>
              <w:ind w:right="620"/>
              <w:spacing w:after="0" w:line="126" w:lineRule="exact"/>
              <w:rPr>
                <w:sz w:val="20"/>
                <w:szCs w:val="20"/>
                <w:color w:val="auto"/>
              </w:rPr>
            </w:pPr>
            <w:r>
              <w:rPr>
                <w:rFonts w:ascii="Arial" w:cs="Arial" w:eastAsia="Arial" w:hAnsi="Arial"/>
                <w:sz w:val="12"/>
                <w:szCs w:val="12"/>
                <w:b w:val="1"/>
                <w:bCs w:val="1"/>
                <w:color w:val="auto"/>
              </w:rPr>
              <w:t>% Change</w:t>
            </w:r>
          </w:p>
        </w:tc>
        <w:tc>
          <w:tcPr>
            <w:tcW w:w="920" w:type="dxa"/>
            <w:vAlign w:val="bottom"/>
            <w:gridSpan w:val="2"/>
          </w:tcPr>
          <w:p>
            <w:pPr>
              <w:jc w:val="right"/>
              <w:ind w:right="280"/>
              <w:spacing w:after="0" w:line="126" w:lineRule="exact"/>
              <w:rPr>
                <w:sz w:val="20"/>
                <w:szCs w:val="20"/>
                <w:color w:val="auto"/>
              </w:rPr>
            </w:pPr>
            <w:r>
              <w:rPr>
                <w:rFonts w:ascii="Arial" w:cs="Arial" w:eastAsia="Arial" w:hAnsi="Arial"/>
                <w:sz w:val="12"/>
                <w:szCs w:val="12"/>
                <w:b w:val="1"/>
                <w:bCs w:val="1"/>
                <w:color w:val="auto"/>
              </w:rPr>
              <w:t>% Change</w:t>
            </w:r>
          </w:p>
        </w:tc>
      </w:tr>
      <w:tr>
        <w:trPr>
          <w:trHeight w:val="138"/>
        </w:trPr>
        <w:tc>
          <w:tcPr>
            <w:tcW w:w="36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0"/>
                <w:szCs w:val="10"/>
                <w:color w:val="auto"/>
              </w:rPr>
              <w:t>Operating entities</w:t>
            </w:r>
            <w:r>
              <w:rPr>
                <w:rFonts w:ascii="Arial" w:cs="Arial" w:eastAsia="Arial" w:hAnsi="Arial"/>
                <w:sz w:val="15"/>
                <w:szCs w:val="15"/>
                <w:color w:val="auto"/>
                <w:vertAlign w:val="superscript"/>
              </w:rPr>
              <w:t>(1)</w:t>
            </w:r>
            <w:r>
              <w:rPr>
                <w:rFonts w:ascii="Arial" w:cs="Arial" w:eastAsia="Arial" w:hAnsi="Arial"/>
                <w:sz w:val="10"/>
                <w:szCs w:val="10"/>
                <w:color w:val="auto"/>
              </w:rPr>
              <w:t>:</w:t>
            </w: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4,386</w:t>
            </w: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9,924</w:t>
            </w:r>
          </w:p>
        </w:tc>
        <w:tc>
          <w:tcPr>
            <w:tcW w:w="2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16,092</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126%</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62%</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(2,335)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(4,818)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(7,184)</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106%</w:t>
            </w:r>
          </w:p>
        </w:tc>
        <w:tc>
          <w:tcPr>
            <w:tcW w:w="9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49%</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646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(1,619)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(796)</w:t>
            </w: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(351%)</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51%</w:t>
            </w:r>
          </w:p>
        </w:tc>
      </w:tr>
      <w:tr>
        <w:trPr>
          <w:trHeight w:val="158"/>
        </w:trPr>
        <w:tc>
          <w:tcPr>
            <w:tcW w:w="36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Other consolidated entities</w:t>
            </w:r>
            <w:r>
              <w:rPr>
                <w:rFonts w:ascii="Arial" w:cs="Arial" w:eastAsia="Arial" w:hAnsi="Arial"/>
                <w:sz w:val="18"/>
                <w:szCs w:val="18"/>
                <w:color w:val="auto"/>
                <w:vertAlign w:val="superscript"/>
              </w:rPr>
              <w:t>(2)</w:t>
            </w: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16,748</w:t>
            </w:r>
          </w:p>
        </w:tc>
        <w:tc>
          <w:tcPr>
            <w:tcW w:w="240" w:type="dxa"/>
            <w:vAlign w:val="bottom"/>
          </w:tcPr>
          <w:p>
            <w:pPr>
              <w:spacing w:after="0"/>
              <w:rPr>
                <w:sz w:val="13"/>
                <w:szCs w:val="13"/>
                <w:color w:val="auto"/>
              </w:rPr>
            </w:pP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66,759</w:t>
            </w:r>
          </w:p>
        </w:tc>
        <w:tc>
          <w:tcPr>
            <w:tcW w:w="240" w:type="dxa"/>
            <w:vAlign w:val="bottom"/>
          </w:tcPr>
          <w:p>
            <w:pPr>
              <w:spacing w:after="0"/>
              <w:rPr>
                <w:sz w:val="13"/>
                <w:szCs w:val="13"/>
                <w:color w:val="auto"/>
              </w:rPr>
            </w:pPr>
          </w:p>
        </w:tc>
        <w:tc>
          <w:tcPr>
            <w:tcW w:w="2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47,221</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299%</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(29%)</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(7,085)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91"/>
              </w:rPr>
              <w:t>(21,665)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5"/>
              </w:rPr>
              <w:t>(19,301)</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206%</w:t>
            </w:r>
          </w:p>
        </w:tc>
        <w:tc>
          <w:tcPr>
            <w:tcW w:w="9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w w:val="99"/>
              </w:rPr>
              <w:t>(6,232)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w w:val="91"/>
              </w:rPr>
              <w:t>(37,750)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5"/>
              </w:rPr>
              <w:t>(31,690)</w:t>
            </w: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506%</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w:t>
            </w: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Company:</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21,134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76,683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63,313</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263%</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(9,420)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91"/>
              </w:rPr>
              <w:t>(26,483)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5"/>
              </w:rPr>
              <w:t>(26,485)</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181%</w:t>
            </w:r>
          </w:p>
        </w:tc>
        <w:tc>
          <w:tcPr>
            <w:tcW w:w="9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w w:val="99"/>
              </w:rPr>
              <w:t>(5,586)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w w:val="91"/>
              </w:rPr>
              <w:t>(39,369)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5"/>
              </w:rPr>
              <w:t>(32,486)</w:t>
            </w: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605%</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(17%)</w:t>
            </w: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interest income and fair value adjustments, net</w:t>
            </w: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6,128</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4,342</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77%</w:t>
            </w:r>
          </w:p>
        </w:tc>
        <w:tc>
          <w:tcPr>
            <w:tcW w:w="9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Consist of balances recognized by entities participating in our ongoing operating activities, including warehouse entities.</w:t>
      </w:r>
    </w:p>
    <w:p>
      <w:pPr>
        <w:ind w:left="1480" w:hanging="453"/>
        <w:spacing w:after="0"/>
        <w:tabs>
          <w:tab w:leader="none" w:pos="1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Consists of balances recognized by other entities, including securitization entities and the fractional loan program (discontinued in 2019).</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Interest income and fair value adjustments, net decreased $6.5 million, or 60%, in the year ended December 31, 2019 compared to the prior year. The decrease was primarily driven by a $19.5 million decline in interest income due to a reduction of consolidated loan balances from other consolidated entities, including securitization-related VIEs, in the year ended December 31, 2019. This reduction was primarily a result of the change in the structure of the risk retention for securitizations sponsored by us, which allowed us to conclude that we are not a primary beneficiary of securitizations completed after the first half of 2018. For additional details, refer to Note 3, “Securitizations and Variable Interest Entities” of our consolidated financial statements. This decrease was partially offset by the increase of $6.2 million in the amount of interest income recognized by the operating entities due to a higher average loan balances held by operating entities as well as the lower amount of fair value adjustments to consolidated assets held by the other consolidated entities, which decreased by $6.0 million, primarily due to a reduction of consolidated loan balances from these entities.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20"/>
          </w:cols>
          <w:pgMar w:left="320" w:top="407" w:right="135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Interest income and fair value adjustments, net increased $4.7 million, or 77%, in the year ended December 31, 2018 compared to the prior year. The increase was primarily driven by the increase of $50.0 million in interest income due to growth in consolidated loan balances from other consolidated entities, including securitization-related VIEs, in the year ended December 31, 2018. The increase was a result of securitizations, for which we were a primary beneficiary, that were completed in late 2017 and early 2018. For additional details, refer to Note 3, “Securitizations and Variable Interest Entities” of our consolidated financial statements. The increase in the outstanding balance of loans on our consolidated balance sheets was primarily attributable to our securitization program, which launched in June of 2017 and increased during the year ended December 31, 2018. This increase was partially offset by an increase of $31.5 million in the fair value adjustments for assets held by these entities as well as a $14.6 million increase in interest expense recognized by these entities for the year ended December 31, 2018, which were primarily caused by an increase in related consolidated loan balances and senior securities issued against these securitized loan pools.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Operating Expenses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Sales and marketing</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$33,838</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$63,633</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$93,175</w:t>
            </w:r>
          </w:p>
        </w:tc>
        <w:tc>
          <w:tcPr>
            <w:tcW w:w="16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Sales and marketing expenses increased by $29.5 million, or 46%, in the year ended December 31, 2019 compared to the prior year. The increase was primarily due to increased spending of $26.8 million for partnerships with parties providing borrower referrals and a $1.6 million increase in payroll and other personnel-related expenses driven by increased headcount, as well as a $1.1 million increase in advertising and other traffic acquisition costs. As a percentage of total revenue, sales and marketing expenses decreased from 64% to 57%.</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Sales and marketing expenses increased by $29.8 million, or 88%, in the year ended December 31, 2018 compared to the prior year. The increase was primarily due to increased spending of $14.6 million in digital and direct mail advertising campaigns, as well as an increase of $13.5 million in spending for partnerships with parties providing borrower referrals. As a percentage of total revenue, sales and marketing expenses increased from 59% to 64%.</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Customer Operations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Customer operations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$10,232</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$15,416</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$24,947</w:t>
            </w:r>
          </w:p>
        </w:tc>
        <w:tc>
          <w:tcPr>
            <w:tcW w:w="16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jc w:val="both"/>
        <w:ind w:left="1020" w:right="280" w:firstLine="460"/>
        <w:spacing w:after="0"/>
        <w:rPr>
          <w:sz w:val="20"/>
          <w:szCs w:val="20"/>
          <w:color w:val="auto"/>
        </w:rPr>
      </w:pPr>
      <w:r>
        <w:rPr>
          <w:rFonts w:ascii="Arial" w:cs="Arial" w:eastAsia="Arial" w:hAnsi="Arial"/>
          <w:sz w:val="15"/>
          <w:szCs w:val="15"/>
          <w:color w:val="auto"/>
        </w:rPr>
        <w:t>Customer operations expenses increased by $9.5 million, or 62%, in the year ended December 31, 2019 compared to the prior year. The increase was primarily due to an increase of $5.0 million in payroll and other personnel-related expenses due to increases in headcount, as well as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20"/>
          </w:cols>
          <w:pgMar w:left="320" w:top="407" w:right="135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45" w:lineRule="auto"/>
        <w:rPr>
          <w:sz w:val="20"/>
          <w:szCs w:val="20"/>
          <w:color w:val="auto"/>
        </w:rPr>
      </w:pPr>
      <w:r>
        <w:rPr>
          <w:rFonts w:ascii="Arial" w:cs="Arial" w:eastAsia="Arial" w:hAnsi="Arial"/>
          <w:sz w:val="15"/>
          <w:szCs w:val="15"/>
          <w:color w:val="auto"/>
        </w:rPr>
        <w:t>increased spending of $4.4 million in information verification and platform operations due to a growing volume of loans facilitated through our platform. As a percentage of total revenue, customer operations expenses decreased from 16% to 15%.</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Customer operations expenses increased by $5.2 million, or 51%, in the year ended December 31, 2018 compared to the prior year. The increase was primarily due to an increase of $2.7 million in payroll and other personnel-related expenses due to increases in headcount, as well as increased spending of $2.3 million related to information verification and platform operations due to a growing volume of loans facilitated through our platform. As a percentage of total revenue, customer operations expenses decreased from 18% to 16%.</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Engineering and Product Development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460" w:type="dxa"/>
            <w:vAlign w:val="bottom"/>
          </w:tcPr>
          <w:p>
            <w:pPr>
              <w:spacing w:after="0"/>
              <w:rPr>
                <w:sz w:val="12"/>
                <w:szCs w:val="12"/>
                <w:color w:val="auto"/>
              </w:rPr>
            </w:pPr>
          </w:p>
        </w:tc>
        <w:tc>
          <w:tcPr>
            <w:tcW w:w="2180" w:type="dxa"/>
            <w:vAlign w:val="bottom"/>
            <w:tcBorders>
              <w:bottom w:val="single" w:sz="8" w:color="auto"/>
            </w:tcBorders>
            <w:gridSpan w:val="6"/>
          </w:tcPr>
          <w:p>
            <w:pPr>
              <w:ind w:left="360"/>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4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420" w:type="dxa"/>
            <w:vAlign w:val="bottom"/>
            <w:tcBorders>
              <w:bottom w:val="single" w:sz="8" w:color="auto"/>
            </w:tcBorders>
          </w:tcPr>
          <w:p>
            <w:pPr>
              <w:jc w:val="right"/>
              <w:ind w:right="17"/>
              <w:spacing w:after="0" w:line="126"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4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Engineering and product development</w:t>
            </w: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$5,324</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$8,415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$18,777</w:t>
            </w:r>
          </w:p>
        </w:tc>
        <w:tc>
          <w:tcPr>
            <w:tcW w:w="16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Engineering and product development expenses increased by $10.4 million, or 123%, in the year ended December 31, 2019 compared to the prior year. The increase was primarily due to an increase of $8.9 million in payroll and other personnel-related expenses driven by an increase in headcount, as well as a $1.5 million increase in spending on consultants and other engineering services. As a percentage of total revenue, engineering and product development expenses increased from 8% to 11%.</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Engineering and product development expenses increased by $3.1 million, or 58%, in the year ended December 31, 2018 compared to the prior year. The increase was primarily due to an increase of $2.4 million in payroll and other personnel-related expenses driven by an increase in headcount, as well as a $0.7 million increase in spending on consultants and other engineering services. As a percentage of total revenue, engineering and product development expenses decreased from 9% to 8%.</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Administrative, and Other</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2720" w:type="dxa"/>
            <w:vAlign w:val="bottom"/>
            <w:gridSpan w:val="6"/>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top w:val="single" w:sz="8" w:color="auto"/>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General, administrative, and other</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$15,431</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$19,820</w:t>
            </w:r>
          </w:p>
        </w:tc>
        <w:tc>
          <w:tcPr>
            <w:tcW w:w="13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$31,865</w:t>
            </w: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General, administrative, and other expenses increased by $12.0 million, or 61%, in the year ended December 31, 2019 compared to the prior year. The increase was primarily due to an increase of $6.0 million in personnel-related costs as a result of increased headcount; an increase of $2.6 million in office rent and other facility-related expenses due to the opening of our second headquarters in Columbus, Ohio, and relocation of our first headquarters from San Carlos, California to San Mateo, California; an increase of $1.1 million in legal and compliance -related expenses; and an increase of $1.0 million in professional services fees. As a percentage of total revenue, general, administrative, and other expenses decreased from 20% to 19%.</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20"/>
          </w:cols>
          <w:pgMar w:left="320" w:top="407" w:right="135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General, administrative, and other expenses increased by $4.4 million, or 28%, in the year ended December 31, 2018 compared to the prior year. The increase was primarily due to an increase of $3.4 million in personnel-related costs as a result of increased headcount; an increase of $2.0 million in office and administrative related expenses; and an increase of $0.7 million in legal and compliance-related expenses. This increase was partially offset by a $2.2 million decrease in professional fees. As a percentage of total revenue, general, administrative, and other expenses decreased from 27% to 20%.</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Other Income</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2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60" w:type="dxa"/>
            <w:vAlign w:val="bottom"/>
            <w:gridSpan w:val="7"/>
          </w:tcPr>
          <w:p>
            <w:pPr>
              <w:ind w:left="280"/>
              <w:spacing w:after="0"/>
              <w:rPr>
                <w:sz w:val="20"/>
                <w:szCs w:val="20"/>
                <w:color w:val="auto"/>
              </w:rPr>
            </w:pPr>
            <w:r>
              <w:rPr>
                <w:rFonts w:ascii="Arial" w:cs="Arial" w:eastAsia="Arial" w:hAnsi="Arial"/>
                <w:sz w:val="12"/>
                <w:szCs w:val="12"/>
                <w:b w:val="1"/>
                <w:bCs w:val="1"/>
                <w:color w:val="auto"/>
              </w:rPr>
              <w:t>Year Ended December 31,</w:t>
            </w: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272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190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27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Other income</w:t>
            </w:r>
          </w:p>
        </w:tc>
        <w:tc>
          <w:tcPr>
            <w:tcW w:w="27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330</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487</w:t>
            </w:r>
          </w:p>
        </w:tc>
        <w:tc>
          <w:tcPr>
            <w:tcW w:w="10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$1,036</w:t>
            </w: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Other income increased by $0.5 million, or 113%, in the year ended December 31, 2019 compared to the prior year. The increase was primarily due to an increase in unrestricted cash balances held in interest-bearing deposit accounts throughout the year at commercial banks.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Other income increased by $0.2 million, or 48%, in the year ended December 31, 2018 compared to the prior year. The increase was primarily due to an increase in unrestricted cash balances held in interest-bearing deposit accounts at commercial banks.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Expense on Warrants and Convertible Notes,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800" w:type="dxa"/>
            <w:vAlign w:val="bottom"/>
          </w:tcPr>
          <w:p>
            <w:pPr>
              <w:spacing w:after="0"/>
              <w:rPr>
                <w:sz w:val="12"/>
                <w:szCs w:val="12"/>
                <w:color w:val="auto"/>
              </w:rPr>
            </w:pPr>
          </w:p>
        </w:tc>
        <w:tc>
          <w:tcPr>
            <w:tcW w:w="2300" w:type="dxa"/>
            <w:vAlign w:val="bottom"/>
            <w:gridSpan w:val="6"/>
          </w:tcPr>
          <w:p>
            <w:pPr>
              <w:ind w:left="240"/>
              <w:spacing w:after="0"/>
              <w:rPr>
                <w:sz w:val="20"/>
                <w:szCs w:val="20"/>
                <w:color w:val="auto"/>
              </w:rPr>
            </w:pPr>
            <w:r>
              <w:rPr>
                <w:rFonts w:ascii="Arial" w:cs="Arial" w:eastAsia="Arial" w:hAnsi="Arial"/>
                <w:sz w:val="12"/>
                <w:szCs w:val="12"/>
                <w:b w:val="1"/>
                <w:bCs w:val="1"/>
                <w:color w:val="auto"/>
              </w:rPr>
              <w:t>Year Ended December 31,</w:t>
            </w:r>
          </w:p>
        </w:tc>
        <w:tc>
          <w:tcPr>
            <w:tcW w:w="11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2017 to 2018</w:t>
            </w: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2018 to 2019</w:t>
            </w:r>
          </w:p>
        </w:tc>
      </w:tr>
      <w:tr>
        <w:trPr>
          <w:trHeight w:val="126"/>
        </w:trPr>
        <w:tc>
          <w:tcPr>
            <w:tcW w:w="480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420" w:type="dxa"/>
            <w:vAlign w:val="bottom"/>
            <w:tcBorders>
              <w:top w:val="single" w:sz="8" w:color="auto"/>
              <w:bottom w:val="single" w:sz="8" w:color="auto"/>
            </w:tcBorders>
          </w:tcPr>
          <w:p>
            <w:pPr>
              <w:jc w:val="right"/>
              <w:ind w:right="17"/>
              <w:spacing w:after="0" w:line="126"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2018</w:t>
            </w:r>
          </w:p>
        </w:tc>
        <w:tc>
          <w:tcPr>
            <w:tcW w:w="340" w:type="dxa"/>
            <w:vAlign w:val="bottom"/>
            <w:tcBorders>
              <w:top w:val="single" w:sz="8" w:color="auto"/>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4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200" w:type="dxa"/>
            <w:vAlign w:val="bottom"/>
            <w:tcBorders>
              <w:bottom w:val="single" w:sz="8" w:color="CCEEFF"/>
            </w:tcBorders>
          </w:tcPr>
          <w:p>
            <w:pPr>
              <w:spacing w:after="0"/>
              <w:rPr>
                <w:sz w:val="10"/>
                <w:szCs w:val="10"/>
                <w:color w:val="auto"/>
              </w:rPr>
            </w:pPr>
          </w:p>
        </w:tc>
      </w:tr>
      <w:tr>
        <w:trPr>
          <w:trHeight w:val="149"/>
        </w:trPr>
        <w:tc>
          <w:tcPr>
            <w:tcW w:w="48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Expense on warrants and convertible notes, net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$1,649</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$3,734</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$1,407</w:t>
            </w: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126%</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Expense on warrants and convertible notes decreased by $2.3 million, or 62%, in the year ended December 31, 2019 compared to the prior year. The decrease was primarily due to a decrease of $2.1 million in the fair value of outstanding convertible preferred stock warrants as a result of warrants exercised or repurchased and retired during the year, and a decrease in interest expense on convertible notes of $ 0.7 million as the convertible notes were converted into convertible preferred stock in the year ended December 31, 2018. The decrease was partially offset by an increase of $0.5 million in the fair value of common stock warrants.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Expense on warrants and convertible notes increased by $2.1 million, or 126%, in the year ended December 31, 2018 compared to the prior year. The increase was primarily due to an increase of $1.5 million in the fair value of outstanding convertible preferred stock warrants as well as an increase in interest expense on convertible notes of $0.4 million, which were issued in September and October 2017 and converted into Series C-1 convertible preferred stock in June 2018.</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20"/>
          </w:cols>
          <w:pgMar w:left="320" w:top="407" w:right="135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Quarterly Results of Operations</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following table sets forth our unaudited quarterly consolidated results of operations for each of the quarterly periods for the last eight quarters. These unaudited quarterly results of operations have been prepared on the same basis as our audited consolidated financial statements included elsewhere in this prospectus. In the opinion of management, the financial information set forth in the table below reflects all normal recurring adjustments necessary for a fair presentation of the results of operations for these periods. Our historical results are not necessarily indicative of the results that may be expected in the future. The following unaudited quarterly consolidated results of operations should be read in conjunction with our consolidated financial statements and related notes included elsewhere in this prospectus.</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8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ind w:left="2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3840" w:type="dxa"/>
            <w:vAlign w:val="bottom"/>
          </w:tcPr>
          <w:p>
            <w:pPr>
              <w:spacing w:after="0"/>
              <w:rPr>
                <w:sz w:val="10"/>
                <w:szCs w:val="10"/>
                <w:color w:val="auto"/>
              </w:rPr>
            </w:pPr>
          </w:p>
        </w:tc>
        <w:tc>
          <w:tcPr>
            <w:tcW w:w="600" w:type="dxa"/>
            <w:vAlign w:val="bottom"/>
            <w:gridSpan w:val="2"/>
          </w:tcPr>
          <w:p>
            <w:pPr>
              <w:jc w:val="right"/>
              <w:ind w:right="120"/>
              <w:spacing w:after="0" w:line="117" w:lineRule="exact"/>
              <w:rPr>
                <w:sz w:val="20"/>
                <w:szCs w:val="20"/>
                <w:color w:val="auto"/>
              </w:rPr>
            </w:pPr>
            <w:r>
              <w:rPr>
                <w:rFonts w:ascii="Arial" w:cs="Arial" w:eastAsia="Arial" w:hAnsi="Arial"/>
                <w:sz w:val="12"/>
                <w:szCs w:val="12"/>
                <w:b w:val="1"/>
                <w:bCs w:val="1"/>
                <w:color w:val="auto"/>
              </w:rPr>
              <w:t>Dec. 31,</w:t>
            </w:r>
          </w:p>
        </w:tc>
        <w:tc>
          <w:tcPr>
            <w:tcW w:w="80" w:type="dxa"/>
            <w:vAlign w:val="bottom"/>
          </w:tcPr>
          <w:p>
            <w:pPr>
              <w:spacing w:after="0"/>
              <w:rPr>
                <w:sz w:val="10"/>
                <w:szCs w:val="10"/>
                <w:color w:val="auto"/>
              </w:rPr>
            </w:pPr>
          </w:p>
        </w:tc>
        <w:tc>
          <w:tcPr>
            <w:tcW w:w="660" w:type="dxa"/>
            <w:vAlign w:val="bottom"/>
            <w:gridSpan w:val="2"/>
          </w:tcPr>
          <w:p>
            <w:pPr>
              <w:jc w:val="right"/>
              <w:ind w:right="200"/>
              <w:spacing w:after="0" w:line="117" w:lineRule="exact"/>
              <w:rPr>
                <w:sz w:val="20"/>
                <w:szCs w:val="20"/>
                <w:color w:val="auto"/>
              </w:rPr>
            </w:pPr>
            <w:r>
              <w:rPr>
                <w:rFonts w:ascii="Arial" w:cs="Arial" w:eastAsia="Arial" w:hAnsi="Arial"/>
                <w:sz w:val="12"/>
                <w:szCs w:val="12"/>
                <w:b w:val="1"/>
                <w:bCs w:val="1"/>
                <w:color w:val="auto"/>
                <w:w w:val="98"/>
              </w:rPr>
              <w:t>Mar. 31,</w:t>
            </w:r>
          </w:p>
        </w:tc>
        <w:tc>
          <w:tcPr>
            <w:tcW w:w="680" w:type="dxa"/>
            <w:vAlign w:val="bottom"/>
            <w:gridSpan w:val="2"/>
          </w:tcPr>
          <w:p>
            <w:pPr>
              <w:jc w:val="right"/>
              <w:ind w:right="180"/>
              <w:spacing w:after="0" w:line="117" w:lineRule="exact"/>
              <w:rPr>
                <w:sz w:val="20"/>
                <w:szCs w:val="20"/>
                <w:color w:val="auto"/>
              </w:rPr>
            </w:pPr>
            <w:r>
              <w:rPr>
                <w:rFonts w:ascii="Arial" w:cs="Arial" w:eastAsia="Arial" w:hAnsi="Arial"/>
                <w:sz w:val="12"/>
                <w:szCs w:val="12"/>
                <w:b w:val="1"/>
                <w:bCs w:val="1"/>
                <w:color w:val="auto"/>
                <w:w w:val="99"/>
              </w:rPr>
              <w:t>June 30,</w:t>
            </w:r>
          </w:p>
        </w:tc>
        <w:tc>
          <w:tcPr>
            <w:tcW w:w="62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60" w:type="dxa"/>
            <w:vAlign w:val="bottom"/>
          </w:tcPr>
          <w:p>
            <w:pPr>
              <w:spacing w:after="0"/>
              <w:rPr>
                <w:sz w:val="10"/>
                <w:szCs w:val="10"/>
                <w:color w:val="auto"/>
              </w:rPr>
            </w:pPr>
          </w:p>
        </w:tc>
        <w:tc>
          <w:tcPr>
            <w:tcW w:w="680" w:type="dxa"/>
            <w:vAlign w:val="bottom"/>
            <w:gridSpan w:val="3"/>
          </w:tcPr>
          <w:p>
            <w:pPr>
              <w:jc w:val="right"/>
              <w:ind w:right="200"/>
              <w:spacing w:after="0" w:line="117" w:lineRule="exact"/>
              <w:rPr>
                <w:sz w:val="20"/>
                <w:szCs w:val="20"/>
                <w:color w:val="auto"/>
              </w:rPr>
            </w:pPr>
            <w:r>
              <w:rPr>
                <w:rFonts w:ascii="Arial" w:cs="Arial" w:eastAsia="Arial" w:hAnsi="Arial"/>
                <w:sz w:val="12"/>
                <w:szCs w:val="12"/>
                <w:b w:val="1"/>
                <w:bCs w:val="1"/>
                <w:color w:val="auto"/>
              </w:rPr>
              <w:t>Dec. 31,</w:t>
            </w:r>
          </w:p>
        </w:tc>
        <w:tc>
          <w:tcPr>
            <w:tcW w:w="680" w:type="dxa"/>
            <w:vAlign w:val="bottom"/>
            <w:gridSpan w:val="3"/>
          </w:tcPr>
          <w:p>
            <w:pPr>
              <w:jc w:val="right"/>
              <w:ind w:right="220"/>
              <w:spacing w:after="0" w:line="117" w:lineRule="exact"/>
              <w:rPr>
                <w:sz w:val="20"/>
                <w:szCs w:val="20"/>
                <w:color w:val="auto"/>
              </w:rPr>
            </w:pPr>
            <w:r>
              <w:rPr>
                <w:rFonts w:ascii="Arial" w:cs="Arial" w:eastAsia="Arial" w:hAnsi="Arial"/>
                <w:sz w:val="12"/>
                <w:szCs w:val="12"/>
                <w:b w:val="1"/>
                <w:bCs w:val="1"/>
                <w:color w:val="auto"/>
                <w:w w:val="98"/>
              </w:rPr>
              <w:t>Mar. 31,</w:t>
            </w:r>
          </w:p>
        </w:tc>
        <w:tc>
          <w:tcPr>
            <w:tcW w:w="720" w:type="dxa"/>
            <w:vAlign w:val="bottom"/>
            <w:gridSpan w:val="3"/>
          </w:tcPr>
          <w:p>
            <w:pPr>
              <w:jc w:val="right"/>
              <w:ind w:right="220"/>
              <w:spacing w:after="0" w:line="117" w:lineRule="exact"/>
              <w:rPr>
                <w:sz w:val="20"/>
                <w:szCs w:val="20"/>
                <w:color w:val="auto"/>
              </w:rPr>
            </w:pPr>
            <w:r>
              <w:rPr>
                <w:rFonts w:ascii="Arial" w:cs="Arial" w:eastAsia="Arial" w:hAnsi="Arial"/>
                <w:sz w:val="12"/>
                <w:szCs w:val="12"/>
                <w:b w:val="1"/>
                <w:bCs w:val="1"/>
                <w:color w:val="auto"/>
                <w:w w:val="99"/>
              </w:rPr>
              <w:t>June 30,</w:t>
            </w:r>
          </w:p>
        </w:tc>
        <w:tc>
          <w:tcPr>
            <w:tcW w:w="50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7"/>
              </w:rPr>
              <w:t>Sept. 30,</w:t>
            </w:r>
          </w:p>
        </w:tc>
        <w:tc>
          <w:tcPr>
            <w:tcW w:w="80" w:type="dxa"/>
            <w:vAlign w:val="bottom"/>
          </w:tcPr>
          <w:p>
            <w:pPr>
              <w:spacing w:after="0"/>
              <w:rPr>
                <w:sz w:val="10"/>
                <w:szCs w:val="10"/>
                <w:color w:val="auto"/>
              </w:rPr>
            </w:pPr>
          </w:p>
        </w:tc>
      </w:tr>
      <w:tr>
        <w:trPr>
          <w:trHeight w:val="145"/>
        </w:trPr>
        <w:tc>
          <w:tcPr>
            <w:tcW w:w="38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500" w:type="dxa"/>
            <w:vAlign w:val="bottom"/>
          </w:tcPr>
          <w:p>
            <w:pPr>
              <w:jc w:val="right"/>
              <w:ind w:right="5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2"/>
                <w:szCs w:val="12"/>
                <w:color w:val="auto"/>
              </w:rPr>
            </w:pPr>
          </w:p>
        </w:tc>
        <w:tc>
          <w:tcPr>
            <w:tcW w:w="560" w:type="dxa"/>
            <w:vAlign w:val="bottom"/>
            <w:gridSpan w:val="2"/>
          </w:tcPr>
          <w:p>
            <w:pPr>
              <w:jc w:val="right"/>
              <w:ind w:right="36"/>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7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r>
      <w:tr>
        <w:trPr>
          <w:trHeight w:val="138"/>
        </w:trPr>
        <w:tc>
          <w:tcPr>
            <w:tcW w:w="38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Revenue from fees, net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$23,694</w:t>
            </w: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$22,242</w:t>
            </w:r>
          </w:p>
        </w:tc>
        <w:tc>
          <w:tcPr>
            <w:tcW w:w="1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$28,558</w:t>
            </w:r>
          </w:p>
        </w:tc>
        <w:tc>
          <w:tcPr>
            <w:tcW w:w="180" w:type="dxa"/>
            <w:vAlign w:val="bottom"/>
          </w:tcPr>
          <w:p>
            <w:pPr>
              <w:spacing w:after="0"/>
              <w:rPr>
                <w:sz w:val="13"/>
                <w:szCs w:val="13"/>
                <w:color w:val="auto"/>
              </w:rPr>
            </w:pP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47,899</w:t>
            </w:r>
          </w:p>
        </w:tc>
        <w:tc>
          <w:tcPr>
            <w:tcW w:w="1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61,148</w:t>
            </w:r>
          </w:p>
        </w:tc>
        <w:tc>
          <w:tcPr>
            <w:tcW w:w="18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68,013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13,305</w:t>
            </w:r>
          </w:p>
        </w:tc>
        <w:tc>
          <w:tcPr>
            <w:tcW w:w="180" w:type="dxa"/>
            <w:vAlign w:val="bottom"/>
          </w:tcPr>
          <w:p>
            <w:pPr>
              <w:spacing w:after="0"/>
              <w:rPr>
                <w:sz w:val="13"/>
                <w:szCs w:val="13"/>
                <w:color w:val="auto"/>
              </w:rPr>
            </w:pP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62,861</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6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197</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(2,631)</w:t>
            </w: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3,961</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1,588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1,424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9"/>
              </w:rPr>
              <w:t>(4,019)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4,048</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2,498</w:t>
            </w: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Total revenue</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23,891</w:t>
            </w: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19,611</w:t>
            </w:r>
          </w:p>
        </w:tc>
        <w:tc>
          <w:tcPr>
            <w:tcW w:w="1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32,519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49,487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62,572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63,994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17,353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65,359</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3840" w:type="dxa"/>
            <w:vAlign w:val="bottom"/>
          </w:tcPr>
          <w:p>
            <w:pPr>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17,109</w:t>
            </w: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14,593</w:t>
            </w:r>
          </w:p>
        </w:tc>
        <w:tc>
          <w:tcPr>
            <w:tcW w:w="1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19,314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27,329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31,939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35,952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5,436</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23,725</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6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4,076</w:t>
            </w:r>
          </w:p>
        </w:tc>
        <w:tc>
          <w:tcPr>
            <w:tcW w:w="74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4,518</w:t>
            </w: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5,386</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6,689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8,354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8,811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6,621</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9,360</w:t>
            </w:r>
          </w:p>
        </w:tc>
      </w:tr>
      <w:tr>
        <w:trPr>
          <w:trHeight w:val="158"/>
        </w:trPr>
        <w:tc>
          <w:tcPr>
            <w:tcW w:w="3840" w:type="dxa"/>
            <w:vAlign w:val="bottom"/>
          </w:tcPr>
          <w:p>
            <w:pPr>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6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2,314</w:t>
            </w:r>
          </w:p>
        </w:tc>
        <w:tc>
          <w:tcPr>
            <w:tcW w:w="74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2,932</w:t>
            </w:r>
          </w:p>
        </w:tc>
        <w:tc>
          <w:tcPr>
            <w:tcW w:w="6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3,485</w:t>
            </w:r>
          </w:p>
        </w:tc>
        <w:tc>
          <w:tcPr>
            <w:tcW w:w="80" w:type="dxa"/>
            <w:vAlign w:val="bottom"/>
          </w:tcPr>
          <w:p>
            <w:pPr>
              <w:spacing w:after="0"/>
              <w:rPr>
                <w:sz w:val="13"/>
                <w:szCs w:val="13"/>
                <w:color w:val="auto"/>
              </w:rPr>
            </w:pPr>
          </w:p>
        </w:tc>
        <w:tc>
          <w:tcPr>
            <w:tcW w:w="5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5,063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7,297</w:t>
            </w: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7,018</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7,667</w:t>
            </w: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9,966</w:t>
            </w:r>
          </w:p>
        </w:tc>
      </w:tr>
      <w:tr>
        <w:trPr>
          <w:trHeight w:val="158"/>
        </w:trPr>
        <w:tc>
          <w:tcPr>
            <w:tcW w:w="38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6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4,692</w:t>
            </w:r>
          </w:p>
        </w:tc>
        <w:tc>
          <w:tcPr>
            <w:tcW w:w="74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6,022</w:t>
            </w: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5,959</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8,418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11,466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11,660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9,017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10,101</w:t>
            </w:r>
          </w:p>
        </w:tc>
        <w:tc>
          <w:tcPr>
            <w:tcW w:w="80" w:type="dxa"/>
            <w:vAlign w:val="bottom"/>
            <w:shd w:val="clear" w:color="auto" w:fill="CCEEFF"/>
          </w:tcPr>
          <w:p>
            <w:pPr>
              <w:spacing w:after="0"/>
              <w:rPr>
                <w:sz w:val="13"/>
                <w:szCs w:val="13"/>
                <w:color w:val="auto"/>
              </w:rPr>
            </w:pP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Total operating expenses</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28,191</w:t>
            </w: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28,065</w:t>
            </w:r>
          </w:p>
        </w:tc>
        <w:tc>
          <w:tcPr>
            <w:tcW w:w="1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34,144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47,499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59,056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63,441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28,741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53,152</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income from operations</w:t>
            </w:r>
          </w:p>
        </w:tc>
        <w:tc>
          <w:tcPr>
            <w:tcW w:w="6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(4,300)</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(8,454)</w:t>
            </w:r>
          </w:p>
        </w:tc>
        <w:tc>
          <w:tcPr>
            <w:tcW w:w="6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1,988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3,516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1"/>
              </w:rPr>
              <w:t>(11,388)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12,207</w:t>
            </w:r>
          </w:p>
        </w:tc>
        <w:tc>
          <w:tcPr>
            <w:tcW w:w="80" w:type="dxa"/>
            <w:vAlign w:val="bottom"/>
            <w:shd w:val="clear" w:color="auto" w:fill="CCEEFF"/>
          </w:tcPr>
          <w:p>
            <w:pPr>
              <w:spacing w:after="0"/>
              <w:rPr>
                <w:sz w:val="13"/>
                <w:szCs w:val="13"/>
                <w:color w:val="auto"/>
              </w:rPr>
            </w:pP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6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267</w:t>
            </w: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358</w:t>
            </w:r>
          </w:p>
        </w:tc>
        <w:tc>
          <w:tcPr>
            <w:tcW w:w="180" w:type="dxa"/>
            <w:vAlign w:val="bottom"/>
          </w:tcPr>
          <w:p>
            <w:pPr>
              <w:spacing w:after="0"/>
              <w:rPr>
                <w:sz w:val="13"/>
                <w:szCs w:val="13"/>
                <w:color w:val="auto"/>
              </w:rPr>
            </w:pPr>
          </w:p>
        </w:tc>
        <w:tc>
          <w:tcPr>
            <w:tcW w:w="6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3"/>
                <w:szCs w:val="13"/>
                <w:color w:val="auto"/>
              </w:rPr>
            </w:pPr>
          </w:p>
        </w:tc>
        <w:tc>
          <w:tcPr>
            <w:tcW w:w="5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204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150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5,297</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income on warrants and convertible notes, net</w:t>
            </w:r>
          </w:p>
        </w:tc>
        <w:tc>
          <w:tcPr>
            <w:tcW w:w="6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(1,593)</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(89)</w:t>
            </w:r>
          </w:p>
        </w:tc>
        <w:tc>
          <w:tcPr>
            <w:tcW w:w="6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9"/>
              </w:rPr>
              <w:t>(2,418)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1,219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(2,588)</w:t>
            </w: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Net (loss) income before income taxes</w:t>
            </w: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(5,626)</w:t>
            </w:r>
          </w:p>
        </w:tc>
        <w:tc>
          <w:tcPr>
            <w:tcW w:w="740" w:type="dxa"/>
            <w:vAlign w:val="bottom"/>
            <w:gridSpan w:val="3"/>
          </w:tcPr>
          <w:p>
            <w:pPr>
              <w:jc w:val="right"/>
              <w:ind w:right="120"/>
              <w:spacing w:after="0" w:line="158" w:lineRule="exact"/>
              <w:rPr>
                <w:sz w:val="20"/>
                <w:szCs w:val="20"/>
                <w:color w:val="auto"/>
              </w:rPr>
            </w:pPr>
            <w:r>
              <w:rPr>
                <w:rFonts w:ascii="Arial" w:cs="Arial" w:eastAsia="Arial" w:hAnsi="Arial"/>
                <w:sz w:val="14"/>
                <w:szCs w:val="14"/>
                <w:color w:val="auto"/>
              </w:rPr>
              <w:t>(8,185)</w:t>
            </w:r>
          </w:p>
        </w:tc>
        <w:tc>
          <w:tcPr>
            <w:tcW w:w="6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(1,495)</w:t>
            </w: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4,939</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992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(6,109)</w:t>
            </w: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9,669</w:t>
            </w: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Net (loss) income before attribution to noncontrolling interests</w:t>
            </w: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(5,626)</w:t>
            </w:r>
          </w:p>
        </w:tc>
        <w:tc>
          <w:tcPr>
            <w:tcW w:w="740" w:type="dxa"/>
            <w:vAlign w:val="bottom"/>
            <w:gridSpan w:val="3"/>
          </w:tcPr>
          <w:p>
            <w:pPr>
              <w:jc w:val="right"/>
              <w:ind w:right="120"/>
              <w:spacing w:after="0" w:line="158" w:lineRule="exact"/>
              <w:rPr>
                <w:sz w:val="20"/>
                <w:szCs w:val="20"/>
                <w:color w:val="auto"/>
              </w:rPr>
            </w:pPr>
            <w:r>
              <w:rPr>
                <w:rFonts w:ascii="Arial" w:cs="Arial" w:eastAsia="Arial" w:hAnsi="Arial"/>
                <w:sz w:val="14"/>
                <w:szCs w:val="14"/>
                <w:color w:val="auto"/>
              </w:rPr>
              <w:t>(8,185)</w:t>
            </w:r>
          </w:p>
        </w:tc>
        <w:tc>
          <w:tcPr>
            <w:tcW w:w="6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(1,495)</w:t>
            </w: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4,865</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992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(6,109)</w:t>
            </w: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9,669</w:t>
            </w: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6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(1,014)</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(3,720)</w:t>
            </w: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9"/>
              </w:rPr>
              <w:t>(1,186)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9"/>
        </w:trPr>
        <w:tc>
          <w:tcPr>
            <w:tcW w:w="3840" w:type="dxa"/>
            <w:vAlign w:val="bottom"/>
          </w:tcPr>
          <w:p>
            <w:pPr>
              <w:spacing w:after="0" w:line="159" w:lineRule="exact"/>
              <w:rPr>
                <w:sz w:val="20"/>
                <w:szCs w:val="20"/>
                <w:color w:val="auto"/>
              </w:rPr>
            </w:pPr>
            <w:r>
              <w:rPr>
                <w:rFonts w:ascii="Arial" w:cs="Arial" w:eastAsia="Arial" w:hAnsi="Arial"/>
                <w:sz w:val="14"/>
                <w:szCs w:val="14"/>
                <w:color w:val="auto"/>
              </w:rPr>
              <w:t>Net (loss) income attributable to Upstart Holdings, Inc.</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common stockholders</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 (4,612)</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 (4,465)</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 (1,730)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(322)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6,051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1,480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(6,193)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9,669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6" w:lineRule="exact"/>
        <w:rPr>
          <w:sz w:val="20"/>
          <w:szCs w:val="20"/>
          <w:color w:val="auto"/>
        </w:rPr>
      </w:pPr>
    </w:p>
    <w:p>
      <w:pPr>
        <w:ind w:left="1480" w:hanging="453"/>
        <w:spacing w:after="0"/>
        <w:tabs>
          <w:tab w:leader="none" w:pos="1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 (in thousands):</w:t>
      </w:r>
    </w:p>
    <w:p>
      <w:pPr>
        <w:spacing w:after="0" w:line="186" w:lineRule="exact"/>
        <w:rPr>
          <w:sz w:val="20"/>
          <w:szCs w:val="20"/>
          <w:color w:val="auto"/>
        </w:rPr>
      </w:pPr>
    </w:p>
    <w:tbl>
      <w:tblPr>
        <w:tblLayout w:type="fixed"/>
        <w:tblInd w:w="1480" w:type="dxa"/>
        <w:tblCellMar>
          <w:top w:w="0" w:type="dxa"/>
          <w:left w:w="0" w:type="dxa"/>
          <w:bottom w:w="0" w:type="dxa"/>
          <w:right w:w="0" w:type="dxa"/>
        </w:tblCellMar>
      </w:tblPr>
      <w:tr>
        <w:trPr>
          <w:trHeight w:val="145"/>
        </w:trPr>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7"/>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2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Dec. 31,</w:t>
            </w:r>
          </w:p>
        </w:tc>
        <w:tc>
          <w:tcPr>
            <w:tcW w:w="54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Mar. 31,</w:t>
            </w:r>
          </w:p>
        </w:tc>
        <w:tc>
          <w:tcPr>
            <w:tcW w:w="100" w:type="dxa"/>
            <w:vAlign w:val="bottom"/>
          </w:tcPr>
          <w:p>
            <w:pPr>
              <w:spacing w:after="0"/>
              <w:rPr>
                <w:sz w:val="10"/>
                <w:szCs w:val="10"/>
                <w:color w:val="auto"/>
              </w:rPr>
            </w:pP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0"/>
                <w:szCs w:val="10"/>
                <w:color w:val="auto"/>
              </w:rPr>
            </w:pPr>
          </w:p>
        </w:tc>
        <w:tc>
          <w:tcPr>
            <w:tcW w:w="6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6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Dec. 31,</w:t>
            </w:r>
          </w:p>
        </w:tc>
        <w:tc>
          <w:tcPr>
            <w:tcW w:w="64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Mar. 31,</w:t>
            </w: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0"/>
                <w:szCs w:val="10"/>
                <w:color w:val="auto"/>
              </w:rPr>
            </w:pPr>
          </w:p>
        </w:tc>
        <w:tc>
          <w:tcPr>
            <w:tcW w:w="4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3"/>
              </w:rPr>
              <w:t>Sept. 30,</w:t>
            </w:r>
          </w:p>
        </w:tc>
        <w:tc>
          <w:tcPr>
            <w:tcW w:w="40" w:type="dxa"/>
            <w:vAlign w:val="bottom"/>
          </w:tcPr>
          <w:p>
            <w:pPr>
              <w:spacing w:after="0"/>
              <w:rPr>
                <w:sz w:val="10"/>
                <w:szCs w:val="10"/>
                <w:color w:val="auto"/>
              </w:rPr>
            </w:pPr>
          </w:p>
        </w:tc>
      </w:tr>
      <w:tr>
        <w:trPr>
          <w:trHeight w:val="145"/>
        </w:trPr>
        <w:tc>
          <w:tcPr>
            <w:tcW w:w="28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2018</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2019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7"/>
              </w:rPr>
              <w:t>2020</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26"/>
        </w:trPr>
        <w:tc>
          <w:tcPr>
            <w:tcW w:w="28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860" w:type="dxa"/>
            <w:vAlign w:val="bottom"/>
            <w:gridSpan w:val="2"/>
            <w:shd w:val="clear" w:color="auto" w:fill="CCEEFF"/>
          </w:tcPr>
          <w:p>
            <w:pPr>
              <w:ind w:left="780"/>
              <w:spacing w:after="0" w:line="12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51</w:t>
            </w:r>
          </w:p>
        </w:tc>
        <w:tc>
          <w:tcPr>
            <w:tcW w:w="18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55</w:t>
            </w:r>
          </w:p>
        </w:tc>
        <w:tc>
          <w:tcPr>
            <w:tcW w:w="18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121</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284</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405</w:t>
            </w:r>
          </w:p>
        </w:tc>
        <w:tc>
          <w:tcPr>
            <w:tcW w:w="18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447</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48</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102</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181</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199</w:t>
            </w: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221</w:t>
            </w:r>
          </w:p>
        </w:tc>
      </w:tr>
      <w:tr>
        <w:trPr>
          <w:trHeight w:val="135"/>
        </w:trPr>
        <w:tc>
          <w:tcPr>
            <w:tcW w:w="2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214</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376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871</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926</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1,112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1,143</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296</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318</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429</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556</w:t>
            </w: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797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807</w:t>
            </w:r>
          </w:p>
        </w:tc>
      </w:tr>
      <w:tr>
        <w:trPr>
          <w:trHeight w:val="135"/>
        </w:trPr>
        <w:tc>
          <w:tcPr>
            <w:tcW w:w="2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860" w:type="dxa"/>
            <w:vAlign w:val="bottom"/>
            <w:gridSpan w:val="2"/>
            <w:shd w:val="clear" w:color="auto" w:fill="CCEEFF"/>
          </w:tcPr>
          <w:p>
            <w:pPr>
              <w:ind w:left="780"/>
              <w:spacing w:after="0" w:line="13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608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577</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780</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847</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1,602</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1,965</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2,519</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2,618</w:t>
            </w:r>
          </w:p>
        </w:tc>
      </w:tr>
    </w:tbl>
    <w:p>
      <w:pPr>
        <w:spacing w:after="0" w:line="12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7" w:right="135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key operating metrics we use to evaluate our business for each of the last eight quarters: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4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6"/>
        </w:trPr>
        <w:tc>
          <w:tcPr>
            <w:tcW w:w="3480" w:type="dxa"/>
            <w:vAlign w:val="bottom"/>
          </w:tcPr>
          <w:p>
            <w:pPr>
              <w:spacing w:after="0"/>
              <w:rPr>
                <w:sz w:val="10"/>
                <w:szCs w:val="10"/>
                <w:color w:val="auto"/>
              </w:rPr>
            </w:pPr>
          </w:p>
        </w:tc>
        <w:tc>
          <w:tcPr>
            <w:tcW w:w="72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6"/>
              </w:rPr>
              <w:t>Dec. 31,</w:t>
            </w:r>
          </w:p>
        </w:tc>
        <w:tc>
          <w:tcPr>
            <w:tcW w:w="70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3"/>
              </w:rPr>
              <w:t>Mar. 31,</w:t>
            </w:r>
          </w:p>
        </w:tc>
        <w:tc>
          <w:tcPr>
            <w:tcW w:w="740" w:type="dxa"/>
            <w:vAlign w:val="bottom"/>
            <w:gridSpan w:val="2"/>
          </w:tcPr>
          <w:p>
            <w:pPr>
              <w:jc w:val="right"/>
              <w:ind w:right="240"/>
              <w:spacing w:after="0" w:line="117" w:lineRule="exact"/>
              <w:rPr>
                <w:sz w:val="20"/>
                <w:szCs w:val="20"/>
                <w:color w:val="auto"/>
              </w:rPr>
            </w:pPr>
            <w:r>
              <w:rPr>
                <w:rFonts w:ascii="Arial" w:cs="Arial" w:eastAsia="Arial" w:hAnsi="Arial"/>
                <w:sz w:val="12"/>
                <w:szCs w:val="12"/>
                <w:b w:val="1"/>
                <w:bCs w:val="1"/>
                <w:color w:val="auto"/>
                <w:w w:val="99"/>
              </w:rPr>
              <w:t>June 30,</w:t>
            </w:r>
          </w:p>
        </w:tc>
        <w:tc>
          <w:tcPr>
            <w:tcW w:w="740" w:type="dxa"/>
            <w:vAlign w:val="bottom"/>
            <w:gridSpan w:val="2"/>
          </w:tcPr>
          <w:p>
            <w:pPr>
              <w:jc w:val="right"/>
              <w:ind w:right="240"/>
              <w:spacing w:after="0" w:line="117" w:lineRule="exact"/>
              <w:rPr>
                <w:sz w:val="20"/>
                <w:szCs w:val="20"/>
                <w:color w:val="auto"/>
              </w:rPr>
            </w:pPr>
            <w:r>
              <w:rPr>
                <w:rFonts w:ascii="Arial" w:cs="Arial" w:eastAsia="Arial" w:hAnsi="Arial"/>
                <w:sz w:val="12"/>
                <w:szCs w:val="12"/>
                <w:b w:val="1"/>
                <w:bCs w:val="1"/>
                <w:color w:val="auto"/>
                <w:w w:val="97"/>
              </w:rPr>
              <w:t>Sept. 30,</w:t>
            </w:r>
          </w:p>
        </w:tc>
        <w:tc>
          <w:tcPr>
            <w:tcW w:w="72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6"/>
              </w:rPr>
              <w:t>Dec. 31,</w:t>
            </w:r>
          </w:p>
        </w:tc>
        <w:tc>
          <w:tcPr>
            <w:tcW w:w="70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3"/>
              </w:rPr>
              <w:t>Mar. 31,</w:t>
            </w:r>
          </w:p>
        </w:tc>
        <w:tc>
          <w:tcPr>
            <w:tcW w:w="74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5"/>
              </w:rPr>
              <w:t>June 30,</w:t>
            </w:r>
          </w:p>
        </w:tc>
        <w:tc>
          <w:tcPr>
            <w:tcW w:w="50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97"/>
              </w:rPr>
              <w:t>Sept. 30,</w:t>
            </w:r>
          </w:p>
        </w:tc>
        <w:tc>
          <w:tcPr>
            <w:tcW w:w="160" w:type="dxa"/>
            <w:vAlign w:val="bottom"/>
          </w:tcPr>
          <w:p>
            <w:pPr>
              <w:spacing w:after="0"/>
              <w:rPr>
                <w:sz w:val="10"/>
                <w:szCs w:val="10"/>
                <w:color w:val="auto"/>
              </w:rPr>
            </w:pPr>
          </w:p>
        </w:tc>
      </w:tr>
      <w:tr>
        <w:trPr>
          <w:trHeight w:val="145"/>
        </w:trPr>
        <w:tc>
          <w:tcPr>
            <w:tcW w:w="348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 except percentages)</w:t>
            </w: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149"/>
        </w:trPr>
        <w:tc>
          <w:tcPr>
            <w:tcW w:w="34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Number of Loans Transacted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33,036</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30,998</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41,211</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64,259</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78,654</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84,214</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11,876</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80,893</w:t>
            </w:r>
          </w:p>
        </w:tc>
        <w:tc>
          <w:tcPr>
            <w:tcW w:w="160" w:type="dxa"/>
            <w:vAlign w:val="bottom"/>
            <w:shd w:val="clear" w:color="auto" w:fill="CCEEFF"/>
          </w:tcPr>
          <w:p>
            <w:pPr>
              <w:spacing w:after="0"/>
              <w:rPr>
                <w:sz w:val="12"/>
                <w:szCs w:val="12"/>
                <w:color w:val="auto"/>
              </w:rPr>
            </w:pPr>
          </w:p>
        </w:tc>
      </w:tr>
      <w:tr>
        <w:trPr>
          <w:trHeight w:val="158"/>
        </w:trPr>
        <w:tc>
          <w:tcPr>
            <w:tcW w:w="348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10.7%</w:t>
            </w:r>
          </w:p>
        </w:tc>
        <w:tc>
          <w:tcPr>
            <w:tcW w:w="7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10.8%</w:t>
            </w: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11.3%</w:t>
            </w: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13.8%</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14.9%</w:t>
            </w:r>
          </w:p>
        </w:tc>
        <w:tc>
          <w:tcPr>
            <w:tcW w:w="7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14.1%</w:t>
            </w: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8.7%</w:t>
            </w: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15.2%</w:t>
            </w:r>
          </w:p>
        </w:tc>
      </w:tr>
      <w:tr>
        <w:trPr>
          <w:trHeight w:val="158"/>
        </w:trPr>
        <w:tc>
          <w:tcPr>
            <w:tcW w:w="34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58%</w:t>
            </w:r>
          </w:p>
        </w:tc>
        <w:tc>
          <w:tcPr>
            <w:tcW w:w="7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59%</w:t>
            </w: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64%</w:t>
            </w: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67%</w:t>
            </w:r>
          </w:p>
        </w:tc>
        <w:tc>
          <w:tcPr>
            <w:tcW w:w="7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69%</w:t>
            </w:r>
          </w:p>
        </w:tc>
        <w:tc>
          <w:tcPr>
            <w:tcW w:w="7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70%</w:t>
            </w: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58%</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69%</w:t>
            </w:r>
          </w:p>
        </w:tc>
      </w:tr>
    </w:tbl>
    <w:p>
      <w:pPr>
        <w:spacing w:after="0" w:line="18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non-GAAP financial measures we use to evaluate our business for each of the last eight quarters: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5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3500" w:type="dxa"/>
            <w:vAlign w:val="bottom"/>
          </w:tcPr>
          <w:p>
            <w:pPr>
              <w:spacing w:after="0"/>
              <w:rPr>
                <w:sz w:val="10"/>
                <w:szCs w:val="10"/>
                <w:color w:val="auto"/>
              </w:rPr>
            </w:pPr>
          </w:p>
        </w:tc>
        <w:tc>
          <w:tcPr>
            <w:tcW w:w="64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rPr>
              <w:t>Dec. 31,</w:t>
            </w: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Mar. 31,</w:t>
            </w:r>
          </w:p>
        </w:tc>
        <w:tc>
          <w:tcPr>
            <w:tcW w:w="64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10"/>
                <w:szCs w:val="10"/>
                <w:color w:val="auto"/>
              </w:rPr>
            </w:pPr>
          </w:p>
        </w:tc>
        <w:tc>
          <w:tcPr>
            <w:tcW w:w="72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720" w:type="dxa"/>
            <w:vAlign w:val="bottom"/>
            <w:gridSpan w:val="3"/>
          </w:tcPr>
          <w:p>
            <w:pPr>
              <w:ind w:left="20"/>
              <w:spacing w:after="0" w:line="117" w:lineRule="exact"/>
              <w:rPr>
                <w:sz w:val="20"/>
                <w:szCs w:val="20"/>
                <w:color w:val="auto"/>
              </w:rPr>
            </w:pPr>
            <w:r>
              <w:rPr>
                <w:rFonts w:ascii="Arial" w:cs="Arial" w:eastAsia="Arial" w:hAnsi="Arial"/>
                <w:sz w:val="12"/>
                <w:szCs w:val="12"/>
                <w:b w:val="1"/>
                <w:bCs w:val="1"/>
                <w:color w:val="auto"/>
              </w:rPr>
              <w:t>Dec. 31,</w:t>
            </w:r>
          </w:p>
        </w:tc>
        <w:tc>
          <w:tcPr>
            <w:tcW w:w="620" w:type="dxa"/>
            <w:vAlign w:val="bottom"/>
            <w:gridSpan w:val="3"/>
          </w:tcPr>
          <w:p>
            <w:pPr>
              <w:jc w:val="right"/>
              <w:ind w:right="140"/>
              <w:spacing w:after="0" w:line="117" w:lineRule="exact"/>
              <w:rPr>
                <w:sz w:val="20"/>
                <w:szCs w:val="20"/>
                <w:color w:val="auto"/>
              </w:rPr>
            </w:pPr>
            <w:r>
              <w:rPr>
                <w:rFonts w:ascii="Arial" w:cs="Arial" w:eastAsia="Arial" w:hAnsi="Arial"/>
                <w:sz w:val="12"/>
                <w:szCs w:val="12"/>
                <w:b w:val="1"/>
                <w:bCs w:val="1"/>
                <w:color w:val="auto"/>
              </w:rPr>
              <w:t>Mar. 31,</w:t>
            </w:r>
          </w:p>
        </w:tc>
        <w:tc>
          <w:tcPr>
            <w:tcW w:w="100" w:type="dxa"/>
            <w:vAlign w:val="bottom"/>
          </w:tcPr>
          <w:p>
            <w:pPr>
              <w:spacing w:after="0"/>
              <w:rPr>
                <w:sz w:val="10"/>
                <w:szCs w:val="10"/>
                <w:color w:val="auto"/>
              </w:rPr>
            </w:pPr>
          </w:p>
        </w:tc>
        <w:tc>
          <w:tcPr>
            <w:tcW w:w="7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500" w:type="dxa"/>
            <w:vAlign w:val="bottom"/>
          </w:tcPr>
          <w:p>
            <w:pPr>
              <w:spacing w:after="0" w:line="117"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10"/>
                <w:szCs w:val="10"/>
                <w:color w:val="auto"/>
              </w:rPr>
            </w:pPr>
          </w:p>
        </w:tc>
      </w:tr>
      <w:tr>
        <w:trPr>
          <w:trHeight w:val="145"/>
        </w:trPr>
        <w:tc>
          <w:tcPr>
            <w:tcW w:w="35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w w:val="97"/>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w w:val="97"/>
              </w:rPr>
              <w:t>2020</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2"/>
                <w:szCs w:val="12"/>
                <w:color w:val="auto"/>
              </w:rPr>
            </w:pPr>
          </w:p>
        </w:tc>
      </w:tr>
      <w:tr>
        <w:trPr>
          <w:trHeight w:val="149"/>
        </w:trPr>
        <w:tc>
          <w:tcPr>
            <w:tcW w:w="35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Contribution Profit</w:t>
            </w: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$ 3,875</w:t>
            </w:r>
          </w:p>
        </w:tc>
        <w:tc>
          <w:tcPr>
            <w:tcW w:w="8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$ 4,556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5,479</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15,525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23,380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25,660</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4,256</w:t>
            </w: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$33,780</w:t>
            </w:r>
          </w:p>
        </w:tc>
        <w:tc>
          <w:tcPr>
            <w:tcW w:w="40" w:type="dxa"/>
            <w:vAlign w:val="bottom"/>
            <w:shd w:val="clear" w:color="auto" w:fill="CCEEFF"/>
          </w:tcPr>
          <w:p>
            <w:pPr>
              <w:spacing w:after="0"/>
              <w:rPr>
                <w:sz w:val="12"/>
                <w:szCs w:val="12"/>
                <w:color w:val="auto"/>
              </w:rPr>
            </w:pPr>
          </w:p>
        </w:tc>
      </w:tr>
      <w:tr>
        <w:trPr>
          <w:trHeight w:val="164"/>
        </w:trPr>
        <w:tc>
          <w:tcPr>
            <w:tcW w:w="3500" w:type="dxa"/>
            <w:vAlign w:val="bottom"/>
          </w:tcPr>
          <w:p>
            <w:pPr>
              <w:spacing w:after="0"/>
              <w:rPr>
                <w:sz w:val="20"/>
                <w:szCs w:val="20"/>
                <w:color w:val="auto"/>
              </w:rPr>
            </w:pPr>
            <w:r>
              <w:rPr>
                <w:rFonts w:ascii="Arial" w:cs="Arial" w:eastAsia="Arial" w:hAnsi="Arial"/>
                <w:sz w:val="14"/>
                <w:szCs w:val="14"/>
                <w:color w:val="auto"/>
              </w:rPr>
              <w:t>Adjusted EBITDA</w:t>
            </w:r>
          </w:p>
        </w:tc>
        <w:tc>
          <w:tcPr>
            <w:tcW w:w="640" w:type="dxa"/>
            <w:vAlign w:val="bottom"/>
            <w:gridSpan w:val="2"/>
          </w:tcPr>
          <w:p>
            <w:pPr>
              <w:spacing w:after="0"/>
              <w:rPr>
                <w:sz w:val="20"/>
                <w:szCs w:val="20"/>
                <w:color w:val="auto"/>
              </w:rPr>
            </w:pPr>
            <w:r>
              <w:rPr>
                <w:rFonts w:ascii="Arial" w:cs="Arial" w:eastAsia="Arial" w:hAnsi="Arial"/>
                <w:sz w:val="14"/>
                <w:szCs w:val="14"/>
                <w:color w:val="auto"/>
              </w:rPr>
              <w:t>$(2,326)</w:t>
            </w:r>
          </w:p>
        </w:tc>
        <w:tc>
          <w:tcPr>
            <w:tcW w:w="840" w:type="dxa"/>
            <w:vAlign w:val="bottom"/>
            <w:gridSpan w:val="3"/>
          </w:tcPr>
          <w:p>
            <w:pPr>
              <w:ind w:left="100"/>
              <w:spacing w:after="0"/>
              <w:rPr>
                <w:sz w:val="20"/>
                <w:szCs w:val="20"/>
                <w:color w:val="auto"/>
              </w:rPr>
            </w:pPr>
            <w:r>
              <w:rPr>
                <w:rFonts w:ascii="Arial" w:cs="Arial" w:eastAsia="Arial" w:hAnsi="Arial"/>
                <w:sz w:val="14"/>
                <w:szCs w:val="14"/>
                <w:color w:val="auto"/>
              </w:rPr>
              <w:t>$(3,709)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(734)</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3,080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6,958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3,671</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(3,121)</w:t>
            </w:r>
          </w:p>
        </w:tc>
        <w:tc>
          <w:tcPr>
            <w:tcW w:w="500" w:type="dxa"/>
            <w:vAlign w:val="bottom"/>
          </w:tcPr>
          <w:p>
            <w:pPr>
              <w:jc w:val="center"/>
              <w:spacing w:after="0"/>
              <w:rPr>
                <w:sz w:val="20"/>
                <w:szCs w:val="20"/>
                <w:color w:val="auto"/>
              </w:rPr>
            </w:pPr>
            <w:r>
              <w:rPr>
                <w:rFonts w:ascii="Arial" w:cs="Arial" w:eastAsia="Arial" w:hAnsi="Arial"/>
                <w:sz w:val="14"/>
                <w:szCs w:val="14"/>
                <w:color w:val="auto"/>
                <w:w w:val="98"/>
              </w:rPr>
              <w:t>$15,456</w:t>
            </w:r>
          </w:p>
        </w:tc>
        <w:tc>
          <w:tcPr>
            <w:tcW w:w="40" w:type="dxa"/>
            <w:vAlign w:val="bottom"/>
          </w:tcPr>
          <w:p>
            <w:pPr>
              <w:spacing w:after="0"/>
              <w:rPr>
                <w:sz w:val="14"/>
                <w:szCs w:val="14"/>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calculation of Contribution Profit for each of the last eight quarters: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9"/>
              </w:rPr>
              <w:t>Three Months Ended</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3560" w:type="dxa"/>
            <w:vAlign w:val="bottom"/>
          </w:tcPr>
          <w:p>
            <w:pPr>
              <w:spacing w:after="0"/>
              <w:rPr>
                <w:sz w:val="10"/>
                <w:szCs w:val="10"/>
                <w:color w:val="auto"/>
              </w:rPr>
            </w:pPr>
          </w:p>
        </w:tc>
        <w:tc>
          <w:tcPr>
            <w:tcW w:w="720" w:type="dxa"/>
            <w:vAlign w:val="bottom"/>
            <w:gridSpan w:val="3"/>
          </w:tcPr>
          <w:p>
            <w:pPr>
              <w:jc w:val="right"/>
              <w:ind w:right="220"/>
              <w:spacing w:after="0" w:line="117" w:lineRule="exact"/>
              <w:rPr>
                <w:sz w:val="20"/>
                <w:szCs w:val="20"/>
                <w:color w:val="auto"/>
              </w:rPr>
            </w:pPr>
            <w:r>
              <w:rPr>
                <w:rFonts w:ascii="Arial" w:cs="Arial" w:eastAsia="Arial" w:hAnsi="Arial"/>
                <w:sz w:val="12"/>
                <w:szCs w:val="12"/>
                <w:b w:val="1"/>
                <w:bCs w:val="1"/>
                <w:color w:val="auto"/>
              </w:rPr>
              <w:t>Dec. 31,</w:t>
            </w:r>
          </w:p>
        </w:tc>
        <w:tc>
          <w:tcPr>
            <w:tcW w:w="660" w:type="dxa"/>
            <w:vAlign w:val="bottom"/>
            <w:gridSpan w:val="3"/>
          </w:tcPr>
          <w:p>
            <w:pPr>
              <w:jc w:val="right"/>
              <w:ind w:right="160"/>
              <w:spacing w:after="0" w:line="117" w:lineRule="exact"/>
              <w:rPr>
                <w:sz w:val="20"/>
                <w:szCs w:val="20"/>
                <w:color w:val="auto"/>
              </w:rPr>
            </w:pPr>
            <w:r>
              <w:rPr>
                <w:rFonts w:ascii="Arial" w:cs="Arial" w:eastAsia="Arial" w:hAnsi="Arial"/>
                <w:sz w:val="12"/>
                <w:szCs w:val="12"/>
                <w:b w:val="1"/>
                <w:bCs w:val="1"/>
                <w:color w:val="auto"/>
              </w:rPr>
              <w:t>Mar. 31,</w:t>
            </w:r>
          </w:p>
        </w:tc>
        <w:tc>
          <w:tcPr>
            <w:tcW w:w="60" w:type="dxa"/>
            <w:vAlign w:val="bottom"/>
          </w:tcPr>
          <w:p>
            <w:pPr>
              <w:spacing w:after="0"/>
              <w:rPr>
                <w:sz w:val="10"/>
                <w:szCs w:val="10"/>
                <w:color w:val="auto"/>
              </w:rPr>
            </w:pPr>
          </w:p>
        </w:tc>
        <w:tc>
          <w:tcPr>
            <w:tcW w:w="740" w:type="dxa"/>
            <w:vAlign w:val="bottom"/>
            <w:gridSpan w:val="3"/>
          </w:tcPr>
          <w:p>
            <w:pPr>
              <w:jc w:val="right"/>
              <w:ind w:right="220"/>
              <w:spacing w:after="0" w:line="117" w:lineRule="exact"/>
              <w:rPr>
                <w:sz w:val="20"/>
                <w:szCs w:val="20"/>
                <w:color w:val="auto"/>
              </w:rPr>
            </w:pPr>
            <w:r>
              <w:rPr>
                <w:rFonts w:ascii="Arial" w:cs="Arial" w:eastAsia="Arial" w:hAnsi="Arial"/>
                <w:sz w:val="12"/>
                <w:szCs w:val="12"/>
                <w:b w:val="1"/>
                <w:bCs w:val="1"/>
                <w:color w:val="auto"/>
              </w:rPr>
              <w:t>June 30,</w:t>
            </w:r>
          </w:p>
        </w:tc>
        <w:tc>
          <w:tcPr>
            <w:tcW w:w="720" w:type="dxa"/>
            <w:vAlign w:val="bottom"/>
            <w:gridSpan w:val="2"/>
          </w:tcPr>
          <w:p>
            <w:pPr>
              <w:jc w:val="right"/>
              <w:ind w:right="220"/>
              <w:spacing w:after="0" w:line="117" w:lineRule="exact"/>
              <w:rPr>
                <w:sz w:val="20"/>
                <w:szCs w:val="20"/>
                <w:color w:val="auto"/>
              </w:rPr>
            </w:pPr>
            <w:r>
              <w:rPr>
                <w:rFonts w:ascii="Arial" w:cs="Arial" w:eastAsia="Arial" w:hAnsi="Arial"/>
                <w:sz w:val="12"/>
                <w:szCs w:val="12"/>
                <w:b w:val="1"/>
                <w:bCs w:val="1"/>
                <w:color w:val="auto"/>
                <w:w w:val="97"/>
              </w:rPr>
              <w:t>Sept. 30,</w:t>
            </w:r>
          </w:p>
        </w:tc>
        <w:tc>
          <w:tcPr>
            <w:tcW w:w="640" w:type="dxa"/>
            <w:vAlign w:val="bottom"/>
            <w:gridSpan w:val="2"/>
          </w:tcPr>
          <w:p>
            <w:pPr>
              <w:jc w:val="right"/>
              <w:ind w:right="160"/>
              <w:spacing w:after="0" w:line="117" w:lineRule="exact"/>
              <w:rPr>
                <w:sz w:val="20"/>
                <w:szCs w:val="20"/>
                <w:color w:val="auto"/>
              </w:rPr>
            </w:pPr>
            <w:r>
              <w:rPr>
                <w:rFonts w:ascii="Arial" w:cs="Arial" w:eastAsia="Arial" w:hAnsi="Arial"/>
                <w:sz w:val="12"/>
                <w:szCs w:val="12"/>
                <w:b w:val="1"/>
                <w:bCs w:val="1"/>
                <w:color w:val="auto"/>
              </w:rPr>
              <w:t>Dec. 31,</w:t>
            </w: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17" w:lineRule="exact"/>
              <w:rPr>
                <w:sz w:val="20"/>
                <w:szCs w:val="20"/>
                <w:color w:val="auto"/>
              </w:rPr>
            </w:pPr>
            <w:r>
              <w:rPr>
                <w:rFonts w:ascii="Arial" w:cs="Arial" w:eastAsia="Arial" w:hAnsi="Arial"/>
                <w:sz w:val="12"/>
                <w:szCs w:val="12"/>
                <w:b w:val="1"/>
                <w:bCs w:val="1"/>
                <w:color w:val="auto"/>
              </w:rPr>
              <w:t>Mar. 31,</w:t>
            </w:r>
          </w:p>
        </w:tc>
        <w:tc>
          <w:tcPr>
            <w:tcW w:w="60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97"/>
              </w:rPr>
              <w:t>Sept. 30,</w:t>
            </w:r>
          </w:p>
        </w:tc>
        <w:tc>
          <w:tcPr>
            <w:tcW w:w="80" w:type="dxa"/>
            <w:vAlign w:val="bottom"/>
          </w:tcPr>
          <w:p>
            <w:pPr>
              <w:spacing w:after="0"/>
              <w:rPr>
                <w:sz w:val="10"/>
                <w:szCs w:val="10"/>
                <w:color w:val="auto"/>
              </w:rPr>
            </w:pPr>
          </w:p>
        </w:tc>
      </w:tr>
      <w:tr>
        <w:trPr>
          <w:trHeight w:val="145"/>
        </w:trPr>
        <w:tc>
          <w:tcPr>
            <w:tcW w:w="35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149"/>
        </w:trPr>
        <w:tc>
          <w:tcPr>
            <w:tcW w:w="35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Referral fees, net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14,141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13,042</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$ 26,137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$ 34,555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$ 38,219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4,597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$ 38,012</w:t>
            </w:r>
          </w:p>
        </w:tc>
        <w:tc>
          <w:tcPr>
            <w:tcW w:w="80" w:type="dxa"/>
            <w:vAlign w:val="bottom"/>
            <w:shd w:val="clear" w:color="auto" w:fill="CCEEFF"/>
          </w:tcPr>
          <w:p>
            <w:pPr>
              <w:spacing w:after="0"/>
              <w:rPr>
                <w:sz w:val="12"/>
                <w:szCs w:val="12"/>
                <w:color w:val="auto"/>
              </w:rPr>
            </w:pPr>
          </w:p>
        </w:tc>
      </w:tr>
      <w:tr>
        <w:trPr>
          <w:trHeight w:val="158"/>
        </w:trPr>
        <w:tc>
          <w:tcPr>
            <w:tcW w:w="3560" w:type="dxa"/>
            <w:vAlign w:val="bottom"/>
          </w:tcPr>
          <w:p>
            <w:pPr>
              <w:spacing w:after="0" w:line="158" w:lineRule="exact"/>
              <w:rPr>
                <w:sz w:val="20"/>
                <w:szCs w:val="20"/>
                <w:color w:val="auto"/>
              </w:rPr>
            </w:pPr>
            <w:r>
              <w:rPr>
                <w:rFonts w:ascii="Arial" w:cs="Arial" w:eastAsia="Arial" w:hAnsi="Arial"/>
                <w:sz w:val="14"/>
                <w:szCs w:val="14"/>
                <w:color w:val="auto"/>
              </w:rPr>
              <w:t>Platform fees, net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7,826</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7,267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9,532</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16,133</w:t>
            </w: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20,451</w:t>
            </w:r>
          </w:p>
        </w:tc>
        <w:tc>
          <w:tcPr>
            <w:tcW w:w="1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22,011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3,015</w:t>
            </w: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17,631</w:t>
            </w:r>
          </w:p>
        </w:tc>
        <w:tc>
          <w:tcPr>
            <w:tcW w:w="80" w:type="dxa"/>
            <w:vAlign w:val="bottom"/>
          </w:tcPr>
          <w:p>
            <w:pPr>
              <w:spacing w:after="0"/>
              <w:rPr>
                <w:sz w:val="13"/>
                <w:szCs w:val="13"/>
                <w:color w:val="auto"/>
              </w:rPr>
            </w:pP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Servicing fees, net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1,727</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1,933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2,088</w:t>
            </w: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5,629</w:t>
            </w: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6,142</w:t>
            </w:r>
          </w:p>
        </w:tc>
        <w:tc>
          <w:tcPr>
            <w:tcW w:w="80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7,783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5,693</w:t>
            </w:r>
          </w:p>
        </w:tc>
        <w:tc>
          <w:tcPr>
            <w:tcW w:w="700" w:type="dxa"/>
            <w:vAlign w:val="bottom"/>
            <w:gridSpan w:val="3"/>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7,218</w:t>
            </w:r>
          </w:p>
        </w:tc>
      </w:tr>
      <w:tr>
        <w:trPr>
          <w:trHeight w:val="158"/>
        </w:trPr>
        <w:tc>
          <w:tcPr>
            <w:tcW w:w="3560" w:type="dxa"/>
            <w:vAlign w:val="bottom"/>
          </w:tcPr>
          <w:p>
            <w:pPr>
              <w:spacing w:after="0" w:line="158" w:lineRule="exact"/>
              <w:rPr>
                <w:sz w:val="20"/>
                <w:szCs w:val="20"/>
                <w:color w:val="auto"/>
              </w:rPr>
            </w:pPr>
            <w:r>
              <w:rPr>
                <w:rFonts w:ascii="Arial" w:cs="Arial" w:eastAsia="Arial" w:hAnsi="Arial"/>
                <w:sz w:val="14"/>
                <w:szCs w:val="14"/>
                <w:color w:val="auto"/>
              </w:rPr>
              <w:t>Revenue from fees, net</w:t>
            </w: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23,694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22,242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28,558</w:t>
            </w: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47,899</w:t>
            </w: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61,148</w:t>
            </w:r>
          </w:p>
        </w:tc>
        <w:tc>
          <w:tcPr>
            <w:tcW w:w="1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68,013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13,305</w:t>
            </w:r>
          </w:p>
        </w:tc>
        <w:tc>
          <w:tcPr>
            <w:tcW w:w="12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62,861</w:t>
            </w:r>
          </w:p>
        </w:tc>
        <w:tc>
          <w:tcPr>
            <w:tcW w:w="80" w:type="dxa"/>
            <w:vAlign w:val="bottom"/>
          </w:tcPr>
          <w:p>
            <w:pPr>
              <w:spacing w:after="0"/>
              <w:rPr>
                <w:sz w:val="13"/>
                <w:szCs w:val="13"/>
                <w:color w:val="auto"/>
              </w:rPr>
            </w:pP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Borrower acquisition costs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5"/>
              </w:rPr>
              <w:t>(16,260)</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(13,724)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5"/>
              </w:rPr>
              <w:t>(18,466)</w:t>
            </w:r>
          </w:p>
        </w:tc>
        <w:tc>
          <w:tcPr>
            <w:tcW w:w="7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(26,575)</w:t>
            </w:r>
          </w:p>
        </w:tc>
        <w:tc>
          <w:tcPr>
            <w:tcW w:w="6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(30,804)</w:t>
            </w:r>
          </w:p>
        </w:tc>
        <w:tc>
          <w:tcPr>
            <w:tcW w:w="8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(34,703)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9"/>
              </w:rPr>
              <w:t>(3,578)</w:t>
            </w:r>
          </w:p>
        </w:tc>
        <w:tc>
          <w:tcPr>
            <w:tcW w:w="7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(21,183)</w:t>
            </w:r>
          </w:p>
        </w:tc>
      </w:tr>
      <w:tr>
        <w:trPr>
          <w:trHeight w:val="158"/>
        </w:trPr>
        <w:tc>
          <w:tcPr>
            <w:tcW w:w="3560" w:type="dxa"/>
            <w:vAlign w:val="bottom"/>
          </w:tcPr>
          <w:p>
            <w:pPr>
              <w:spacing w:after="0" w:line="158" w:lineRule="exact"/>
              <w:rPr>
                <w:sz w:val="20"/>
                <w:szCs w:val="20"/>
                <w:color w:val="auto"/>
              </w:rPr>
            </w:pPr>
            <w:r>
              <w:rPr>
                <w:rFonts w:ascii="Arial" w:cs="Arial" w:eastAsia="Arial" w:hAnsi="Arial"/>
                <w:sz w:val="14"/>
                <w:szCs w:val="14"/>
                <w:color w:val="auto"/>
              </w:rPr>
              <w:t>Borrower verification and servicing costs</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(3,559)</w:t>
            </w:r>
          </w:p>
        </w:tc>
        <w:tc>
          <w:tcPr>
            <w:tcW w:w="80" w:type="dxa"/>
            <w:vAlign w:val="bottom"/>
          </w:tcPr>
          <w:p>
            <w:pPr>
              <w:spacing w:after="0"/>
              <w:rPr>
                <w:sz w:val="13"/>
                <w:szCs w:val="13"/>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(3,962)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(4,613)</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(5,799)</w:t>
            </w: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(6,964)</w:t>
            </w:r>
          </w:p>
        </w:tc>
        <w:tc>
          <w:tcPr>
            <w:tcW w:w="8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(7,650)</w:t>
            </w:r>
          </w:p>
        </w:tc>
        <w:tc>
          <w:tcPr>
            <w:tcW w:w="80" w:type="dxa"/>
            <w:vAlign w:val="bottom"/>
          </w:tcPr>
          <w:p>
            <w:pPr>
              <w:spacing w:after="0"/>
              <w:rPr>
                <w:sz w:val="13"/>
                <w:szCs w:val="13"/>
                <w:color w:val="auto"/>
              </w:rPr>
            </w:pPr>
          </w:p>
        </w:tc>
        <w:tc>
          <w:tcPr>
            <w:tcW w:w="5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9"/>
              </w:rPr>
              <w:t>(5,471)</w:t>
            </w:r>
          </w:p>
        </w:tc>
        <w:tc>
          <w:tcPr>
            <w:tcW w:w="7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(7,898)</w:t>
            </w: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direct expenses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5"/>
              </w:rPr>
              <w:t>(19,819)</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(17,686)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5"/>
              </w:rPr>
              <w:t>(23,079)</w:t>
            </w:r>
          </w:p>
        </w:tc>
        <w:tc>
          <w:tcPr>
            <w:tcW w:w="7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(32,374)</w:t>
            </w:r>
          </w:p>
        </w:tc>
        <w:tc>
          <w:tcPr>
            <w:tcW w:w="6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(37,768)</w:t>
            </w:r>
          </w:p>
        </w:tc>
        <w:tc>
          <w:tcPr>
            <w:tcW w:w="8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(42,353)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9"/>
              </w:rPr>
              <w:t>(9,049)</w:t>
            </w:r>
          </w:p>
        </w:tc>
        <w:tc>
          <w:tcPr>
            <w:tcW w:w="7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(29,081)</w:t>
            </w:r>
          </w:p>
        </w:tc>
      </w:tr>
      <w:tr>
        <w:trPr>
          <w:trHeight w:val="164"/>
        </w:trPr>
        <w:tc>
          <w:tcPr>
            <w:tcW w:w="3560" w:type="dxa"/>
            <w:vAlign w:val="bottom"/>
          </w:tcPr>
          <w:p>
            <w:pPr>
              <w:spacing w:after="0"/>
              <w:rPr>
                <w:sz w:val="20"/>
                <w:szCs w:val="20"/>
                <w:color w:val="auto"/>
              </w:rPr>
            </w:pPr>
            <w:r>
              <w:rPr>
                <w:rFonts w:ascii="Arial" w:cs="Arial" w:eastAsia="Arial" w:hAnsi="Arial"/>
                <w:sz w:val="14"/>
                <w:szCs w:val="14"/>
                <w:color w:val="auto"/>
              </w:rPr>
              <w:t>Contribution profit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3,875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4,556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5,479</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$ 15,525</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$ 23,380</w:t>
            </w: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$ 25,660</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4,256</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$ 33,780</w:t>
            </w:r>
          </w:p>
        </w:tc>
        <w:tc>
          <w:tcPr>
            <w:tcW w:w="80" w:type="dxa"/>
            <w:vAlign w:val="bottom"/>
          </w:tcPr>
          <w:p>
            <w:pPr>
              <w:spacing w:after="0"/>
              <w:rPr>
                <w:sz w:val="14"/>
                <w:szCs w:val="14"/>
                <w:color w:val="auto"/>
              </w:rPr>
            </w:pPr>
          </w:p>
        </w:tc>
      </w:tr>
    </w:tbl>
    <w:p>
      <w:pPr>
        <w:spacing w:after="0" w:line="173"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See the section titled “Reconciliation of Non-GAAP Financial Measures” for a reconciliation of loss from operations to Contribution Profit and of net loss attributable to Upstart Holdings, Inc. common stockholders to Adjusted EBITDA.</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Quarterly Trends</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Revenue from Fees, Net</w:t>
      </w:r>
    </w:p>
    <w:p>
      <w:pPr>
        <w:spacing w:after="0" w:line="10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Revenue from fees, net trended upwards on an annual basis, but fluctuated during the quarters presented. Revenue from fees, net is highly correlated with the Number of Loans Transacted on our platform during the period. The increase in revenue from the second quarter of 2019 to the first quarter of 2020 was primarily a result of the overall growth of our business, continuous improvements to our AI models and technology, and our ability to streamline and automate the loan application and origination process. The changes in the second and the third quarter of 2020 were driven by the impact of the COVID-19 pandemic on our business and a recovery from it, respectively.</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Interest Income and Fair Value Adjustments, Net</w:t>
      </w:r>
    </w:p>
    <w:p>
      <w:pPr>
        <w:spacing w:after="0" w:line="103"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Interest income and fair value adjustments, net fluctuated quarterly primarily due to the outstanding balance of loans included in our consolidated balance sheets and changes to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220"/>
          </w:cols>
          <w:pgMar w:left="320" w:top="407" w:right="135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characteristics of such loans, such as the average age of the loans and the interest rates of the loans, during the respective periods presented. The decrease in interest income and fair value adjustment in the first quarter of 2020 was primarily due to the market changes caused by the COVID-19 pandemic.</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Sales and Marketing</w:t>
      </w:r>
    </w:p>
    <w:p>
      <w:pPr>
        <w:spacing w:after="0" w:line="103"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Sales and marketing expenses trended upwards on an annual basis, but fluctuated during the quarters presented. The overall increase and the changes between different periods are primarily driven by the timing and extent of borrower acquisition and marketing initiatives across various channels. The changes in the second and the third quarter of 2020 were driven by decreased spending on marketing campaigns as a result of the COVID-19 pandemic and a recovery from it, respectively.</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Customer Operations</w:t>
      </w:r>
    </w:p>
    <w:p>
      <w:pPr>
        <w:spacing w:after="0" w:line="103" w:lineRule="exact"/>
        <w:rPr>
          <w:sz w:val="20"/>
          <w:szCs w:val="20"/>
          <w:color w:val="auto"/>
        </w:rPr>
      </w:pPr>
    </w:p>
    <w:p>
      <w:pPr>
        <w:ind w:left="1020" w:right="240" w:firstLine="460"/>
        <w:spacing w:after="0" w:line="237" w:lineRule="auto"/>
        <w:rPr>
          <w:sz w:val="20"/>
          <w:szCs w:val="20"/>
          <w:color w:val="auto"/>
        </w:rPr>
      </w:pPr>
      <w:r>
        <w:rPr>
          <w:rFonts w:ascii="Arial" w:cs="Arial" w:eastAsia="Arial" w:hAnsi="Arial"/>
          <w:sz w:val="15"/>
          <w:szCs w:val="15"/>
          <w:color w:val="auto"/>
        </w:rPr>
        <w:t>Similar to sales and marketing, customer operations trended upwards on an annual basis but fluctuated during the quarters presented primarily due variability in the Number of Loans Transacted. The increase was primarily due to increases in payroll and personnel-related expenses driven by increases in our headcount, as well as an overall increase in spending related to our information verification and platform operations due to the growing volume of loans facilitated through our platform. The changes in the second and the third quarter of 2020 were driven by decreased spending on information verification as a result of the COVID-19 pandemic on our business and a recovery from it, respectively.</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Engineering and Product Development</w:t>
      </w:r>
    </w:p>
    <w:p>
      <w:pPr>
        <w:spacing w:after="0" w:line="103"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Engineering and product development generally increased for the quarters presented. This was primarily due to increases in payroll and personnel-related expenses driven by increases in our headcount, as well as increases in infrastructure-related costs.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General, Administrative and Other</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General, administrative and other expenses have trended upwards on an annual basis but fluctuated during the quarters presented. The overall increase is reflective of increasing costs of fees for professional services, including legal and financial services as well an increase in personnel-related costs driven by additions of legal, human resources, and finance personnel. In the second half of 2019, general, administrative and other expenses also increased as a result of an increase in office rent and other facility-related expenses due to the opening of our second headquarters in Columbus, Ohio and relocation of our first headquarters from San Carlos, California, to San Mateo, California.</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(Expense) Income on Warrants and Convertible Notes, Net</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Expense on warrants and convertible notes, net fluctuated during the quarters presented and reflect the variable nature and timing of the increases and decreases in the fair value of outstanding common stock warrants and convertible preferred stock warrants, which highly correlate with the valuation of the underlying securities. We incurred higher expenses in the quarters when the increases in the valuation of our preferred and common stock increased the most. In the fourth quarter of 2020, we estimate the expense for outstanding warrants to be approximately $6.5 million, which is significantly higher than the amount of warrant expenses we experienced historically. We do not expect to incur additional expenses for these warrants in 2021 and beyond due to the exercise of the remaining preferred stock warrants and the amendment to the common stock warrants as discussed in the sections titled “Description of Capital Stock” and “Liquidity and Capital Resources—Revolving Credit Facility”, respectively.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20"/>
          </w:cols>
          <w:pgMar w:left="320" w:top="407" w:right="135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We recorded income on warrants and convertible notes reported in the fourth quarter of 2019 due to a gain on repurchase and retirement of convertible preferred stock warrants.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Number of Loans Transacted</w:t>
      </w:r>
    </w:p>
    <w:p>
      <w:pPr>
        <w:spacing w:after="0" w:line="103"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Number of Loans Transacted trended upwards on an annual basis but fluctuated during the quarters presented. The overall increase was primarily a result of continuous improvements to our AI models and technology, and our ability to streamline and automate the loan application and origination process. However, such improvements could occasionally impact transaction volume negatively. For example, an upgrade to our AI models in the fourth quarter of 2018 related to prepayment predictions led to a temporary decrease in the total number of loans transacted. In addition, we experience significant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The changes in the second and the third quarter of 2020 were driven by the impact of the COVID-19 pandemic on our business and a recovery from it, respectively.</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Conversion Rate</w:t>
      </w:r>
    </w:p>
    <w:p>
      <w:pPr>
        <w:spacing w:after="0" w:line="103"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Conversion Rate has trended upwards on an annual basis but fluctuated during the quarters presented. The overall increase was primarily a result of continuous improvements to our AI models and technology. Historically, our Conversion Rate has benefitted from improvements to our technology, which have made our evaluation of risk more accurate and our verification process more automated, or from the addition of bank partners that have made our offers more competitive. The changes in the second and the third quarter of 2020 were driven by the impact of the COVID-19 pandemic on our business and a recovery from it, respectively.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Percentage of Loans Fully Automated</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Percentage of Loans Fully Automated has trended upwards on an annual basis, but fluctuated during the quarters presented. The overall increase was primarily a result of continuous improvements to our AI models and technology. Better AI models increased our ability to rapidly streamline and automate the loan application and origination process on our platform. The changes in the second and the third quarter of 2020 were driven by the impact of the COVID-19 pandemic on our business and a recovery from it, respectively.</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Contribution Profit</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Contribution Profit (which is a function of revenue from fees, net and borrower acquisition cost and borrower verification and servicing cost) is highly correlated with the Number of Loans Transacted on our platform during the period and trended upwards on an annual basis but fluctuated during the quarters presented. The overall increase was primarily due to improvements to borrower acquisition efforts and our operating efficiency. The quarterly fluctuations are primarily due to the timing and extent of borrower acquisition and marketing initiatives across various channels. The changes in the second and the third quarter of 2020 are driven by the impact of the COVID-19 pandemic on our business and a recovery from it, respectively. See the section titled “Reconciliation of Non-GAAP Financial Measures” for a reconciliation of loss from operations to Contribution Profit.</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Adjusted EBITDA</w:t>
      </w:r>
    </w:p>
    <w:p>
      <w:pPr>
        <w:spacing w:after="0" w:line="103"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Adjusted EBITDA trended upwards on an annual basis but fluctuated during the quarters presented. Adjusted EBITDA is highly correlated with the Number of Loans Transacted on our platform</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200"/>
          </w:cols>
          <w:pgMar w:left="320" w:top="407" w:right="137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during the period. The overall increase was primarily due to business growth outpacing expense growth. The changes in the second and the third quarter of 2020 are driven by the impact of the COVID-19 pandemic on our business and a recovery from it, respectively. See the section titled “Reconciliation of Non-GAAP Financial Measures” for a reconciliation of net loss attributable to Upstart Holdings, Inc. common stockholders to Adjusted EBITDA.</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Reconciliation of Non-GAAP Financial Measures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 supplement our consolidated financial statements prepared and presented in accordance with GAAP, we use the non-GAAP financial measures Contribution Profit and Adjusted EBITDA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 address these limitations, we provide a reconciliation of Contribution Profit and Adjusted EBITDA to loss from operations and net loss attributable to Upstart Holdings, Inc. common stockholders, respectively. We encourage investors and others to review our financial information in its entirety, not to rely on any single financial measure and to view Contribution Profit and Adjusted EBITDA in conjunction with their respective related GAAP financial measures.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Contribution Profit</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use Contribution Profit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Contribution Profit is useful to investors for period-to period comparisons of our business and in evaluating and understanding our operating results and ability to scale. Contribution Profit is also useful to investors because our management uses Contribution Profit, in conjunction with financial measures prepared in accordance with GAAP, to evaluate our operating results and financial performance and the effectiveness of our strategies.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Contribution Profit has limitations as an analytical tool, and you should not consider it in isolation or as a substitute for analysis of our results as reported under GAAP. Contribution Profit is not a GAAP financial measure of, nor does it imply, profitability. Even if our revenue exceeds variable expenses over time, we may not be able to achieve or maintain profitability, and the relationship of revenue to variable expenses is not necessarily indicative of future performance. Contribution Profit does not reflect all of our variable expenses and involves some judgment and discretion around what costs vary directly with loan volume. Other companies that present contribution profit calculate it differently and, therefore, similarly titled measures presented by other companies may not be directly comparable to ours.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00"/>
          </w:cols>
          <w:pgMar w:left="320" w:top="407" w:right="137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presents a reconciliation of loss from operations to Contribution Profit:</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right"/>
              <w:ind w:right="20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48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8"/>
          </w:tcPr>
          <w:p>
            <w:pPr>
              <w:jc w:val="right"/>
              <w:ind w:right="58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2"/>
                <w:szCs w:val="12"/>
                <w:color w:val="auto"/>
              </w:rPr>
            </w:pPr>
          </w:p>
        </w:tc>
        <w:tc>
          <w:tcPr>
            <w:tcW w:w="134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484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2017</w:t>
            </w:r>
          </w:p>
        </w:tc>
        <w:tc>
          <w:tcPr>
            <w:tcW w:w="14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Income (loss) from operations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(7,536)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(7,971)</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 (4,575)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(8,901)</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58"/>
        </w:trPr>
        <w:tc>
          <w:tcPr>
            <w:tcW w:w="4840" w:type="dxa"/>
            <w:vAlign w:val="bottom"/>
          </w:tcPr>
          <w:p>
            <w:pPr>
              <w:spacing w:after="0" w:line="157" w:lineRule="exact"/>
              <w:rPr>
                <w:sz w:val="20"/>
                <w:szCs w:val="20"/>
                <w:color w:val="auto"/>
              </w:rPr>
            </w:pPr>
            <w:r>
              <w:rPr>
                <w:rFonts w:ascii="Arial" w:cs="Arial" w:eastAsia="Arial" w:hAnsi="Arial"/>
                <w:sz w:val="12"/>
                <w:szCs w:val="12"/>
                <w:color w:val="auto"/>
              </w:rPr>
              <w:t>Sales and marketing, net of borrower acquisition costs</w:t>
            </w:r>
            <w:r>
              <w:rPr>
                <w:rFonts w:ascii="Arial" w:cs="Arial" w:eastAsia="Arial" w:hAnsi="Arial"/>
                <w:sz w:val="18"/>
                <w:szCs w:val="18"/>
                <w:color w:val="auto"/>
                <w:vertAlign w:val="superscript"/>
              </w:rPr>
              <w:t>(1)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1,061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1,975</w:t>
            </w:r>
          </w:p>
        </w:tc>
        <w:tc>
          <w:tcPr>
            <w:tcW w:w="7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3,606</w:t>
            </w:r>
          </w:p>
        </w:tc>
        <w:tc>
          <w:tcPr>
            <w:tcW w:w="100" w:type="dxa"/>
            <w:vAlign w:val="bottom"/>
          </w:tcPr>
          <w:p>
            <w:pPr>
              <w:spacing w:after="0"/>
              <w:rPr>
                <w:sz w:val="13"/>
                <w:szCs w:val="13"/>
                <w:color w:val="auto"/>
              </w:rPr>
            </w:pPr>
          </w:p>
        </w:tc>
        <w:tc>
          <w:tcPr>
            <w:tcW w:w="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2,471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Customer operations, net of borrower verification and servicing costs</w:t>
            </w:r>
            <w:r>
              <w:rPr>
                <w:rFonts w:ascii="Arial" w:cs="Arial" w:eastAsia="Arial" w:hAnsi="Arial"/>
                <w:sz w:val="18"/>
                <w:szCs w:val="18"/>
                <w:color w:val="auto"/>
                <w:vertAlign w:val="superscript"/>
              </w:rPr>
              <w:t>(2)</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1,113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1,690</w:t>
            </w:r>
          </w:p>
        </w:tc>
        <w:tc>
          <w:tcPr>
            <w:tcW w:w="7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3,609</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2,219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3,773</w:t>
            </w:r>
          </w:p>
        </w:tc>
        <w:tc>
          <w:tcPr>
            <w:tcW w:w="0" w:type="dxa"/>
            <w:vAlign w:val="bottom"/>
          </w:tcPr>
          <w:p>
            <w:pPr>
              <w:spacing w:after="0"/>
              <w:rPr>
                <w:sz w:val="1"/>
                <w:szCs w:val="1"/>
                <w:color w:val="auto"/>
              </w:rPr>
            </w:pPr>
          </w:p>
        </w:tc>
      </w:tr>
      <w:tr>
        <w:trPr>
          <w:trHeight w:val="158"/>
        </w:trPr>
        <w:tc>
          <w:tcPr>
            <w:tcW w:w="4840" w:type="dxa"/>
            <w:vAlign w:val="bottom"/>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5,324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8,415</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w w:val="97"/>
              </w:rPr>
              <w:t>11,480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w w:val="97"/>
              </w:rPr>
              <w:t>24,651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15,431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20,399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30,778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w w:val="99"/>
              </w:rPr>
              <w:t>(6,128)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w w:val="91"/>
              </w:rPr>
              <w:t>(10,831)</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(4,342)</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(2,918)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23"/>
        </w:trPr>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8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Contribution Profit</w:t>
            </w:r>
          </w:p>
        </w:tc>
        <w:tc>
          <w:tcPr>
            <w:tcW w:w="6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9,265</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13,098</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48,940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25,560</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63,697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480" w:right="340" w:hanging="453"/>
        <w:spacing w:after="0" w:line="239" w:lineRule="auto"/>
        <w:tabs>
          <w:tab w:leader="none" w:pos="1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Borrower acquisition costs were $32.8 million, $61.7 million and $89.6 million for the years ended December 31, 2017, 2018 and 2019, respectively, and $58.8 million and $59.5 million in the nine months ended September 30, 2019 and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92" w:lineRule="exact"/>
        <w:rPr>
          <w:rFonts w:ascii="Arial" w:cs="Arial" w:eastAsia="Arial" w:hAnsi="Arial"/>
          <w:sz w:val="12"/>
          <w:szCs w:val="12"/>
          <w:color w:val="auto"/>
        </w:rPr>
      </w:pPr>
    </w:p>
    <w:p>
      <w:pPr>
        <w:ind w:left="1480" w:right="20" w:hanging="453"/>
        <w:spacing w:after="0" w:line="238" w:lineRule="auto"/>
        <w:tabs>
          <w:tab w:leader="none" w:pos="1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Borrower verification and servicing costs were $9.1 million, $13.7 million and $21.3 million for the years ended December 31, 2017, 2018 and 2019, respectively, and $14.4 million and $21.0 million in the nine months ended September 30, 2019 and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2"/>
                <w:szCs w:val="12"/>
                <w:b w:val="1"/>
                <w:bCs w:val="1"/>
                <w:color w:val="auto"/>
                <w:w w:val="99"/>
              </w:rPr>
              <w:t>Three Months Ended</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3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00"/>
              <w:spacing w:after="0" w:line="117" w:lineRule="exact"/>
              <w:rPr>
                <w:sz w:val="20"/>
                <w:szCs w:val="20"/>
                <w:color w:val="auto"/>
              </w:rPr>
            </w:pPr>
            <w:r>
              <w:rPr>
                <w:rFonts w:ascii="Arial" w:cs="Arial" w:eastAsia="Arial" w:hAnsi="Arial"/>
                <w:sz w:val="12"/>
                <w:szCs w:val="12"/>
                <w:b w:val="1"/>
                <w:bCs w:val="1"/>
                <w:color w:val="auto"/>
                <w:w w:val="96"/>
              </w:rPr>
              <w:t>Dec. 31,</w:t>
            </w:r>
          </w:p>
        </w:tc>
        <w:tc>
          <w:tcPr>
            <w:tcW w:w="58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w w:val="98"/>
              </w:rPr>
              <w:t>Mar. 31,</w:t>
            </w:r>
          </w:p>
        </w:tc>
        <w:tc>
          <w:tcPr>
            <w:tcW w:w="60" w:type="dxa"/>
            <w:vAlign w:val="bottom"/>
          </w:tcPr>
          <w:p>
            <w:pPr>
              <w:spacing w:after="0"/>
              <w:rPr>
                <w:sz w:val="10"/>
                <w:szCs w:val="10"/>
                <w:color w:val="auto"/>
              </w:rPr>
            </w:pPr>
          </w:p>
        </w:tc>
        <w:tc>
          <w:tcPr>
            <w:tcW w:w="60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0"/>
                <w:szCs w:val="10"/>
                <w:color w:val="auto"/>
              </w:rPr>
            </w:pPr>
          </w:p>
        </w:tc>
        <w:tc>
          <w:tcPr>
            <w:tcW w:w="6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680" w:type="dxa"/>
            <w:vAlign w:val="bottom"/>
            <w:gridSpan w:val="3"/>
          </w:tcPr>
          <w:p>
            <w:pPr>
              <w:jc w:val="right"/>
              <w:ind w:right="200"/>
              <w:spacing w:after="0" w:line="117" w:lineRule="exact"/>
              <w:rPr>
                <w:sz w:val="20"/>
                <w:szCs w:val="20"/>
                <w:color w:val="auto"/>
              </w:rPr>
            </w:pPr>
            <w:r>
              <w:rPr>
                <w:rFonts w:ascii="Arial" w:cs="Arial" w:eastAsia="Arial" w:hAnsi="Arial"/>
                <w:sz w:val="12"/>
                <w:szCs w:val="12"/>
                <w:b w:val="1"/>
                <w:bCs w:val="1"/>
                <w:color w:val="auto"/>
              </w:rPr>
              <w:t>Dec. 31,</w:t>
            </w:r>
          </w:p>
        </w:tc>
        <w:tc>
          <w:tcPr>
            <w:tcW w:w="640" w:type="dxa"/>
            <w:vAlign w:val="bottom"/>
            <w:gridSpan w:val="3"/>
          </w:tcPr>
          <w:p>
            <w:pPr>
              <w:ind w:left="40"/>
              <w:spacing w:after="0" w:line="117" w:lineRule="exact"/>
              <w:rPr>
                <w:sz w:val="20"/>
                <w:szCs w:val="20"/>
                <w:color w:val="auto"/>
              </w:rPr>
            </w:pPr>
            <w:r>
              <w:rPr>
                <w:rFonts w:ascii="Arial" w:cs="Arial" w:eastAsia="Arial" w:hAnsi="Arial"/>
                <w:sz w:val="12"/>
                <w:szCs w:val="12"/>
                <w:b w:val="1"/>
                <w:bCs w:val="1"/>
                <w:color w:val="auto"/>
              </w:rPr>
              <w:t>Mar. 31,</w:t>
            </w:r>
          </w:p>
        </w:tc>
        <w:tc>
          <w:tcPr>
            <w:tcW w:w="720" w:type="dxa"/>
            <w:vAlign w:val="bottom"/>
            <w:gridSpan w:val="2"/>
          </w:tcPr>
          <w:p>
            <w:pPr>
              <w:jc w:val="right"/>
              <w:ind w:right="220"/>
              <w:spacing w:after="0" w:line="117" w:lineRule="exact"/>
              <w:rPr>
                <w:sz w:val="20"/>
                <w:szCs w:val="20"/>
                <w:color w:val="auto"/>
              </w:rPr>
            </w:pPr>
            <w:r>
              <w:rPr>
                <w:rFonts w:ascii="Arial" w:cs="Arial" w:eastAsia="Arial" w:hAnsi="Arial"/>
                <w:sz w:val="12"/>
                <w:szCs w:val="12"/>
                <w:b w:val="1"/>
                <w:bCs w:val="1"/>
                <w:color w:val="auto"/>
                <w:w w:val="99"/>
              </w:rPr>
              <w:t>June 30,</w:t>
            </w:r>
          </w:p>
        </w:tc>
        <w:tc>
          <w:tcPr>
            <w:tcW w:w="50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97"/>
              </w:rPr>
              <w:t>Sept. 30,</w:t>
            </w:r>
          </w:p>
        </w:tc>
        <w:tc>
          <w:tcPr>
            <w:tcW w:w="80" w:type="dxa"/>
            <w:vAlign w:val="bottom"/>
          </w:tcPr>
          <w:p>
            <w:pPr>
              <w:spacing w:after="0"/>
              <w:rPr>
                <w:sz w:val="10"/>
                <w:szCs w:val="10"/>
                <w:color w:val="auto"/>
              </w:rPr>
            </w:pPr>
          </w:p>
        </w:tc>
      </w:tr>
      <w:tr>
        <w:trPr>
          <w:trHeight w:val="145"/>
        </w:trPr>
        <w:tc>
          <w:tcPr>
            <w:tcW w:w="38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149"/>
        </w:trPr>
        <w:tc>
          <w:tcPr>
            <w:tcW w:w="38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Income (loss) from operations</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$(4,300)</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$(8,454)</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(1,625)</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553</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$(11,388)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$12,207</w:t>
            </w:r>
          </w:p>
        </w:tc>
        <w:tc>
          <w:tcPr>
            <w:tcW w:w="80" w:type="dxa"/>
            <w:vAlign w:val="bottom"/>
            <w:shd w:val="clear" w:color="auto" w:fill="CCEEFF"/>
          </w:tcPr>
          <w:p>
            <w:pPr>
              <w:spacing w:after="0"/>
              <w:rPr>
                <w:sz w:val="12"/>
                <w:szCs w:val="12"/>
                <w:color w:val="auto"/>
              </w:rPr>
            </w:pPr>
          </w:p>
        </w:tc>
      </w:tr>
      <w:tr>
        <w:trPr>
          <w:trHeight w:val="158"/>
        </w:trPr>
        <w:tc>
          <w:tcPr>
            <w:tcW w:w="3860" w:type="dxa"/>
            <w:vAlign w:val="bottom"/>
          </w:tcPr>
          <w:p>
            <w:pPr>
              <w:spacing w:after="0" w:line="157" w:lineRule="exact"/>
              <w:rPr>
                <w:sz w:val="20"/>
                <w:szCs w:val="20"/>
                <w:color w:val="auto"/>
              </w:rPr>
            </w:pPr>
            <w:r>
              <w:rPr>
                <w:rFonts w:ascii="Arial" w:cs="Arial" w:eastAsia="Arial" w:hAnsi="Arial"/>
                <w:sz w:val="12"/>
                <w:szCs w:val="12"/>
                <w:color w:val="auto"/>
              </w:rPr>
              <w:t>Sales and marketing, net of borrower acquisition costs</w:t>
            </w:r>
            <w:r>
              <w:rPr>
                <w:rFonts w:ascii="Arial" w:cs="Arial" w:eastAsia="Arial" w:hAnsi="Arial"/>
                <w:sz w:val="18"/>
                <w:szCs w:val="18"/>
                <w:color w:val="auto"/>
                <w:vertAlign w:val="superscript"/>
              </w:rPr>
              <w:t>(1)</w:t>
            </w: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849</w:t>
            </w:r>
          </w:p>
        </w:tc>
        <w:tc>
          <w:tcPr>
            <w:tcW w:w="180" w:type="dxa"/>
            <w:vAlign w:val="bottom"/>
          </w:tcPr>
          <w:p>
            <w:pPr>
              <w:spacing w:after="0"/>
              <w:rPr>
                <w:sz w:val="13"/>
                <w:szCs w:val="13"/>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869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848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754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1,135</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1,249</w:t>
            </w: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1,858</w:t>
            </w: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2,542</w:t>
            </w:r>
          </w:p>
        </w:tc>
      </w:tr>
      <w:tr>
        <w:trPr>
          <w:trHeight w:val="155"/>
        </w:trPr>
        <w:tc>
          <w:tcPr>
            <w:tcW w:w="3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w w:val="98"/>
              </w:rPr>
              <w:t>Customer operations, net of borrower verification and servicing</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3860" w:type="dxa"/>
            <w:vAlign w:val="bottom"/>
            <w:shd w:val="clear" w:color="auto" w:fill="CCEEFF"/>
          </w:tcPr>
          <w:p>
            <w:pPr>
              <w:ind w:left="140"/>
              <w:spacing w:after="0" w:line="160" w:lineRule="exact"/>
              <w:rPr>
                <w:sz w:val="20"/>
                <w:szCs w:val="20"/>
                <w:color w:val="auto"/>
              </w:rPr>
            </w:pPr>
            <w:r>
              <w:rPr>
                <w:rFonts w:ascii="Arial" w:cs="Arial" w:eastAsia="Arial" w:hAnsi="Arial"/>
                <w:sz w:val="12"/>
                <w:szCs w:val="12"/>
                <w:color w:val="auto"/>
              </w:rPr>
              <w:t>costs</w:t>
            </w:r>
            <w:r>
              <w:rPr>
                <w:rFonts w:ascii="Arial" w:cs="Arial" w:eastAsia="Arial" w:hAnsi="Arial"/>
                <w:sz w:val="18"/>
                <w:szCs w:val="18"/>
                <w:color w:val="auto"/>
                <w:vertAlign w:val="superscript"/>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1,390</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1,161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1,150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1,462</w:t>
            </w: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74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2,314</w:t>
            </w: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2,932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3,485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5,063</w:t>
            </w: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7,297</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7,018</w:t>
            </w: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7,667</w:t>
            </w: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9,966</w:t>
            </w: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74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4,692</w:t>
            </w: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6,022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5,959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8,418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11,466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11,660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9,017</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10,101</w:t>
            </w:r>
          </w:p>
        </w:tc>
        <w:tc>
          <w:tcPr>
            <w:tcW w:w="80" w:type="dxa"/>
            <w:vAlign w:val="bottom"/>
            <w:shd w:val="clear" w:color="auto" w:fill="CCEEFF"/>
          </w:tcPr>
          <w:p>
            <w:pPr>
              <w:spacing w:after="0"/>
              <w:rPr>
                <w:sz w:val="13"/>
                <w:szCs w:val="13"/>
                <w:color w:val="auto"/>
              </w:rPr>
            </w:pP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7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(197)</w:t>
            </w: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2,631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4"/>
              </w:rPr>
              <w:t>(3,961)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(1,588)</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w w:val="99"/>
              </w:rPr>
              <w:t>(1,424)</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4,019</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(4,048)</w:t>
            </w: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(2,498)</w:t>
            </w: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Contribution Profit</w:t>
            </w:r>
          </w:p>
        </w:tc>
        <w:tc>
          <w:tcPr>
            <w:tcW w:w="74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$ 3,875</w:t>
            </w: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4"/>
              </w:rPr>
              <w:t>$ 4,556</w:t>
            </w:r>
          </w:p>
        </w:tc>
        <w:tc>
          <w:tcPr>
            <w:tcW w:w="16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5,479</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15,525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23,380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25,660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4,256</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$33,780</w:t>
            </w:r>
          </w:p>
        </w:tc>
        <w:tc>
          <w:tcPr>
            <w:tcW w:w="8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480" w:right="20" w:hanging="453"/>
        <w:spacing w:after="0" w:line="235" w:lineRule="auto"/>
        <w:tabs>
          <w:tab w:leader="none" w:pos="14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Borrower acquisition costs were $16.3 million for the three months ended December 31, 2018; $13.7 million, $18.5 million, $26.6 million, and $30.8 million for the three months ended March 31, 2019, June 30, 2019, September 30, 2019 and December 31, 2019, respectively; $34.7 million, $3.6 million, and $21.2 million for the three months ended March 31, 2020, June 30, 2020, and September 30,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ind w:left="1480" w:right="20" w:hanging="453"/>
        <w:spacing w:after="0" w:line="237" w:lineRule="auto"/>
        <w:tabs>
          <w:tab w:leader="none" w:pos="14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Borrower verification and servicing costs were $3.6 million for the three months ended December 31, 2018; $4.0 million, $4.6 million, $5.8 million and $7.0 million for the three months ended March 31, 2019, June 30, 2019, September 30, 2019 and December 31, 2019, respectively, $7.7 million, $5,5 million, and $7.9 million for the three months ended March 31, 2020, June 30, 2020, and September 30,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20"/>
          </w:cols>
          <w:pgMar w:left="320" w:top="407" w:right="135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Adjusted EBITDA</w:t>
      </w:r>
    </w:p>
    <w:p>
      <w:pPr>
        <w:spacing w:after="0" w:line="19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We believe that Adjusted EBITDA is useful for investors to use in comparing our financial performance with the performance of other companies for the following reasons:</w:t>
      </w:r>
    </w:p>
    <w:p>
      <w:pPr>
        <w:spacing w:after="0" w:line="87" w:lineRule="exact"/>
        <w:rPr>
          <w:sz w:val="20"/>
          <w:szCs w:val="20"/>
          <w:color w:val="auto"/>
        </w:rPr>
      </w:pPr>
    </w:p>
    <w:p>
      <w:pPr>
        <w:ind w:left="1660" w:right="20" w:hanging="183"/>
        <w:spacing w:after="0"/>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Adjusted EBITDA is widely used by investors and securities analysts to measure a company’s operating performance without regard to items such as stock-based compensation expense, depreciation and interest expense, that can vary substantially from company to company depending upon their financing and capital structures, and the method by which assets were acquired; and</w:t>
      </w:r>
    </w:p>
    <w:p>
      <w:pPr>
        <w:spacing w:after="0" w:line="91"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Adjusted EBITDA provides consistency and comparability with our past financial performance, and facilitates comparisons with other companies, many of which use similar non-GAAP financial measures to supplement their GAAP results.</w:t>
      </w:r>
    </w:p>
    <w:p>
      <w:pPr>
        <w:spacing w:after="0" w:line="166"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Our use of Adjusted EBITDA has limitations as an analytical tool, and you should not consider this measure in isolation or as a substitute for analysis of our financial results as reported under GAAP. Some of these limitations are as follows:</w:t>
      </w:r>
    </w:p>
    <w:p>
      <w:pPr>
        <w:spacing w:after="0" w:line="87" w:lineRule="exact"/>
        <w:rPr>
          <w:sz w:val="20"/>
          <w:szCs w:val="20"/>
          <w:color w:val="auto"/>
        </w:rPr>
      </w:pPr>
    </w:p>
    <w:p>
      <w:pPr>
        <w:jc w:val="both"/>
        <w:ind w:left="1660" w:right="200" w:hanging="183"/>
        <w:spacing w:after="0"/>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spacing w:after="0" w:line="91"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Adjusted EBITDA excludes stock-based compensation expense, which has been, and will continue to be for the foreseeable future, a significant recurring expense for our business and an important part of our compensation strategy;</w:t>
      </w:r>
    </w:p>
    <w:p>
      <w:pPr>
        <w:spacing w:after="0" w:line="87" w:lineRule="exact"/>
        <w:rPr>
          <w:rFonts w:ascii="Arial" w:cs="Arial" w:eastAsia="Arial" w:hAnsi="Arial"/>
          <w:sz w:val="15"/>
          <w:szCs w:val="15"/>
          <w:color w:val="auto"/>
        </w:rPr>
      </w:pPr>
    </w:p>
    <w:p>
      <w:pPr>
        <w:ind w:left="1660" w:right="180" w:hanging="183"/>
        <w:spacing w:after="0" w:line="251" w:lineRule="auto"/>
        <w:tabs>
          <w:tab w:leader="none" w:pos="1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Adjusted EBITDA does not reflect: (1) changes in, or cash requirements for, our working capital needs; (2) interest expense, or the cash requirements necessary to service interest or principal payments on our debt, which reduces cash available to us; or</w:t>
      </w:r>
    </w:p>
    <w:p>
      <w:pPr>
        <w:spacing w:after="0" w:line="1" w:lineRule="exact"/>
        <w:rPr>
          <w:rFonts w:ascii="Arial" w:cs="Arial" w:eastAsia="Arial" w:hAnsi="Arial"/>
          <w:sz w:val="14"/>
          <w:szCs w:val="14"/>
          <w:color w:val="auto"/>
        </w:rPr>
      </w:pPr>
    </w:p>
    <w:p>
      <w:pPr>
        <w:ind w:left="1660"/>
        <w:spacing w:after="0"/>
        <w:rPr>
          <w:rFonts w:ascii="Arial" w:cs="Arial" w:eastAsia="Arial" w:hAnsi="Arial"/>
          <w:sz w:val="14"/>
          <w:szCs w:val="14"/>
          <w:color w:val="auto"/>
        </w:rPr>
      </w:pPr>
      <w:r>
        <w:rPr>
          <w:rFonts w:ascii="Arial" w:cs="Arial" w:eastAsia="Arial" w:hAnsi="Arial"/>
          <w:sz w:val="15"/>
          <w:szCs w:val="15"/>
          <w:color w:val="auto"/>
        </w:rPr>
        <w:t>(3) tax payments that may represent a reduction in cash available to us; and</w:t>
      </w:r>
    </w:p>
    <w:p>
      <w:pPr>
        <w:spacing w:after="0" w:line="97" w:lineRule="exact"/>
        <w:rPr>
          <w:rFonts w:ascii="Arial" w:cs="Arial" w:eastAsia="Arial" w:hAnsi="Arial"/>
          <w:sz w:val="14"/>
          <w:szCs w:val="14"/>
          <w:color w:val="auto"/>
        </w:rPr>
      </w:pPr>
    </w:p>
    <w:p>
      <w:pPr>
        <w:ind w:left="1660" w:right="30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66"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Because of these limitations, Adjusted EBITDA should be considered along with other operating and financial performance measures presented in accordance with GAAP. The following table provides a reconciliation of net loss attributable to Upstart Holdings, Inc. common stockholders to Adjusted EBITDA:</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508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480" w:type="dxa"/>
            <w:vAlign w:val="bottom"/>
          </w:tcPr>
          <w:p>
            <w:pPr>
              <w:spacing w:after="0"/>
              <w:rPr>
                <w:sz w:val="12"/>
                <w:szCs w:val="12"/>
                <w:color w:val="auto"/>
              </w:rPr>
            </w:pPr>
          </w:p>
        </w:tc>
        <w:tc>
          <w:tcPr>
            <w:tcW w:w="2140" w:type="dxa"/>
            <w:vAlign w:val="bottom"/>
            <w:gridSpan w:val="9"/>
          </w:tcPr>
          <w:p>
            <w:pPr>
              <w:jc w:val="right"/>
              <w:ind w:right="42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5080" w:type="dxa"/>
            <w:vAlign w:val="bottom"/>
            <w:tcBorders>
              <w:bottom w:val="single" w:sz="8" w:color="CCEEFF"/>
            </w:tcBorders>
            <w:vMerge w:val="continue"/>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37"/>
              <w:spacing w:after="0" w:line="126" w:lineRule="exact"/>
              <w:rPr>
                <w:sz w:val="20"/>
                <w:szCs w:val="20"/>
                <w:color w:val="auto"/>
              </w:rPr>
            </w:pPr>
            <w:r>
              <w:rPr>
                <w:rFonts w:ascii="Arial" w:cs="Arial" w:eastAsia="Arial" w:hAnsi="Arial"/>
                <w:sz w:val="12"/>
                <w:szCs w:val="12"/>
                <w:b w:val="1"/>
                <w:bCs w:val="1"/>
                <w:color w:val="auto"/>
              </w:rPr>
              <w:t>2017</w:t>
            </w:r>
          </w:p>
        </w:tc>
        <w:tc>
          <w:tcPr>
            <w:tcW w:w="2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3"/>
              <w:spacing w:after="0" w:line="126" w:lineRule="exact"/>
              <w:rPr>
                <w:sz w:val="20"/>
                <w:szCs w:val="20"/>
                <w:color w:val="auto"/>
              </w:rPr>
            </w:pPr>
            <w:r>
              <w:rPr>
                <w:rFonts w:ascii="Arial" w:cs="Arial" w:eastAsia="Arial" w:hAnsi="Arial"/>
                <w:sz w:val="12"/>
                <w:szCs w:val="12"/>
                <w:b w:val="1"/>
                <w:bCs w:val="1"/>
                <w:color w:val="auto"/>
                <w:w w:val="97"/>
              </w:rPr>
              <w:t>2019</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(loss) income attributable to Upstart Holdings, Inc. common stockholders</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(12,319)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(6,517)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4,956</w:t>
            </w:r>
          </w:p>
        </w:tc>
        <w:tc>
          <w:tcPr>
            <w:tcW w:w="0" w:type="dxa"/>
            <w:vAlign w:val="bottom"/>
          </w:tcPr>
          <w:p>
            <w:pPr>
              <w:spacing w:after="0"/>
              <w:rPr>
                <w:sz w:val="1"/>
                <w:szCs w:val="1"/>
                <w:color w:val="auto"/>
              </w:rPr>
            </w:pPr>
          </w:p>
        </w:tc>
      </w:tr>
      <w:tr>
        <w:trPr>
          <w:trHeight w:val="158"/>
        </w:trPr>
        <w:tc>
          <w:tcPr>
            <w:tcW w:w="5080" w:type="dxa"/>
            <w:vAlign w:val="bottom"/>
          </w:tcPr>
          <w:p>
            <w:pPr>
              <w:spacing w:after="0" w:line="158" w:lineRule="exact"/>
              <w:rPr>
                <w:sz w:val="20"/>
                <w:szCs w:val="20"/>
                <w:color w:val="auto"/>
              </w:rPr>
            </w:pPr>
            <w:r>
              <w:rPr>
                <w:rFonts w:ascii="Arial" w:cs="Arial" w:eastAsia="Arial" w:hAnsi="Arial"/>
                <w:sz w:val="14"/>
                <w:szCs w:val="14"/>
                <w:color w:val="auto"/>
              </w:rPr>
              <w:t>Adjusted to exclude the following:</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1220" w:type="dxa"/>
            <w:vAlign w:val="bottom"/>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1,290</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3,806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2,204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7,102</w:t>
            </w:r>
          </w:p>
        </w:tc>
        <w:tc>
          <w:tcPr>
            <w:tcW w:w="0" w:type="dxa"/>
            <w:vAlign w:val="bottom"/>
          </w:tcPr>
          <w:p>
            <w:pPr>
              <w:spacing w:after="0"/>
              <w:rPr>
                <w:sz w:val="1"/>
                <w:szCs w:val="1"/>
                <w:color w:val="auto"/>
              </w:rPr>
            </w:pPr>
          </w:p>
        </w:tc>
      </w:tr>
      <w:tr>
        <w:trPr>
          <w:trHeight w:val="158"/>
        </w:trPr>
        <w:tc>
          <w:tcPr>
            <w:tcW w:w="5080" w:type="dxa"/>
            <w:vAlign w:val="bottom"/>
          </w:tcPr>
          <w:p>
            <w:pPr>
              <w:spacing w:after="0" w:line="158" w:lineRule="exact"/>
              <w:rPr>
                <w:sz w:val="20"/>
                <w:szCs w:val="20"/>
                <w:color w:val="auto"/>
              </w:rPr>
            </w:pPr>
            <w:r>
              <w:rPr>
                <w:rFonts w:ascii="Arial" w:cs="Arial" w:eastAsia="Arial" w:hAnsi="Arial"/>
                <w:sz w:val="14"/>
                <w:szCs w:val="14"/>
                <w:color w:val="auto"/>
              </w:rPr>
              <w:t>Depreciation and amortization</w:t>
            </w:r>
          </w:p>
        </w:tc>
        <w:tc>
          <w:tcPr>
            <w:tcW w:w="1220" w:type="dxa"/>
            <w:vAlign w:val="bottom"/>
            <w:gridSpan w:val="3"/>
          </w:tcPr>
          <w:p>
            <w:pPr>
              <w:jc w:val="right"/>
              <w:ind w:right="280"/>
              <w:spacing w:after="0" w:line="158"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314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774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324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Expense on warrants and convertible notes, net</w:t>
            </w:r>
            <w:r>
              <w:rPr>
                <w:rFonts w:ascii="Arial" w:cs="Arial" w:eastAsia="Arial" w:hAnsi="Arial"/>
                <w:sz w:val="18"/>
                <w:szCs w:val="18"/>
                <w:color w:val="auto"/>
                <w:vertAlign w:val="superscript"/>
              </w:rPr>
              <w:t>(1)</w:t>
            </w:r>
          </w:p>
        </w:tc>
        <w:tc>
          <w:tcPr>
            <w:tcW w:w="1220" w:type="dxa"/>
            <w:vAlign w:val="bottom"/>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3,734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1,407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2,626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158"/>
        </w:trPr>
        <w:tc>
          <w:tcPr>
            <w:tcW w:w="5080" w:type="dxa"/>
            <w:vAlign w:val="bottom"/>
          </w:tcPr>
          <w:p>
            <w:pPr>
              <w:spacing w:after="0" w:line="158" w:lineRule="exact"/>
              <w:rPr>
                <w:sz w:val="20"/>
                <w:szCs w:val="20"/>
                <w:color w:val="auto"/>
              </w:rPr>
            </w:pPr>
            <w:r>
              <w:rPr>
                <w:rFonts w:ascii="Arial" w:cs="Arial" w:eastAsia="Arial" w:hAnsi="Arial"/>
                <w:sz w:val="14"/>
                <w:szCs w:val="14"/>
                <w:color w:val="auto"/>
              </w:rPr>
              <w:t>Provision for income taxes</w:t>
            </w:r>
          </w:p>
        </w:tc>
        <w:tc>
          <w:tcPr>
            <w:tcW w:w="480" w:type="dxa"/>
            <w:vAlign w:val="bottom"/>
          </w:tcPr>
          <w:p>
            <w:pPr>
              <w:spacing w:after="0"/>
              <w:rPr>
                <w:sz w:val="13"/>
                <w:szCs w:val="13"/>
                <w:color w:val="auto"/>
              </w:rPr>
            </w:pPr>
          </w:p>
        </w:tc>
        <w:tc>
          <w:tcPr>
            <w:tcW w:w="7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Adjusted EBITDA</w:t>
            </w:r>
          </w:p>
        </w:tc>
        <w:tc>
          <w:tcPr>
            <w:tcW w:w="122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(4,679)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(6,226)</w:t>
            </w: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5,595</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16,006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480" w:hanging="453"/>
        <w:spacing w:after="0"/>
        <w:tabs>
          <w:tab w:leader="none" w:pos="14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Consists of fair value adjustments to our warrant liability and interest expense on convertible notes.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20"/>
          </w:cols>
          <w:pgMar w:left="320" w:top="407" w:right="135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4060" w:type="dxa"/>
            <w:vAlign w:val="bottom"/>
          </w:tcPr>
          <w:p>
            <w:pPr>
              <w:spacing w:after="0"/>
              <w:rPr>
                <w:sz w:val="10"/>
                <w:szCs w:val="10"/>
                <w:color w:val="auto"/>
              </w:rPr>
            </w:pPr>
          </w:p>
        </w:tc>
        <w:tc>
          <w:tcPr>
            <w:tcW w:w="580" w:type="dxa"/>
            <w:vAlign w:val="bottom"/>
            <w:gridSpan w:val="2"/>
          </w:tcPr>
          <w:p>
            <w:pPr>
              <w:jc w:val="right"/>
              <w:ind w:right="120"/>
              <w:spacing w:after="0" w:line="117" w:lineRule="exact"/>
              <w:rPr>
                <w:sz w:val="20"/>
                <w:szCs w:val="20"/>
                <w:color w:val="auto"/>
              </w:rPr>
            </w:pPr>
            <w:r>
              <w:rPr>
                <w:rFonts w:ascii="Arial" w:cs="Arial" w:eastAsia="Arial" w:hAnsi="Arial"/>
                <w:sz w:val="12"/>
                <w:szCs w:val="12"/>
                <w:b w:val="1"/>
                <w:bCs w:val="1"/>
                <w:color w:val="auto"/>
                <w:w w:val="96"/>
              </w:rPr>
              <w:t>Dec. 31,</w:t>
            </w:r>
          </w:p>
        </w:tc>
        <w:tc>
          <w:tcPr>
            <w:tcW w:w="80" w:type="dxa"/>
            <w:vAlign w:val="bottom"/>
          </w:tcPr>
          <w:p>
            <w:pPr>
              <w:spacing w:after="0"/>
              <w:rPr>
                <w:sz w:val="10"/>
                <w:szCs w:val="10"/>
                <w:color w:val="auto"/>
              </w:rPr>
            </w:pPr>
          </w:p>
        </w:tc>
        <w:tc>
          <w:tcPr>
            <w:tcW w:w="580" w:type="dxa"/>
            <w:vAlign w:val="bottom"/>
            <w:gridSpan w:val="2"/>
          </w:tcPr>
          <w:p>
            <w:pPr>
              <w:jc w:val="right"/>
              <w:ind w:right="120"/>
              <w:spacing w:after="0" w:line="117" w:lineRule="exact"/>
              <w:rPr>
                <w:sz w:val="20"/>
                <w:szCs w:val="20"/>
                <w:color w:val="auto"/>
              </w:rPr>
            </w:pPr>
            <w:r>
              <w:rPr>
                <w:rFonts w:ascii="Arial" w:cs="Arial" w:eastAsia="Arial" w:hAnsi="Arial"/>
                <w:sz w:val="12"/>
                <w:szCs w:val="12"/>
                <w:b w:val="1"/>
                <w:bCs w:val="1"/>
                <w:color w:val="auto"/>
                <w:w w:val="98"/>
              </w:rPr>
              <w:t>Mar. 31,</w:t>
            </w:r>
          </w:p>
        </w:tc>
        <w:tc>
          <w:tcPr>
            <w:tcW w:w="80" w:type="dxa"/>
            <w:vAlign w:val="bottom"/>
          </w:tcPr>
          <w:p>
            <w:pPr>
              <w:spacing w:after="0"/>
              <w:rPr>
                <w:sz w:val="10"/>
                <w:szCs w:val="10"/>
                <w:color w:val="auto"/>
              </w:rPr>
            </w:pP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0"/>
                <w:szCs w:val="10"/>
                <w:color w:val="auto"/>
              </w:rPr>
            </w:pPr>
          </w:p>
        </w:tc>
        <w:tc>
          <w:tcPr>
            <w:tcW w:w="60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rPr>
              <w:t>Dec. 31,</w:t>
            </w:r>
          </w:p>
        </w:tc>
        <w:tc>
          <w:tcPr>
            <w:tcW w:w="640" w:type="dxa"/>
            <w:vAlign w:val="bottom"/>
            <w:gridSpan w:val="2"/>
          </w:tcPr>
          <w:p>
            <w:pPr>
              <w:jc w:val="right"/>
              <w:ind w:right="180"/>
              <w:spacing w:after="0" w:line="117" w:lineRule="exact"/>
              <w:rPr>
                <w:sz w:val="20"/>
                <w:szCs w:val="20"/>
                <w:color w:val="auto"/>
              </w:rPr>
            </w:pPr>
            <w:r>
              <w:rPr>
                <w:rFonts w:ascii="Arial" w:cs="Arial" w:eastAsia="Arial" w:hAnsi="Arial"/>
                <w:sz w:val="12"/>
                <w:szCs w:val="12"/>
                <w:b w:val="1"/>
                <w:bCs w:val="1"/>
                <w:color w:val="auto"/>
                <w:w w:val="98"/>
              </w:rPr>
              <w:t>Mar. 31,</w:t>
            </w:r>
          </w:p>
        </w:tc>
        <w:tc>
          <w:tcPr>
            <w:tcW w:w="660" w:type="dxa"/>
            <w:vAlign w:val="bottom"/>
            <w:gridSpan w:val="2"/>
          </w:tcPr>
          <w:p>
            <w:pPr>
              <w:jc w:val="right"/>
              <w:ind w:right="180"/>
              <w:spacing w:after="0" w:line="117" w:lineRule="exact"/>
              <w:rPr>
                <w:sz w:val="20"/>
                <w:szCs w:val="20"/>
                <w:color w:val="auto"/>
              </w:rPr>
            </w:pPr>
            <w:r>
              <w:rPr>
                <w:rFonts w:ascii="Arial" w:cs="Arial" w:eastAsia="Arial" w:hAnsi="Arial"/>
                <w:sz w:val="12"/>
                <w:szCs w:val="12"/>
                <w:b w:val="1"/>
                <w:bCs w:val="1"/>
                <w:color w:val="auto"/>
                <w:w w:val="95"/>
              </w:rPr>
              <w:t>June 30,</w:t>
            </w:r>
          </w:p>
        </w:tc>
        <w:tc>
          <w:tcPr>
            <w:tcW w:w="50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10"/>
                <w:szCs w:val="10"/>
                <w:color w:val="auto"/>
              </w:rPr>
            </w:pPr>
          </w:p>
        </w:tc>
      </w:tr>
      <w:tr>
        <w:trPr>
          <w:trHeight w:val="145"/>
        </w:trPr>
        <w:tc>
          <w:tcPr>
            <w:tcW w:w="40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80" w:type="dxa"/>
            <w:vAlign w:val="bottom"/>
          </w:tcPr>
          <w:p>
            <w:pPr>
              <w:jc w:val="right"/>
              <w:ind w:right="34"/>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2"/>
                <w:szCs w:val="12"/>
                <w:color w:val="auto"/>
              </w:rPr>
            </w:pPr>
          </w:p>
        </w:tc>
        <w:tc>
          <w:tcPr>
            <w:tcW w:w="540" w:type="dxa"/>
            <w:vAlign w:val="bottom"/>
            <w:gridSpan w:val="2"/>
          </w:tcPr>
          <w:p>
            <w:pPr>
              <w:jc w:val="right"/>
              <w:ind w:right="3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460" w:type="dxa"/>
            <w:vAlign w:val="bottom"/>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480" w:type="dxa"/>
            <w:vAlign w:val="bottom"/>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39"/>
        </w:trPr>
        <w:tc>
          <w:tcPr>
            <w:tcW w:w="40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Net income (loss) attributable to Upstart Holdings, Inc. common</w:t>
            </w: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6"/>
        </w:trPr>
        <w:tc>
          <w:tcPr>
            <w:tcW w:w="40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stockholders</w:t>
            </w:r>
          </w:p>
        </w:tc>
        <w:tc>
          <w:tcPr>
            <w:tcW w:w="58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w w:val="95"/>
              </w:rPr>
              <w:t>$(4,612)</w:t>
            </w:r>
          </w:p>
        </w:tc>
        <w:tc>
          <w:tcPr>
            <w:tcW w:w="660" w:type="dxa"/>
            <w:vAlign w:val="bottom"/>
            <w:gridSpan w:val="3"/>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$(4,465)</w:t>
            </w:r>
          </w:p>
        </w:tc>
        <w:tc>
          <w:tcPr>
            <w:tcW w:w="160" w:type="dxa"/>
            <w:vAlign w:val="bottom"/>
            <w:gridSpan w:val="2"/>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w w:val="94"/>
              </w:rPr>
              <w:t>(1,730)</w:t>
            </w:r>
          </w:p>
        </w:tc>
        <w:tc>
          <w:tcPr>
            <w:tcW w:w="160" w:type="dxa"/>
            <w:vAlign w:val="bottom"/>
            <w:gridSpan w:val="2"/>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(322)</w:t>
            </w:r>
          </w:p>
        </w:tc>
        <w:tc>
          <w:tcPr>
            <w:tcW w:w="720" w:type="dxa"/>
            <w:vAlign w:val="bottom"/>
            <w:gridSpan w:val="3"/>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$ 6,051</w:t>
            </w:r>
          </w:p>
        </w:tc>
        <w:tc>
          <w:tcPr>
            <w:tcW w:w="6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w w:val="94"/>
              </w:rPr>
              <w:t>$ 1,480</w:t>
            </w:r>
          </w:p>
        </w:tc>
        <w:tc>
          <w:tcPr>
            <w:tcW w:w="6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w w:val="89"/>
              </w:rPr>
              <w:t>$ (6,193)</w:t>
            </w:r>
          </w:p>
        </w:tc>
        <w:tc>
          <w:tcPr>
            <w:tcW w:w="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9,669</w:t>
            </w:r>
          </w:p>
        </w:tc>
      </w:tr>
      <w:tr>
        <w:trPr>
          <w:trHeight w:val="158"/>
        </w:trPr>
        <w:tc>
          <w:tcPr>
            <w:tcW w:w="4060" w:type="dxa"/>
            <w:vAlign w:val="bottom"/>
          </w:tcPr>
          <w:p>
            <w:pPr>
              <w:spacing w:after="0" w:line="158" w:lineRule="exact"/>
              <w:rPr>
                <w:sz w:val="20"/>
                <w:szCs w:val="20"/>
                <w:color w:val="auto"/>
              </w:rPr>
            </w:pPr>
            <w:r>
              <w:rPr>
                <w:rFonts w:ascii="Arial" w:cs="Arial" w:eastAsia="Arial" w:hAnsi="Arial"/>
                <w:sz w:val="14"/>
                <w:szCs w:val="14"/>
                <w:color w:val="auto"/>
              </w:rPr>
              <w:t>Adjusted to exclude the following:</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5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608</w:t>
            </w:r>
          </w:p>
        </w:tc>
        <w:tc>
          <w:tcPr>
            <w:tcW w:w="66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847</w:t>
            </w:r>
          </w:p>
        </w:tc>
        <w:tc>
          <w:tcPr>
            <w:tcW w:w="72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1,602</w:t>
            </w: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1,965</w:t>
            </w:r>
          </w:p>
        </w:tc>
        <w:tc>
          <w:tcPr>
            <w:tcW w:w="6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2,519</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2,618</w:t>
            </w:r>
          </w:p>
        </w:tc>
      </w:tr>
      <w:tr>
        <w:trPr>
          <w:trHeight w:val="158"/>
        </w:trPr>
        <w:tc>
          <w:tcPr>
            <w:tcW w:w="4060" w:type="dxa"/>
            <w:vAlign w:val="bottom"/>
          </w:tcPr>
          <w:p>
            <w:pPr>
              <w:spacing w:after="0" w:line="158" w:lineRule="exact"/>
              <w:rPr>
                <w:sz w:val="20"/>
                <w:szCs w:val="20"/>
                <w:color w:val="auto"/>
              </w:rPr>
            </w:pPr>
            <w:r>
              <w:rPr>
                <w:rFonts w:ascii="Arial" w:cs="Arial" w:eastAsia="Arial" w:hAnsi="Arial"/>
                <w:sz w:val="14"/>
                <w:szCs w:val="14"/>
                <w:color w:val="auto"/>
              </w:rPr>
              <w:t>Depreciation and amortization</w:t>
            </w:r>
          </w:p>
        </w:tc>
        <w:tc>
          <w:tcPr>
            <w:tcW w:w="5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85</w:t>
            </w:r>
          </w:p>
        </w:tc>
        <w:tc>
          <w:tcPr>
            <w:tcW w:w="660" w:type="dxa"/>
            <w:vAlign w:val="bottom"/>
            <w:gridSpan w:val="3"/>
          </w:tcPr>
          <w:p>
            <w:pPr>
              <w:jc w:val="right"/>
              <w:ind w:right="100"/>
              <w:spacing w:after="0" w:line="158"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137</w:t>
            </w:r>
          </w:p>
        </w:tc>
        <w:tc>
          <w:tcPr>
            <w:tcW w:w="72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450</w:t>
            </w: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515</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535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581</w:t>
            </w:r>
          </w:p>
        </w:tc>
      </w:tr>
      <w:tr>
        <w:trPr>
          <w:trHeight w:val="158"/>
        </w:trPr>
        <w:tc>
          <w:tcPr>
            <w:tcW w:w="40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Expense on warrants and convertible notes, net</w:t>
            </w:r>
            <w:r>
              <w:rPr>
                <w:rFonts w:ascii="Arial" w:cs="Arial" w:eastAsia="Arial" w:hAnsi="Arial"/>
                <w:sz w:val="18"/>
                <w:szCs w:val="18"/>
                <w:color w:val="auto"/>
                <w:vertAlign w:val="superscript"/>
              </w:rPr>
              <w:t>(1)</w:t>
            </w:r>
          </w:p>
        </w:tc>
        <w:tc>
          <w:tcPr>
            <w:tcW w:w="5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1,593</w:t>
            </w:r>
          </w:p>
        </w:tc>
        <w:tc>
          <w:tcPr>
            <w:tcW w:w="66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2,418</w:t>
            </w:r>
          </w:p>
        </w:tc>
        <w:tc>
          <w:tcPr>
            <w:tcW w:w="72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(1,219)</w:t>
            </w: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(289)</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2,588</w:t>
            </w:r>
          </w:p>
        </w:tc>
      </w:tr>
      <w:tr>
        <w:trPr>
          <w:trHeight w:val="158"/>
        </w:trPr>
        <w:tc>
          <w:tcPr>
            <w:tcW w:w="4060" w:type="dxa"/>
            <w:vAlign w:val="bottom"/>
          </w:tcPr>
          <w:p>
            <w:pPr>
              <w:spacing w:after="0" w:line="158" w:lineRule="exact"/>
              <w:rPr>
                <w:sz w:val="20"/>
                <w:szCs w:val="20"/>
                <w:color w:val="auto"/>
              </w:rPr>
            </w:pPr>
            <w:r>
              <w:rPr>
                <w:rFonts w:ascii="Arial" w:cs="Arial" w:eastAsia="Arial" w:hAnsi="Arial"/>
                <w:sz w:val="14"/>
                <w:szCs w:val="14"/>
                <w:color w:val="auto"/>
              </w:rPr>
              <w:t>Provision on income taxes</w:t>
            </w: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74</w:t>
            </w:r>
          </w:p>
        </w:tc>
        <w:tc>
          <w:tcPr>
            <w:tcW w:w="64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gridSpan w:val="2"/>
          </w:tcPr>
          <w:p>
            <w:pPr>
              <w:ind w:left="200"/>
              <w:spacing w:after="0" w:line="158" w:lineRule="exact"/>
              <w:rPr>
                <w:sz w:val="20"/>
                <w:szCs w:val="20"/>
                <w:color w:val="auto"/>
              </w:rPr>
            </w:pPr>
            <w:r>
              <w:rPr>
                <w:rFonts w:ascii="Arial" w:cs="Arial" w:eastAsia="Arial" w:hAnsi="Arial"/>
                <w:sz w:val="14"/>
                <w:szCs w:val="14"/>
                <w:color w:val="auto"/>
              </w:rPr>
              <w:t>—</w:t>
            </w:r>
          </w:p>
        </w:tc>
      </w:tr>
      <w:tr>
        <w:trPr>
          <w:trHeight w:val="158"/>
        </w:trPr>
        <w:tc>
          <w:tcPr>
            <w:tcW w:w="4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Adjusted EBITDA</w:t>
            </w: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$(2,326)</w:t>
            </w:r>
          </w:p>
        </w:tc>
        <w:tc>
          <w:tcPr>
            <w:tcW w:w="6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$(3,709)</w:t>
            </w:r>
          </w:p>
        </w:tc>
        <w:tc>
          <w:tcPr>
            <w:tcW w:w="160" w:type="dxa"/>
            <w:vAlign w:val="bottom"/>
            <w:gridSpan w:val="2"/>
            <w:shd w:val="clear" w:color="auto" w:fill="CCEEFF"/>
          </w:tcPr>
          <w:p>
            <w:pPr>
              <w:ind w:left="80"/>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(734)</w:t>
            </w:r>
          </w:p>
        </w:tc>
        <w:tc>
          <w:tcPr>
            <w:tcW w:w="160" w:type="dxa"/>
            <w:vAlign w:val="bottom"/>
            <w:gridSpan w:val="2"/>
            <w:shd w:val="clear" w:color="auto" w:fill="CCEEFF"/>
          </w:tcPr>
          <w:p>
            <w:pPr>
              <w:ind w:left="80"/>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3,080</w:t>
            </w:r>
          </w:p>
        </w:tc>
        <w:tc>
          <w:tcPr>
            <w:tcW w:w="72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$ 6,958</w:t>
            </w: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4"/>
              </w:rPr>
              <w:t>$ 3,671</w:t>
            </w:r>
          </w:p>
        </w:tc>
        <w:tc>
          <w:tcPr>
            <w:tcW w:w="6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89"/>
              </w:rPr>
              <w:t>$ (3,121)</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15,456</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480" w:hanging="453"/>
        <w:spacing w:after="0"/>
        <w:tabs>
          <w:tab w:leader="none" w:pos="14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Consists of fair value adjustments to our warrant liability and interest expense on convertible notes.</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jc w:val="both"/>
        <w:ind w:left="1020" w:right="300" w:firstLine="460"/>
        <w:spacing w:after="0"/>
        <w:rPr>
          <w:sz w:val="20"/>
          <w:szCs w:val="20"/>
          <w:color w:val="auto"/>
        </w:rPr>
      </w:pPr>
      <w:r>
        <w:rPr>
          <w:rFonts w:ascii="Arial" w:cs="Arial" w:eastAsia="Arial" w:hAnsi="Arial"/>
          <w:sz w:val="15"/>
          <w:szCs w:val="15"/>
          <w:color w:val="auto"/>
        </w:rPr>
        <w:t>Since inception, we have financed our operations, corporate investments, and capital expenditures primarily through the sale of convertible preferred stock, term loans and draws on our revolving credit facilities, and cash generated from operations. We have also periodically issued convertible promissory notes, none of which were outstanding as of September 30, 2020.</w:t>
      </w:r>
    </w:p>
    <w:p>
      <w:pPr>
        <w:spacing w:after="0" w:line="170"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Our outstanding debt consists of borrowings from term loan agreements, advances on our revolving credit facilities, including our warehouse credit facilities, and amounts borrowed under loan and security agreements to finance risk retention balances for certain unconsolidated securitizations we sponsor. As of September 30, 2020, we had an aggregate principal balance of $ 100.7 million outstanding, of which $30.4 million is due within the next 12 months. See “Note 7. Borrowings” to our consolidated financial statements included elsewhere in this prospectus for further information.</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As of September 30, 2020, our primary source of liquidity was cash of $53.2 million. Changes in the balance of cash are generally a result of working capital fluctuations or the timing of purchases of loans facilitated through our platform. To finance purchases of certain loans facilitated through our platform, we rely on our warehouse credit facility, which allows us to borrow up to an aggregate of</w:t>
      </w:r>
    </w:p>
    <w:p>
      <w:pPr>
        <w:jc w:val="both"/>
        <w:ind w:left="1020" w:right="120"/>
        <w:spacing w:after="0"/>
        <w:rPr>
          <w:sz w:val="20"/>
          <w:szCs w:val="20"/>
          <w:color w:val="auto"/>
        </w:rPr>
      </w:pPr>
      <w:r>
        <w:rPr>
          <w:rFonts w:ascii="Arial" w:cs="Arial" w:eastAsia="Arial" w:hAnsi="Arial"/>
          <w:sz w:val="15"/>
          <w:szCs w:val="15"/>
          <w:color w:val="auto"/>
        </w:rPr>
        <w:t>$100.0 million through the special-purpose trust, or the warehouse trust. Loans purchased by the trust are classified as held-for-sale and can be sold to third-party investors or in securitization transactions to generate additional liquidity. As of September 30, 2020, the amount borrowed under this credit facility was $52.7 million.</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believe that our cash on hand, funds available from our revolving credit facilities, amounts borrowed under our term loans,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and our capital expenditures.</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To the extent our cash balances, cash generated by operations, revolving credit facilities, term loans and the proceeds from this offering are insufficient to satisfy our liquidity needs in the future, we may need to raise additional capital through equity or debt financing and may not be able to do so on terms acceptable to us or at all. If we are unable to raise additional capital when needed, our results of operations and financial condition would be materially and adversely impacted.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Term Loans</w:t>
      </w:r>
    </w:p>
    <w:p>
      <w:pPr>
        <w:spacing w:after="0" w:line="10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In 2016, we, along with our wholly owned subsidiary, Upstart Network, Inc., or UNI, as the co-borrower, entered into a loan and security agreement, or LSA, with a third-party lender to obtain 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220"/>
          </w:cols>
          <w:pgMar w:left="320" w:top="407" w:right="135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line="245" w:lineRule="auto"/>
        <w:rPr>
          <w:sz w:val="20"/>
          <w:szCs w:val="20"/>
          <w:color w:val="auto"/>
        </w:rPr>
      </w:pPr>
      <w:r>
        <w:rPr>
          <w:rFonts w:ascii="Arial" w:cs="Arial" w:eastAsia="Arial" w:hAnsi="Arial"/>
          <w:sz w:val="15"/>
          <w:szCs w:val="15"/>
          <w:color w:val="auto"/>
        </w:rPr>
        <w:t>term loan of $5.5 million. The loan bears a floating interest of prime rate plus 1.75% per annum. As of December 1, 2020, this term loan was fully repaid.</w:t>
      </w:r>
    </w:p>
    <w:p>
      <w:pPr>
        <w:spacing w:after="0" w:line="166"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In 2018, we entered into a mezzanine loan and security agreement with the same lender to obtain a second term loan of up to $15.0 million, or the Mezzanine Loan. The Mezzanine Loan bears interest at the greater of prime rate plus 5.25% or 10.00% per annum and matures on October 1, 2021. As of September 30, 2020, the outstanding principal balance of these loans was $15.6 million.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revolving credit facility has an aggregate credit limit of $5.5 million and as of September 30, 2020, we were fully drawn on such facility. In November 2020, the original maturity date of the facility was extended from December 1, 2020 to June 1, 2021 when the outstanding principal and any accrued and unpaid interest are due and payable in full. On December 1, 2020, we also agreed to amend warrants to purchase 150,000 shares of our common stock previously granted to our lender in October 2018, to provide our lender the right to require us to repurchase such warrants for a total aggregate purchase price of $3.0 million, which right is exercisable following the pricing of this offering and terminates after 10 business days following the date of this prospectus. Our revolving credit facility bears floating interest rates, payable on a monthly basis, and contains certain financial covenants. Failure to comply with these covenants may result in an acceleration of payment on the outstanding principal and accrued interest. Borrowings under the revolving credit facility are secured by all assets of the company, excluding assets of consolidated securitizations and cash and restricted cash related to other borrowing arrangements. We have in the past not been in compliance with certain financial covenants under our revolving credit facility; however, we have received waivers for all such instances of past non-compliance.</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Warehouse Credit Facilities</w:t>
      </w:r>
    </w:p>
    <w:p>
      <w:pPr>
        <w:spacing w:after="0" w:line="10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have entered into two warehouse credit facilities with separate third-party lenders through our warehouse trusts, which are consolidated VIEs. On November 2, 2020, we repaid all outstanding borrowings under one of our warehouse credit facilities in the amount of $4.0 million and terminated the corresponding warehouse credit facility. The remaining warehouse facility is used to fund purchases of personal whole loans originated by certain bank partners on our platform; the assets of the warehouse trust secure the borrowings provided by the warehouse lender and are not available to settle claims of our general creditors. In May 2020, the maturity date of this credit facility, with a borrowing limit of $100.0 million, was extended to May 2022 when repayment of any outstanding principal, together with any accrued interest and unpaid interest, is due and payable. As of September 30, 2020, we have borrowed $52.7 million under this warehouse credit facility and may continue to borrow under this warehouse credit facility until May 2021. Our warehouse credit facility bears floating interest rates, payable on a monthly basis, and contain certain financial covenants. Failure to comply with these covenants may result in an acceleration of payment on outstanding principal and accrued interest. As of December 31, 2018 and 2019, and September 30, 2020, we were in compliance with the applicable covenants under our remaining warehouse credit facility.</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 Retention Funding Loans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obtained financing under two loan and security agreements to fund the purchase of securitization notes and residual certificates issued by certain of our consolidated VIEs in our sponsored securitization transactions. These purchases were made in the amounts required to satisfy the requirements of U.S. risk retention regulations. The loans under these agreements bear interest at rates of 4.00% and 4.33% per annum. Interest is paid using cash distributions received monthly on the related securitization notes and residual certificates held by these entities. As of September 30, 2020, the aggregate outstanding principal amount of these loans was $9.4 million. These borrowings are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00"/>
          </w:cols>
          <w:pgMar w:left="320" w:top="407" w:right="137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solely obligations of these consolidated VIEs and are not available to satisfy potential claims of our creditors.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Flows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cash flows during the periods indicated: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47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194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4740" w:type="dxa"/>
            <w:vAlign w:val="bottom"/>
            <w:tcBorders>
              <w:bottom w:val="single" w:sz="8" w:color="CCEEFF"/>
            </w:tcBorders>
            <w:vMerge w:val="continue"/>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2017</w:t>
            </w:r>
          </w:p>
        </w:tc>
        <w:tc>
          <w:tcPr>
            <w:tcW w:w="20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Net cash (used in) provided by operating activities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10,357</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50,338</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31,582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$ 21,027</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(52,817)</w:t>
            </w:r>
          </w:p>
        </w:tc>
        <w:tc>
          <w:tcPr>
            <w:tcW w:w="0" w:type="dxa"/>
            <w:vAlign w:val="bottom"/>
          </w:tcPr>
          <w:p>
            <w:pPr>
              <w:spacing w:after="0"/>
              <w:rPr>
                <w:sz w:val="1"/>
                <w:szCs w:val="1"/>
                <w:color w:val="auto"/>
              </w:rPr>
            </w:pPr>
          </w:p>
        </w:tc>
      </w:tr>
      <w:tr>
        <w:trPr>
          <w:trHeight w:val="158"/>
        </w:trPr>
        <w:tc>
          <w:tcPr>
            <w:tcW w:w="4740" w:type="dxa"/>
            <w:vAlign w:val="bottom"/>
          </w:tcPr>
          <w:p>
            <w:pPr>
              <w:ind w:left="280"/>
              <w:spacing w:after="0" w:line="158" w:lineRule="exact"/>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w w:val="93"/>
              </w:rPr>
              <w:t>(393,421)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w w:val="96"/>
              </w:rPr>
              <w:t>(137,237)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45,433</w:t>
            </w: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53,520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127,710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cash (used in) provided by financing activities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412,715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135,766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3"/>
              </w:rPr>
              <w:t>(119,190)</w:t>
            </w:r>
          </w:p>
        </w:tc>
        <w:tc>
          <w:tcPr>
            <w:tcW w:w="88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(96,733)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(44,312)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40" w:type="dxa"/>
            <w:vAlign w:val="bottom"/>
          </w:tcPr>
          <w:p>
            <w:pPr>
              <w:spacing w:after="0"/>
              <w:rPr>
                <w:sz w:val="20"/>
                <w:szCs w:val="20"/>
                <w:color w:val="auto"/>
              </w:rPr>
            </w:pPr>
            <w:r>
              <w:rPr>
                <w:rFonts w:ascii="Arial" w:cs="Arial" w:eastAsia="Arial" w:hAnsi="Arial"/>
                <w:sz w:val="14"/>
                <w:szCs w:val="14"/>
                <w:color w:val="auto"/>
              </w:rPr>
              <w:t>Net (decrease) increase in cash and restricted cash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29,651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48,867</w:t>
            </w:r>
          </w:p>
        </w:tc>
        <w:tc>
          <w:tcPr>
            <w:tcW w:w="2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(42,175)</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(22,186)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30,581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Operating Activities</w:t>
      </w:r>
    </w:p>
    <w:p>
      <w:pPr>
        <w:spacing w:after="0" w:line="10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main sources of cash provided by operating activities are our revenue from fees earned under contracts with bank partners and loan investors and interest income we receive for loans held on our balance sheet.</w:t>
      </w:r>
    </w:p>
    <w:p>
      <w:pPr>
        <w:spacing w:after="0" w:line="166"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Our main uses of cash in our operating activities include payments to marketing partners, vendor payments, payroll and other personnel-related expenses, payments for facilities, and other general business expenditures.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Net cash used in operating activities was $52.8 million for the nine months ended September 30, 2020, which primarily consisted of a $84.0 million change in net operating assets and liabilities, offset by a change in fair value of financial instruments of $18.8 million, net income before attribution to noncontrolling interests of $ 4.6 million and stock-based compensation of $7.1 million. The change in fair value of financial instruments was primarily due to a decrease in the fair value of loans. The change in net operating assets and liabilities was mainly related to a $109.1 million increase in purchases of loans held for sale.</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Net cash provided by operating activities was $21.0 million for the nine months ended September 30, 2019, which primarily consisted of a net loss before attribution to noncontrolling interests of $9.9 million, offset by a change in fair value of financial instruments of $29.6 million. The change in fair value of financial instruments was primarily related to a $33.1 million decrease in the fair value of loans, partially offset by a $4.3 million decrease in the fair value of payable to securitization note holders and residual certificate holders.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Net cash provided by operating activities was $31.6 million for the year ended December 31, 2019, which primarily consisted of a net loss before attribution to noncontrolling interests of $5.0 million, offset by a change in fair value of financial instruments of $34.7 million. The change in fair value of financial instruments was primarily related to a $42.1 million decrease in the fair value of loans held-for-investment, partially offset by a $6.1 million decrease in the fair value of payable to securitization note holders and residual certificate holders.</w:t>
      </w:r>
    </w:p>
    <w:p>
      <w:pPr>
        <w:spacing w:after="0" w:line="170"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Net cash provided by operating activities was $50.3 million for the year ended December 31, 2018, which primarily consisted of a net loss before attribution to noncontrolling interests of $11.2 million,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220"/>
          </w:cols>
          <w:pgMar w:left="320" w:top="407" w:right="135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rPr>
          <w:sz w:val="20"/>
          <w:szCs w:val="20"/>
          <w:color w:val="auto"/>
        </w:rPr>
      </w:pPr>
      <w:r>
        <w:rPr>
          <w:rFonts w:ascii="Arial" w:cs="Arial" w:eastAsia="Arial" w:hAnsi="Arial"/>
          <w:sz w:val="15"/>
          <w:szCs w:val="15"/>
          <w:color w:val="auto"/>
        </w:rPr>
        <w:t>offset by a change in fair value of financial instruments of $42.3 million and a $14.0 million change in net operating assets and liabilities. The change in fair value of financial instruments was primarily related to a $45.8 million decrease in the fair value of loans held-for-investment. The change in net operating assets and liabilities was mainly related to a $14.1 million increase in payable to investors.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Net cash provided by operating activities was $10.4 million for the year ended December 31, 2017, which primarily consisted of a net loss before attribution to noncontrolling interests of $8.9 million and a change in fair value of financial instruments of $5.2 million, offset by a $ 21.0 million change in net operating assets and liabilities. The change in fair value of financial instruments was primarily related to a $12.3 million decrease in the fair value of payable to securitization note holders and residual certificate holders, partially offset by a $9.5 million decrease in the fair value of loans held-for-investment. The change in net operating assets and liabilities was mainly related to a $23.5 million increase in payable to investors.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Investing Activities</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Our primary sources of cash from investing activities are principal repayments received on loans held-for-investment through credit facilities and held by consolidated securitizations, proceeds from the sale of loans and payments on residual certificates held for risk retention purposes in sponsored securitizations.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The primary use of cash for investing activities includes purchases of loans held-for investment, including loans collateralized in consolidated securitizations, as well as purchases of securitization notes and residual certificates to fulfill risk retention requirements in securitizations we have sponsored in the past.</w:t>
      </w:r>
    </w:p>
    <w:p>
      <w:pPr>
        <w:spacing w:after="0" w:line="170" w:lineRule="exact"/>
        <w:rPr>
          <w:sz w:val="20"/>
          <w:szCs w:val="20"/>
          <w:color w:val="auto"/>
        </w:rPr>
      </w:pPr>
    </w:p>
    <w:p>
      <w:pPr>
        <w:ind w:left="1020" w:right="680" w:firstLine="460"/>
        <w:spacing w:after="0" w:line="245" w:lineRule="auto"/>
        <w:rPr>
          <w:sz w:val="20"/>
          <w:szCs w:val="20"/>
          <w:color w:val="auto"/>
        </w:rPr>
      </w:pPr>
      <w:r>
        <w:rPr>
          <w:rFonts w:ascii="Arial" w:cs="Arial" w:eastAsia="Arial" w:hAnsi="Arial"/>
          <w:sz w:val="15"/>
          <w:szCs w:val="15"/>
          <w:color w:val="auto"/>
        </w:rPr>
        <w:t>Net cash provided by investing activities was $127.7 million for the nine months ended September 30, 2020 as a result of $88.1 million of net proceeds from sale of loans and $36.3 million of principal payments received for loans.</w:t>
      </w:r>
    </w:p>
    <w:p>
      <w:pPr>
        <w:spacing w:after="0" w:line="16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Net cash provided by investing activities was $53.5 million for the nine months ended September 30, 2019 as a result of</w:t>
      </w:r>
    </w:p>
    <w:p>
      <w:pPr>
        <w:ind w:left="1020"/>
        <w:spacing w:after="0" w:line="235" w:lineRule="auto"/>
        <w:rPr>
          <w:sz w:val="20"/>
          <w:szCs w:val="20"/>
          <w:color w:val="auto"/>
        </w:rPr>
      </w:pPr>
      <w:r>
        <w:rPr>
          <w:rFonts w:ascii="Arial" w:cs="Arial" w:eastAsia="Arial" w:hAnsi="Arial"/>
          <w:sz w:val="15"/>
          <w:szCs w:val="15"/>
          <w:color w:val="auto"/>
        </w:rPr>
        <w:t>$170.9 million of principal payments received on loans, $64.2 million net proceeds from sale of loans, which were partially offset by and</w:t>
      </w:r>
    </w:p>
    <w:p>
      <w:pPr>
        <w:ind w:left="1020"/>
        <w:spacing w:after="0"/>
        <w:rPr>
          <w:sz w:val="20"/>
          <w:szCs w:val="20"/>
          <w:color w:val="auto"/>
        </w:rPr>
      </w:pPr>
      <w:r>
        <w:rPr>
          <w:rFonts w:ascii="Arial" w:cs="Arial" w:eastAsia="Arial" w:hAnsi="Arial"/>
          <w:sz w:val="15"/>
          <w:szCs w:val="15"/>
          <w:color w:val="auto"/>
        </w:rPr>
        <w:t>$185.3 million of purchase of loans held-for-investment.</w:t>
      </w:r>
    </w:p>
    <w:p>
      <w:pPr>
        <w:spacing w:after="0" w:line="177"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Net cash provided by investing activities was $45.4 million for the year ended December 31, 2019 as a result of $207.0 million of principal payments received on loans and $100.7 million in net proceeds from the sale of loans, which were partially offset by $265.3 million in purchase of loans held-for-investment.</w:t>
      </w:r>
    </w:p>
    <w:p>
      <w:pPr>
        <w:spacing w:after="0" w:line="17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Net cash used in investing activities was $137.2 million for the year ended December 31, 2018 as a result of $421.1 million in purchases of loans, which was partially offset by $238.0 million in principal payments received on loans and $45.7 million in net proceeds from the sale of loans.</w:t>
      </w:r>
    </w:p>
    <w:p>
      <w:pPr>
        <w:spacing w:after="0" w:line="170"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Net cash used in investing activities was $393.4 million for the year ended December 31, 2017 as a result of $513.9 million in purchases of loans, which was partially offset by $76.2 million in principal payments received on loans and $45.1 million in net proceeds from the sale of loans.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Financing Activities</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main sources of cash from financing activities include proceeds from issuance of securitization notes and residual certificates from consolidated securitizations, proceeds from borrowings, and proceeds from the issuance of convertible preferred stock, notes payable and convertible notes.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00"/>
          </w:cols>
          <w:pgMar w:left="320" w:top="407" w:right="137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primary uses of cash for financing activities include payments made to holders of securitization notes and residual certificates for consolidated securitizations and repayments of notes payable and borrowings.</w:t>
      </w:r>
    </w:p>
    <w:p>
      <w:pPr>
        <w:spacing w:after="0" w:line="166"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Net cash used in financing activities was $44.3 million for the nine months ended September 30, 2020 as a result of $126.0 million in payment on borrowings and securitization notes and certificates, which was partially offset by $81.8 million in proceeds from borrowings.</w:t>
      </w:r>
    </w:p>
    <w:p>
      <w:pPr>
        <w:spacing w:after="0" w:line="170"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Net cash used in financing activities was $96.7 million for the nine months ended September 30, 2019 as a result of $245.6 million in payment on borrowings, notes payable and securitization notes and certificates, which was partially offset by $110.8 million in proceeds from borrowings and $39.9 million in proceeds from issuance of notes payable.</w:t>
      </w:r>
    </w:p>
    <w:p>
      <w:pPr>
        <w:spacing w:after="0" w:line="170"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Net cash used in financing activities was $119.2 million for the year ended December 31, 2019 as a result of $199.4 million in payment on notes payable and securitization notes and certificates, which was partially offset by $43.6 million in net proceeds from borrowings and $39.9 million in proceeds from issuance of notes payable.</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Net cash provided by financing activities was $135.8 million for the year ended December 31, 2018 as a result of $285.0 million in proceeds from issuance of notes payable and securitization notes and certificates, $51.1 million in net proceeds from borrowings and $49.9 million in proceeds from the issuance of convertible preferred stock, net of issuance costs, which were partially offset by $248.2 million in payment on notes payable and securitization notes and certificates.</w:t>
      </w:r>
    </w:p>
    <w:p>
      <w:pPr>
        <w:spacing w:after="0" w:line="172" w:lineRule="exact"/>
        <w:rPr>
          <w:sz w:val="20"/>
          <w:szCs w:val="20"/>
          <w:color w:val="auto"/>
        </w:rPr>
      </w:pPr>
    </w:p>
    <w:p>
      <w:pPr>
        <w:ind w:left="1020" w:right="860" w:firstLine="460"/>
        <w:spacing w:after="0" w:line="245" w:lineRule="auto"/>
        <w:rPr>
          <w:sz w:val="20"/>
          <w:szCs w:val="20"/>
          <w:color w:val="auto"/>
        </w:rPr>
      </w:pPr>
      <w:r>
        <w:rPr>
          <w:rFonts w:ascii="Arial" w:cs="Arial" w:eastAsia="Arial" w:hAnsi="Arial"/>
          <w:sz w:val="15"/>
          <w:szCs w:val="15"/>
          <w:color w:val="auto"/>
        </w:rPr>
        <w:t>Net cash provided by financing activities was $ 412.7 million for the year ended December 31, 2017, primarily driven by $432.3 million in proceeds from the issuance of notes payable and securitization notes and certificates.</w:t>
      </w:r>
    </w:p>
    <w:p>
      <w:pPr>
        <w:spacing w:after="0" w:line="238"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Contractual Obligations and Off-Balance Sheet Arrangements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105" w:lineRule="exact"/>
        <w:rPr>
          <w:sz w:val="20"/>
          <w:szCs w:val="20"/>
          <w:color w:val="auto"/>
        </w:rPr>
      </w:pPr>
    </w:p>
    <w:p>
      <w:pPr>
        <w:jc w:val="both"/>
        <w:ind w:left="1020" w:right="240" w:firstLine="460"/>
        <w:spacing w:after="0" w:line="238" w:lineRule="auto"/>
        <w:rPr>
          <w:sz w:val="20"/>
          <w:szCs w:val="20"/>
          <w:color w:val="auto"/>
        </w:rPr>
      </w:pPr>
      <w:r>
        <w:rPr>
          <w:rFonts w:ascii="Arial" w:cs="Arial" w:eastAsia="Arial" w:hAnsi="Arial"/>
          <w:sz w:val="15"/>
          <w:szCs w:val="15"/>
          <w:color w:val="auto"/>
        </w:rPr>
        <w:t>Our principal commitments consist of obligations under our loan purchase agreements, debt obligations related to our revolving credit facilities, term loans and risk retention funding loans, and operating leases for office spaces. The following table summarizes our contractual obligations as of December 31, 2019 and the timing and effect that such commitments are expected to have on our liquidity and capital requirements in future periods: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Less than 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More than 5</w:t>
            </w:r>
          </w:p>
        </w:tc>
        <w:tc>
          <w:tcPr>
            <w:tcW w:w="0" w:type="dxa"/>
            <w:vAlign w:val="bottom"/>
          </w:tcPr>
          <w:p>
            <w:pPr>
              <w:spacing w:after="0"/>
              <w:rPr>
                <w:sz w:val="1"/>
                <w:szCs w:val="1"/>
                <w:color w:val="auto"/>
              </w:rPr>
            </w:pPr>
          </w:p>
        </w:tc>
      </w:tr>
      <w:tr>
        <w:trPr>
          <w:trHeight w:val="145"/>
        </w:trPr>
        <w:tc>
          <w:tcPr>
            <w:tcW w:w="44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500" w:type="dxa"/>
            <w:vAlign w:val="bottom"/>
          </w:tcPr>
          <w:p>
            <w:pPr>
              <w:jc w:val="right"/>
              <w:ind w:right="73"/>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3"/>
              <w:spacing w:after="0"/>
              <w:rPr>
                <w:sz w:val="20"/>
                <w:szCs w:val="20"/>
                <w:color w:val="auto"/>
              </w:rPr>
            </w:pPr>
            <w:r>
              <w:rPr>
                <w:rFonts w:ascii="Arial" w:cs="Arial" w:eastAsia="Arial" w:hAnsi="Arial"/>
                <w:sz w:val="12"/>
                <w:szCs w:val="12"/>
                <w:b w:val="1"/>
                <w:bCs w:val="1"/>
                <w:color w:val="auto"/>
              </w:rPr>
              <w:t>year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9"/>
              </w:rPr>
              <w:t>1 to 3 years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6"/>
              </w:rPr>
              <w:t>3 to 5 years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ind w:left="280"/>
              <w:spacing w:after="0" w:line="169" w:lineRule="exact"/>
              <w:rPr>
                <w:sz w:val="20"/>
                <w:szCs w:val="20"/>
                <w:color w:val="auto"/>
              </w:rPr>
            </w:pPr>
            <w:r>
              <w:rPr>
                <w:rFonts w:ascii="Arial" w:cs="Arial" w:eastAsia="Arial" w:hAnsi="Arial"/>
                <w:sz w:val="12"/>
                <w:szCs w:val="12"/>
                <w:color w:val="auto"/>
              </w:rPr>
              <w:t>Loan purchase obligations</w:t>
            </w:r>
            <w:r>
              <w:rPr>
                <w:rFonts w:ascii="Arial" w:cs="Arial" w:eastAsia="Arial" w:hAnsi="Arial"/>
                <w:sz w:val="19"/>
                <w:szCs w:val="19"/>
                <w:color w:val="auto"/>
                <w:vertAlign w:val="superscript"/>
              </w:rPr>
              <w:t>(1)</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51,854</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51,854</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tcPr>
          <w:p>
            <w:pPr>
              <w:ind w:left="280"/>
              <w:spacing w:after="0" w:line="158" w:lineRule="exact"/>
              <w:rPr>
                <w:sz w:val="20"/>
                <w:szCs w:val="20"/>
                <w:color w:val="auto"/>
              </w:rPr>
            </w:pPr>
            <w:r>
              <w:rPr>
                <w:rFonts w:ascii="Arial" w:cs="Arial" w:eastAsia="Arial" w:hAnsi="Arial"/>
                <w:sz w:val="14"/>
                <w:szCs w:val="14"/>
                <w:color w:val="auto"/>
              </w:rPr>
              <w:t>Term loans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17,200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2,200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15,000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payments on term loans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3,089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1,727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1,362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tcPr>
          <w:p>
            <w:pPr>
              <w:ind w:left="280"/>
              <w:spacing w:after="0" w:line="158" w:lineRule="exact"/>
              <w:rPr>
                <w:sz w:val="20"/>
                <w:szCs w:val="20"/>
                <w:color w:val="auto"/>
              </w:rPr>
            </w:pPr>
            <w:r>
              <w:rPr>
                <w:rFonts w:ascii="Arial" w:cs="Arial" w:eastAsia="Arial" w:hAnsi="Arial"/>
                <w:sz w:val="14"/>
                <w:szCs w:val="14"/>
                <w:color w:val="auto"/>
              </w:rPr>
              <w:t>Warehouse and revolving credit facilities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84,596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5,500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79,096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Risk retention funding loans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16,941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3,167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13,774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tcPr>
          <w:p>
            <w:pPr>
              <w:ind w:left="280"/>
              <w:spacing w:after="0" w:line="158" w:lineRule="exact"/>
              <w:rPr>
                <w:sz w:val="20"/>
                <w:szCs w:val="20"/>
                <w:color w:val="auto"/>
              </w:rPr>
            </w:pPr>
            <w:r>
              <w:rPr>
                <w:rFonts w:ascii="Arial" w:cs="Arial" w:eastAsia="Arial" w:hAnsi="Arial"/>
                <w:sz w:val="14"/>
                <w:szCs w:val="14"/>
                <w:color w:val="auto"/>
              </w:rPr>
              <w:t>Operating lease obligations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19,566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4,117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8,593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5,959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3"/>
        </w:trPr>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contractual obligations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193,246</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65,398</w:t>
            </w:r>
          </w:p>
        </w:tc>
        <w:tc>
          <w:tcPr>
            <w:tcW w:w="32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107,218</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19,733</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jc w:val="both"/>
        <w:ind w:left="1480" w:right="280" w:hanging="453"/>
        <w:spacing w:after="0" w:line="241" w:lineRule="auto"/>
        <w:tabs>
          <w:tab w:leader="none" w:pos="1480"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20"/>
          </w:cols>
          <w:pgMar w:left="320" w:top="407" w:right="135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For a discussion of our long-term debt obligations, operating lease obligations and loan repurchase agreement as of September 30, 2020, see “Note 7. Borrowings,” “Note 12. Leases,” and “Note 13. Commitments and Contingencies,” respectively, to our consolidated financial statements included elsewhere in this prospectus for further information.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required by law, we retain at least 5% of the credit risk of the securities issued in these securitizations. We also engaged in activities with a personal loan trust entity created to facilitate fractional loan transactions. The fractional loan program was closed to new investments in 2019. We provide additional information regarding transactions with unconsolidated VIEs in “Note 3. Securitizations and Variable Interest Entities” to our consolidated financial statements included elsewhere in this prospectus.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The preparation of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significant accounting policies are described in “Note 1. Description of Business and Significant Accounting Policies” to our consolidated financial statements included elsewhere in this prospectus. We believe that the accounting policies described below reflect our most critical accounting policies and estimates, which represent those that involve a significant degree of judgment and complexity. Accordingly, we believe these policies are critical in fully understanding and evaluating our reported financial condition and results of operations.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Variable Interest Entities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 legal entity is considered a VIE if it either has a total equity investment that is insufficient to finance its operations without additional subordinated financial support or whose equity holders lack the characteristics of a controlling financial interest. Our variable interest arises from contractual, ownership, or other monetary interests in the entity. We consolidate a VIE when we are deemed to be the primary beneficiary. We determine whether we are the primary beneficiary if we have the power to direct activities that significantly impact the VIE’s economic performance and we have the obligation to absorb losses or receive benefits of the VIE that could be potentially significant to the VIE.</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are required to apply judgment in performing this assessment, including in identifying the activities that most significantly impact a VIE’s economic performance and determining significance of our obligation to absorb losses or receive benefits. Factors considered in assessing the significance include: the design of the VIE, including its capitalization structure; subordination of interests; payment priority; relative share of interests held within the VIE’s capital structure; and the nature of or reason behind our interest in the entity.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20"/>
          </w:cols>
          <w:pgMar w:left="320" w:top="407" w:right="135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also apply judgment to determine whether decision-maker or service-provider fees are variable interests. Decision-maker or service-provider fees are not considered variable interests when the arrangement does not expose Upstart to risks of loss that a potential VIE was designed to pass on to its variable interest holders, the fees are commensurate, the arrangement is at market, and we do not have any other interests (including direct interests and certain indirect interests held through related parties) that absorb more than an insignificant amount of a VIE’s potential variability. Changes in our level of other interests in a potential VIE, such as those resulting from disposals of investments in securitization trusts serviced by us subsequent to the expiration of applicable risk retention requirements, can affect whether a decision-maker or service-provider fee is deemed a variable interest. This determination can have a significant impact on our consolidation conclusions, as it could affect whether a legal entity is a VIE and whether Upstart is the primary beneficiary of a VIE.</w:t>
      </w:r>
    </w:p>
    <w:p>
      <w:pPr>
        <w:spacing w:after="0" w:line="170"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At a VIE’s inception, we determine whether we are the primary beneficiary based on the facts and circumstances. We assess whether or not we are the primary beneficiary of a VIE on an ongoing basis.</w:t>
      </w:r>
    </w:p>
    <w:p>
      <w:pPr>
        <w:spacing w:after="0" w:line="166"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Upstart has an ongoing contractual relationship with one of its VIEs, Upstart Loan Trust, which is a bankruptcy-remote special purpose borrowing entity. Upstart, from time to time and as-desired, sells loans to Upstart Loan Trust pursuant to a loan sale agreement, and services those loans from the time of transfer to Upstart Loan Trust until such loans are either charged-off or mature pursuant to a loan servicing agreement. Upstart Loan Trust borrows from one bank pursuant to a revolving credit and security agreement in order to finance the purchases of the loans from Upstart.</w:t>
      </w:r>
    </w:p>
    <w:p>
      <w:pPr>
        <w:spacing w:after="0" w:line="170" w:lineRule="exact"/>
        <w:rPr>
          <w:sz w:val="20"/>
          <w:szCs w:val="20"/>
          <w:color w:val="auto"/>
        </w:rPr>
      </w:pPr>
    </w:p>
    <w:p>
      <w:pPr>
        <w:jc w:val="both"/>
        <w:ind w:left="1020" w:right="120" w:firstLine="460"/>
        <w:spacing w:after="0" w:line="238" w:lineRule="auto"/>
        <w:rPr>
          <w:sz w:val="20"/>
          <w:szCs w:val="20"/>
          <w:color w:val="auto"/>
        </w:rPr>
      </w:pPr>
      <w:r>
        <w:rPr>
          <w:rFonts w:ascii="Arial" w:cs="Arial" w:eastAsia="Arial" w:hAnsi="Arial"/>
          <w:sz w:val="15"/>
          <w:szCs w:val="15"/>
          <w:color w:val="auto"/>
        </w:rPr>
        <w:t>Upstart has also established a VIE special purpose trust, Upstart Loan Trust 2, that holds loans that have been repurchased by us following breaches of loan-level representations and warranties, loans that are ineligible to finance through the warehouse trust or loans that are held by Upstart. Upstart services the loans held by Upstart Loan Trust 2 until the loans are either charged-off or mature pursuant to a loan servicing agreement.</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Upstart has also established VIEs and grantor trusts pursuant to its sponsored securitization transactions involving the issuance of asset-backed securities, or ABS. Such VIEs or grantor trusts are respectively referred to elsewhere in this registration statement with the nomenclature Upstart Securitization Trust [Year]-[Number] and Upstart Funding Grantor Trust [Year]-[Number]. For each such securitization transaction, we (along with certain other loan contributors that have previously purchased whole loans from us) sold Upstart-powered loans via a bankruptcy-remote intermediate entity to the issuing trust and then to the grantor trust. For each transaction, the grantor trust holds legal title to the loans and issues a collateral certificate representing the beneficial interest in such loans to the issuing trust. The issuing trust in turn issues various tranches of asset-backed securitization notes and certificates, which are purchased by one or more investment bank initial purchasers for resale to qualified institutional buyers and backed by the payments from the grantor trust to the issuing trust reflecting payments on the underlying securitized loans. Upstart, in addition to being party to various loan transfer agreements that facilitate the contribution of loans to the grantor trust, also services the loans held by each grantor trust from the time of transfer to the trust until the loans are charged off or mature pursuant to a loan servicing agreement.</w:t>
      </w:r>
    </w:p>
    <w:p>
      <w:pPr>
        <w:spacing w:after="0" w:line="174"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connection with each sponsored securitization transaction, Upstart facilitated the creation of a majority-owned affiliate, or MOA, which is a limited liability company and VIE. The purpose of these MOAs is to enable Upstart’s compliance with its risk retention obligations as a securitization sponsor pursuant to Regulation RR. Each MOA has held the requisite amount of ABS to comply with these obligations for the length of time required by the regulation. Upstart is party to the limited liability company agreement establishing each MOA.</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Upstart has also established Upstart Network Trust, a special purpose entity that purchased loans from Upstart in which individual accredited investors in turn have purchased securities representing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220"/>
          </w:cols>
          <w:pgMar w:left="320" w:top="407" w:right="135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fractional interests in such purchased loans. Upstart, in addition to being party to a transfer agreement that facilitates the contribution of loans to Upstart Network Trust, services the loans held by Upstart Network Trust from the time of transfer until the loans are charged off or mature pursuant to a loan servicing agreement. Upstart Network Trust was closed to new investments as of the end of 2019.</w:t>
      </w:r>
    </w:p>
    <w:p>
      <w:pPr>
        <w:spacing w:after="0" w:line="242" w:lineRule="exact"/>
        <w:rPr>
          <w:sz w:val="20"/>
          <w:szCs w:val="20"/>
          <w:color w:val="auto"/>
        </w:rPr>
      </w:pPr>
    </w:p>
    <w:p>
      <w:pPr>
        <w:ind w:left="1020" w:right="40"/>
        <w:spacing w:after="0" w:line="270" w:lineRule="auto"/>
        <w:rPr>
          <w:sz w:val="20"/>
          <w:szCs w:val="20"/>
          <w:color w:val="auto"/>
        </w:rPr>
      </w:pPr>
      <w:r>
        <w:rPr>
          <w:rFonts w:ascii="Arial" w:cs="Arial" w:eastAsia="Arial" w:hAnsi="Arial"/>
          <w:sz w:val="15"/>
          <w:szCs w:val="15"/>
          <w:b w:val="1"/>
          <w:bCs w:val="1"/>
          <w:i w:val="1"/>
          <w:iCs w:val="1"/>
          <w:color w:val="auto"/>
        </w:rPr>
        <w:t>Fair Value of Loans, Notes Receivable and Residual Certificates, Payable to Securitization Note Holders and Residual Certificate Holders, and Notes Payable</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elected the fair value option for loans, notes payable to investors who participate in the legacy fractional loan-related securities program, and financial instruments related to securitization transactions, including notes receivable and residual certificates representing required risk retention for sponsored non-consolidated securitizations, and amounts payable to note holders and residual certificate holders in consolidated securitizations. We believe the estimate of fair value of these financial instruments requires significant judgment. We use a discounted cash flow model to estimate the fair value of these financial instruments based on the present value of estimated future cash flows. This model uses both observable and unobservable inputs and reflects our best estimates of the assumptions a market participant would use to calculate fair value. Primary inputs that require significant judgment include discount rates, credit risk rates, and expected prepayment rates. These inputs are based on historical performance of loans facilitated through our platform, as well as the consideration of market participant requirements. See “Note 4. Fair Value Measurement</w:t>
      </w:r>
      <w:r>
        <w:rPr>
          <w:rFonts w:ascii="Arial" w:cs="Arial" w:eastAsia="Arial" w:hAnsi="Arial"/>
          <w:sz w:val="15"/>
          <w:szCs w:val="15"/>
          <w:i w:val="1"/>
          <w:iCs w:val="1"/>
          <w:color w:val="auto"/>
        </w:rPr>
        <w:t>”</w:t>
      </w:r>
      <w:r>
        <w:rPr>
          <w:rFonts w:ascii="Arial" w:cs="Arial" w:eastAsia="Arial" w:hAnsi="Arial"/>
          <w:sz w:val="15"/>
          <w:szCs w:val="15"/>
          <w:color w:val="auto"/>
        </w:rPr>
        <w:t xml:space="preserve"> to our consolidated financial statements included elsewhere in this prospectus for additional information</w:t>
      </w:r>
      <w:r>
        <w:rPr>
          <w:rFonts w:ascii="Arial" w:cs="Arial" w:eastAsia="Arial" w:hAnsi="Arial"/>
          <w:sz w:val="15"/>
          <w:szCs w:val="15"/>
          <w:i w:val="1"/>
          <w:iCs w:val="1"/>
          <w:color w:val="auto"/>
        </w:rPr>
        <w:t>.</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Fair Value of Loan Servicing Assets and Liabilities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We also record loan servicing assets and liabilities at estimated fair value when we transfer loans which qualify as sales under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xml:space="preserve"> with servicing rights retained or when we enter into servicing agreements with banks partners that retain Upstart-powered loans. Loan servicing assets and liabilities are reported in other assets and other liabilities on our consolidated balance sheets. The gain or loss on loan sale, as well as changes in the fair value of loan servicing assets and liabilities are reported in revenue from fees, net, on our consolidated statements of operations and comprehensive income (loss) in the period in which the changes occur. We use a discounted cash flow model to estimate the fair values of loan servicing assets and liabilities. The cash flows in the valuation model represent the difference between the servicing fees charged to loan investors and an estimated market servicing fee. Since servicing fees are generally based on the monthly unpaid principal balance of the underlying loans, the expected cash flows in the model incorporate estimated credit risk and expected prepayments on the loans. These inputs are consistent with the assumptions used in the valuation of loans held-for-investment and related securitization notes and residual certificates. See “Note 4. Fair Value Measurement” to our consolidated financial statements included elsewhere in this prospectus for additional information</w:t>
      </w:r>
      <w:r>
        <w:rPr>
          <w:rFonts w:ascii="Arial" w:cs="Arial" w:eastAsia="Arial" w:hAnsi="Arial"/>
          <w:sz w:val="15"/>
          <w:szCs w:val="15"/>
          <w:i w:val="1"/>
          <w:iCs w:val="1"/>
          <w:color w:val="auto"/>
        </w:rPr>
        <w:t>.</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revenue consists of two components: revenue from fees, net and interest income and fair value adjustments, net.</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105" w:lineRule="exact"/>
        <w:rPr>
          <w:sz w:val="20"/>
          <w:szCs w:val="20"/>
          <w:color w:val="auto"/>
        </w:rPr>
      </w:pPr>
    </w:p>
    <w:p>
      <w:pPr>
        <w:ind w:left="1020" w:right="220" w:firstLine="460"/>
        <w:spacing w:after="0" w:line="235" w:lineRule="auto"/>
        <w:rPr>
          <w:sz w:val="20"/>
          <w:szCs w:val="20"/>
          <w:color w:val="auto"/>
        </w:rPr>
      </w:pPr>
      <w:r>
        <w:rPr>
          <w:rFonts w:ascii="Arial" w:cs="Arial" w:eastAsia="Arial" w:hAnsi="Arial"/>
          <w:sz w:val="15"/>
          <w:szCs w:val="15"/>
          <w:color w:val="auto"/>
        </w:rPr>
        <w:t xml:space="preserve">The revenue from fees, net line item on the consolidated statements of operations is primarily comprised of platform and referral fees, net, which are recognized based on Accounting Standards Update, or ASU, 2014-09, </w:t>
      </w:r>
      <w:r>
        <w:rPr>
          <w:rFonts w:ascii="Arial" w:cs="Arial" w:eastAsia="Arial" w:hAnsi="Arial"/>
          <w:sz w:val="15"/>
          <w:szCs w:val="15"/>
          <w:i w:val="1"/>
          <w:iCs w:val="1"/>
          <w:color w:val="auto"/>
        </w:rPr>
        <w:t>Revenue from Contracts with</w:t>
      </w:r>
    </w:p>
    <w:p>
      <w:pPr>
        <w:ind w:left="1020" w:right="120"/>
        <w:spacing w:after="0" w:line="245" w:lineRule="auto"/>
        <w:rPr>
          <w:sz w:val="20"/>
          <w:szCs w:val="20"/>
          <w:color w:val="auto"/>
        </w:rPr>
      </w:pPr>
      <w:r>
        <w:rPr>
          <w:rFonts w:ascii="Arial" w:cs="Arial" w:eastAsia="Arial" w:hAnsi="Arial"/>
          <w:sz w:val="15"/>
          <w:szCs w:val="15"/>
          <w:i w:val="1"/>
          <w:iCs w:val="1"/>
          <w:color w:val="auto"/>
        </w:rPr>
        <w:t xml:space="preserve">Customers </w:t>
      </w:r>
      <w:r>
        <w:rPr>
          <w:rFonts w:ascii="Arial" w:cs="Arial" w:eastAsia="Arial" w:hAnsi="Arial"/>
          <w:sz w:val="15"/>
          <w:szCs w:val="15"/>
          <w:color w:val="auto"/>
        </w:rPr>
        <w:t>(Topic 606). Income historically recognized under Topic 860,</w:t>
      </w:r>
      <w:r>
        <w:rPr>
          <w:rFonts w:ascii="Arial" w:cs="Arial" w:eastAsia="Arial" w:hAnsi="Arial"/>
          <w:sz w:val="15"/>
          <w:szCs w:val="15"/>
          <w:i w:val="1"/>
          <w:iCs w:val="1"/>
          <w:color w:val="auto"/>
        </w:rPr>
        <w:t xml:space="preserve"> Transfers and Servicing </w:t>
      </w:r>
      <w:r>
        <w:rPr>
          <w:rFonts w:ascii="Arial" w:cs="Arial" w:eastAsia="Arial" w:hAnsi="Arial"/>
          <w:sz w:val="15"/>
          <w:szCs w:val="15"/>
          <w:color w:val="auto"/>
        </w:rPr>
        <w:t>and Topic 310,</w:t>
      </w:r>
      <w:r>
        <w:rPr>
          <w:rFonts w:ascii="Arial" w:cs="Arial" w:eastAsia="Arial" w:hAnsi="Arial"/>
          <w:sz w:val="15"/>
          <w:szCs w:val="15"/>
          <w:i w:val="1"/>
          <w:iCs w:val="1"/>
          <w:color w:val="auto"/>
        </w:rPr>
        <w:t xml:space="preserve"> Receivables </w:t>
      </w:r>
      <w:r>
        <w:rPr>
          <w:rFonts w:ascii="Arial" w:cs="Arial" w:eastAsia="Arial" w:hAnsi="Arial"/>
          <w:sz w:val="15"/>
          <w:szCs w:val="15"/>
          <w:color w:val="auto"/>
        </w:rPr>
        <w:t>is excluded</w:t>
      </w:r>
      <w:r>
        <w:rPr>
          <w:rFonts w:ascii="Arial" w:cs="Arial" w:eastAsia="Arial" w:hAnsi="Arial"/>
          <w:sz w:val="15"/>
          <w:szCs w:val="15"/>
          <w:i w:val="1"/>
          <w:iCs w:val="1"/>
          <w:color w:val="auto"/>
        </w:rPr>
        <w:t xml:space="preserve"> </w:t>
      </w:r>
      <w:r>
        <w:rPr>
          <w:rFonts w:ascii="Arial" w:cs="Arial" w:eastAsia="Arial" w:hAnsi="Arial"/>
          <w:sz w:val="15"/>
          <w:szCs w:val="15"/>
          <w:color w:val="auto"/>
        </w:rPr>
        <w:t>from the scope of the standard; as such, we have concluded that interest income and fair value adjustments,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200"/>
          </w:cols>
          <w:pgMar w:left="320" w:top="407" w:right="137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20"/>
        <w:spacing w:after="0" w:line="238" w:lineRule="auto"/>
        <w:rPr>
          <w:sz w:val="20"/>
          <w:szCs w:val="20"/>
          <w:color w:val="auto"/>
        </w:rPr>
      </w:pPr>
      <w:r>
        <w:rPr>
          <w:rFonts w:ascii="Arial" w:cs="Arial" w:eastAsia="Arial" w:hAnsi="Arial"/>
          <w:sz w:val="15"/>
          <w:szCs w:val="15"/>
          <w:color w:val="auto"/>
        </w:rPr>
        <w:t>net and income from servicing fees will not change under the standard. We adopted Topic 606 as of January 1, 2019, using the modified retrospective method for all contracts not completed as of the date of adoption. The adoption of Topic 606 had no material impact on our consolidated balance sheet, consolidated statement of operations and comprehensive income (loss) and consolidated statement of cash flows as of the adoption date or for the year ended December 31, 2019.</w:t>
      </w:r>
    </w:p>
    <w:p>
      <w:pPr>
        <w:spacing w:after="0" w:line="172"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Topic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Our arrangements for platform and referral services typically consist of an obligation to provide one or both of these services to customers on a when and if needed basis (a stand-ready obligation), and we recognize revenue as such services are performed, which coincides with the amount billable to the customer. Additionally, the services have the same pattern and period of transfer, and when provided individually or together, are accounted for as a single combined performance obligation representing a series of distinct days of service.</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Our platform and referral fees represent variable consideration. Since the variable fees relate directly to the day the service is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also charge an ongoing loan servicing fee to the holder of the loan (either a bank or institutional investor) based on a predetermined percentage of the outstanding principal balance. Loan servicing fees are recognized in the period the services are provided. Servicing fees, net also includes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us for carrying out our servicing obligations. Servicing fees also include changes in fair value of loan servicing assets and liabilities in the periods presented.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fair value of financial instruments from our normal course of business held at fair value, including loans, notes receivable and residual certificates, payable to securitization note holders and residual certificate holders, and notes payable. We record these adjustments in earnings in the period incurred and include both realized and unrealized adjustments to the value of related assets and liabilities. See the subsection titled “Fair Value of Loans, Notes Receivable and Residual Certificates, Payable to Securitization Note Holders and Residual Certificate Holders, and Notes Payable” above for further details on the estimates of fair value of these assets and liabilities.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We estimate the grant date fair value of stock options granted to employees and nonemployees using the Black-Scholes option-pricing model. The fair value of stock options that is expected to vest is recognized as compensation expense on a straight-line basis over the requisite service period, which is typically the vesting period of the respective awards.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200"/>
          </w:cols>
          <w:pgMar w:left="320" w:top="407" w:right="137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Black-Scholes option-pricing model considers several variables and assumptions in estimating the grant date fair value of stock-based awards. These assumptions include:</w:t>
      </w:r>
    </w:p>
    <w:p>
      <w:pPr>
        <w:spacing w:after="0" w:line="71" w:lineRule="exact"/>
        <w:rPr>
          <w:sz w:val="20"/>
          <w:szCs w:val="20"/>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—See the subsection titled “Common Stock Valuations” below.</w:t>
      </w:r>
    </w:p>
    <w:p>
      <w:pPr>
        <w:spacing w:after="0" w:line="97" w:lineRule="exact"/>
        <w:rPr>
          <w:rFonts w:ascii="Arial" w:cs="Arial" w:eastAsia="Arial" w:hAnsi="Arial"/>
          <w:sz w:val="15"/>
          <w:szCs w:val="15"/>
          <w:color w:val="auto"/>
        </w:rPr>
      </w:pPr>
    </w:p>
    <w:p>
      <w:pPr>
        <w:ind w:left="1660" w:right="100" w:hanging="183"/>
        <w:spacing w:after="0" w:line="246"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period that the stock-based awards are expected to be outstanding. We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the expected term for employee stock options based on historical terminations and exercise behavior, which factors in an extended post-termination exercise provision for vested awards for certain employees who provide more than three years of service. We use the contractual term for all nonemployee awards.</w:t>
      </w:r>
    </w:p>
    <w:p>
      <w:pPr>
        <w:spacing w:after="0" w:line="70"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—Since we are not yet a public company and do not have any trading history for our common stock, the</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volatility is estimated based on the average historical volatilities of common stock of comparable publicly traded entities over a period equal to the expected term of the stock option grants. We will continue to apply this process until a sufficient amount of historical information regarding the volatility of our own stock price becomes available.</w:t>
      </w:r>
    </w:p>
    <w:p>
      <w:pPr>
        <w:spacing w:after="0" w:line="70" w:lineRule="exact"/>
        <w:rPr>
          <w:rFonts w:ascii="Arial" w:cs="Arial" w:eastAsia="Arial" w:hAnsi="Arial"/>
          <w:sz w:val="15"/>
          <w:szCs w:val="15"/>
          <w:color w:val="auto"/>
        </w:rPr>
      </w:pPr>
    </w:p>
    <w:p>
      <w:pPr>
        <w:ind w:left="1660" w:right="720" w:hanging="183"/>
        <w:spacing w:after="0" w:line="304" w:lineRule="auto"/>
        <w:tabs>
          <w:tab w:leader="none" w:pos="1660"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—The risk-free interest rate is based on the U.S. Treasury yield in effect at the time of grant for</w:t>
      </w:r>
      <w:r>
        <w:rPr>
          <w:rFonts w:ascii="Arial" w:cs="Arial" w:eastAsia="Arial" w:hAnsi="Arial"/>
          <w:sz w:val="14"/>
          <w:szCs w:val="14"/>
          <w:i w:val="1"/>
          <w:iCs w:val="1"/>
          <w:color w:val="auto"/>
        </w:rPr>
        <w:t xml:space="preserve"> </w:t>
      </w:r>
      <w:r>
        <w:rPr>
          <w:rFonts w:ascii="Arial" w:cs="Arial" w:eastAsia="Arial" w:hAnsi="Arial"/>
          <w:sz w:val="14"/>
          <w:szCs w:val="14"/>
          <w:color w:val="auto"/>
        </w:rPr>
        <w:t>zero-coupon U.S. Treasury notes with maturities approximately equal to the expected term of the stock option award.</w:t>
      </w:r>
    </w:p>
    <w:p>
      <w:pPr>
        <w:spacing w:after="0" w:line="31" w:lineRule="exact"/>
        <w:rPr>
          <w:rFonts w:ascii="Arial" w:cs="Arial" w:eastAsia="Arial" w:hAnsi="Arial"/>
          <w:sz w:val="14"/>
          <w:szCs w:val="14"/>
          <w:color w:val="auto"/>
        </w:rPr>
      </w:pPr>
    </w:p>
    <w:p>
      <w:pPr>
        <w:ind w:left="1660" w:hanging="183"/>
        <w:spacing w:after="0" w:line="267"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Expected Dividend</w:t>
      </w:r>
      <w:r>
        <w:rPr>
          <w:rFonts w:ascii="Arial" w:cs="Arial" w:eastAsia="Arial" w:hAnsi="Arial"/>
          <w:sz w:val="15"/>
          <w:szCs w:val="15"/>
          <w:color w:val="auto"/>
        </w:rPr>
        <w:t>—We have never paid dividends on our common stock since our inception, nor do we expect to pay dividends</w:t>
      </w:r>
      <w:r>
        <w:rPr>
          <w:rFonts w:ascii="Arial" w:cs="Arial" w:eastAsia="Arial" w:hAnsi="Arial"/>
          <w:sz w:val="15"/>
          <w:szCs w:val="15"/>
          <w:i w:val="1"/>
          <w:iCs w:val="1"/>
          <w:color w:val="auto"/>
        </w:rPr>
        <w:t xml:space="preserve"> </w:t>
      </w:r>
      <w:r>
        <w:rPr>
          <w:rFonts w:ascii="Arial" w:cs="Arial" w:eastAsia="Arial" w:hAnsi="Arial"/>
          <w:sz w:val="15"/>
          <w:szCs w:val="15"/>
          <w:color w:val="auto"/>
        </w:rPr>
        <w:t>in the foreseeable future. Therefore, we used an expected dividend yield of zero.</w:t>
      </w:r>
    </w:p>
    <w:p>
      <w:pPr>
        <w:spacing w:after="0" w:line="15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See “Note 11. Equity Incentive Plans” of our consolidated financial statements included elsewhere in this prospectus for information concerning certain of the specific assumptions we used in applying the Black-Scholes option-pricing model to determine the estimated fair value of our stock options granted in the years ended December 31, 2018 and 2019. Such assumptions involved inherent uncertainties and the application of significant judgment. As a result, if factors or expected outcomes change and we use significantly different assumptions or estimates, our stock-based compensation could be materially different.</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Stock-based compensation expense was $1.3 million, $2.0 million, $3.8 million, and $7.1 million during the years ended December 31, 2017, 2018 and 2019, and the nine months ended September 30, 2020, respectively. As of December 31, 2019 and September 30, 2020, we had $15.3 million and $ 22.9 million, respectively, of total unrecognized stock-based compensation costs which we expect to recognize over a weighted-average period of 2.5 years and 1.3 years, respectively. These amounts reflect our reassessment of the fair value of our common stock in the year ended December 31, 2019 and the nine months ended September 30, 2020.</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intrinsic value of all outstanding options as of September 30, 2020 was approximately $346.4 million, based on the initial public offering price of $21.0 per share, which is the midpoint of the estimated offering price range set forth on the cover page of this prospectus, fair value estimated by the board of directors as of that date, of which approximately $226.5 million is related to vested options and approximately $119.8 million is related to unvested options.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Common Stock Valuations</w:t>
      </w:r>
    </w:p>
    <w:p>
      <w:pPr>
        <w:spacing w:after="0" w:line="105"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Historically, for all periods prior to this initial public offering, since there has been no public market of our common stock to date, the fair value of the shares of common stock underlying our share-based awards was estimated on each grant date by our board of directors. In order to determine the fair value of our common stock underlying option grants, our board of directors considered, among other things,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200"/>
          </w:cols>
          <w:pgMar w:left="320" w:top="407" w:right="137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 xml:space="preserve">input from management, valuations of our common stock prepared by unrelated third-party valuation firms in accordance with the guidance provided by the American Institute of Certified Public Accountants Practice Guide, </w:t>
      </w:r>
      <w:r>
        <w:rPr>
          <w:rFonts w:ascii="Arial" w:cs="Arial" w:eastAsia="Arial" w:hAnsi="Arial"/>
          <w:sz w:val="15"/>
          <w:szCs w:val="15"/>
          <w:i w:val="1"/>
          <w:iCs w:val="1"/>
          <w:color w:val="auto"/>
        </w:rPr>
        <w:t>Valuation of Privately-Held-Company Equity</w:t>
      </w:r>
      <w:r>
        <w:rPr>
          <w:rFonts w:ascii="Arial" w:cs="Arial" w:eastAsia="Arial" w:hAnsi="Arial"/>
          <w:sz w:val="15"/>
          <w:szCs w:val="15"/>
          <w:color w:val="auto"/>
        </w:rPr>
        <w:t xml:space="preserve"> </w:t>
      </w:r>
      <w:r>
        <w:rPr>
          <w:rFonts w:ascii="Arial" w:cs="Arial" w:eastAsia="Arial" w:hAnsi="Arial"/>
          <w:sz w:val="15"/>
          <w:szCs w:val="15"/>
          <w:i w:val="1"/>
          <w:iCs w:val="1"/>
          <w:color w:val="auto"/>
        </w:rPr>
        <w:t>Securities Issued as Compensation</w:t>
      </w:r>
      <w:r>
        <w:rPr>
          <w:rFonts w:ascii="Arial" w:cs="Arial" w:eastAsia="Arial" w:hAnsi="Arial"/>
          <w:sz w:val="15"/>
          <w:szCs w:val="15"/>
          <w:color w:val="auto"/>
        </w:rPr>
        <w:t>, and our board of directors’ assessment of additional objective and subjective factors that it believed</w:t>
      </w:r>
      <w:r>
        <w:rPr>
          <w:rFonts w:ascii="Arial" w:cs="Arial" w:eastAsia="Arial" w:hAnsi="Arial"/>
          <w:sz w:val="15"/>
          <w:szCs w:val="15"/>
          <w:i w:val="1"/>
          <w:iCs w:val="1"/>
          <w:color w:val="auto"/>
        </w:rPr>
        <w:t xml:space="preserve"> </w:t>
      </w:r>
      <w:r>
        <w:rPr>
          <w:rFonts w:ascii="Arial" w:cs="Arial" w:eastAsia="Arial" w:hAnsi="Arial"/>
          <w:sz w:val="15"/>
          <w:szCs w:val="15"/>
          <w:color w:val="auto"/>
        </w:rPr>
        <w:t>were relevant, and factors that may have changed from the date of the most recent valuation through the date of the grant. These factors include, but are not limited to:</w:t>
      </w:r>
    </w:p>
    <w:p>
      <w:pPr>
        <w:spacing w:after="0" w:line="91" w:lineRule="exact"/>
        <w:rPr>
          <w:sz w:val="20"/>
          <w:szCs w:val="20"/>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our results of operations and financial position, including our levels of available capital resources;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our stage of development and material risks related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our business conditions and projections;</w:t>
      </w:r>
    </w:p>
    <w:p>
      <w:pPr>
        <w:spacing w:after="0" w:line="97"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valuation of publicly traded companies in the financial technology sectors, as well as recently completed mergers and acquisitions of peer companies;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lack of marketability of our common stock as a private company;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prices at which we sold shares of our convertible preferred stock to outside investors in arms-length transactions;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rights, preferences, and privileges of our convertible preferred stock relative to those of our common stock;</w:t>
      </w:r>
    </w:p>
    <w:p>
      <w:pPr>
        <w:spacing w:after="0" w:line="9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likelihood of achieving a liquidity event for our securityholders, such as an initial public offering or a sale of our company, given prevailing market conditions;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hiring of key personnel and the experience of management;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trends and developments in our industry;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external market conditions affecting the financial technology industry sector.</w:t>
      </w:r>
    </w:p>
    <w:p>
      <w:pPr>
        <w:spacing w:after="0" w:line="177"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Our board of directors considered the fair value of our common stock by first determining the equity value of our company, and then allocating that value among the various classes of our equity securities to derive a per share value of our common stock.</w:t>
      </w:r>
    </w:p>
    <w:p>
      <w:pPr>
        <w:spacing w:after="0" w:line="166"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equity value of our company was determined using the market approach by reference to the closest round of equity financing, if any, preceding the date of valuation and analysis of the trading values of publicly traded companies deemed comparable to us.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allocating the equity value of our company among various classes of stock, for our valuations performed on and prior to June 30,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 Furthermore, as of June 30, 2019, we were at an early stage of development and future liquidity events were difficult to forecast.</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For our valuations performed subsequent to June 30, 2019, we used a hybrid method of the OPM and the Probability-Weighted Expected Return Method, or PWERM. PWERM considers various potential liquidity outcomes. Our approach included the use of different timing of initial public offering scenarios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value of the common stock before a discount for lack of marketability is applied.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00"/>
          </w:cols>
          <w:pgMar w:left="320" w:top="407" w:right="137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the course of preparing our consolidated financial statements with a retrospective view, we have reassessed the fair value of our common stock in 2019 solely for accounting purposes. For purposes of this determination, we determined that the reassessed fair value of our common stock increased on a linear basis between the dates of our third-party valuation reports. We believe that linear interpolation between these is appropriate as no single event caused the valuation of our common stock to increase.</w:t>
      </w:r>
    </w:p>
    <w:p>
      <w:pPr>
        <w:spacing w:after="0" w:line="172"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05"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See “Note 1. Description of Business and Significant Accounting Policies” to our consolidated financial statements included in this prospectus for recently adopted accounting pronouncements and recently issued accounting pronouncements not yet adopted as of the date of this prospectus.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Emerging Growth Company Status</w:t>
      </w:r>
    </w:p>
    <w:p>
      <w:pPr>
        <w:spacing w:after="0" w:line="105"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The JOBS Act does not preclude an emerging growth company from early adopting a new or revised accounting standard earlier than the time that such standard applies to private companies. We early adopted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w:t>
      </w:r>
    </w:p>
    <w:p>
      <w:pPr>
        <w:spacing w:after="0" w:line="1" w:lineRule="exact"/>
        <w:rPr>
          <w:sz w:val="20"/>
          <w:szCs w:val="20"/>
          <w:color w:val="auto"/>
        </w:rPr>
      </w:pPr>
    </w:p>
    <w:p>
      <w:pPr>
        <w:ind w:left="1020" w:firstLine="7"/>
        <w:spacing w:after="0" w:line="245" w:lineRule="auto"/>
        <w:tabs>
          <w:tab w:leader="none" w:pos="1362" w:val="left"/>
        </w:tabs>
        <w:numPr>
          <w:ilvl w:val="0"/>
          <w:numId w:val="73"/>
        </w:numPr>
        <w:rPr>
          <w:rFonts w:ascii="Arial" w:cs="Arial" w:eastAsia="Arial" w:hAnsi="Arial"/>
          <w:sz w:val="15"/>
          <w:szCs w:val="15"/>
          <w:color w:val="auto"/>
        </w:rPr>
      </w:pPr>
      <w:r>
        <w:rPr>
          <w:rFonts w:ascii="Arial" w:cs="Arial" w:eastAsia="Arial" w:hAnsi="Arial"/>
          <w:sz w:val="15"/>
          <w:szCs w:val="15"/>
          <w:color w:val="auto"/>
        </w:rPr>
        <w:t>effective January 1, 2019 and have elected not to restate comparative periods presented in the consolidated financial statements. We expect to use the extended transition period for any other new or revised accounting.</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Quantitative and Qualitative Discussions of Market Risk</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facilitated through our platform, and availability of funding under our current credit facilities and term loans. Such fluctuations to date have not been significant.</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Discount Rate Risk</w:t>
      </w:r>
    </w:p>
    <w:p>
      <w:pPr>
        <w:spacing w:after="0" w:line="10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Discount rate sensitivity refers to the risk of loss to future earnings, values or future cash flows that may result from changes in market discount rates.</w:t>
      </w:r>
    </w:p>
    <w:p>
      <w:pPr>
        <w:spacing w:after="0" w:line="150" w:lineRule="exact"/>
        <w:rPr>
          <w:sz w:val="20"/>
          <w:szCs w:val="20"/>
          <w:color w:val="auto"/>
        </w:rPr>
      </w:pPr>
    </w:p>
    <w:p>
      <w:pPr>
        <w:ind w:left="1020" w:right="140" w:firstLine="460"/>
        <w:spacing w:after="0" w:line="246" w:lineRule="auto"/>
        <w:rPr>
          <w:sz w:val="20"/>
          <w:szCs w:val="20"/>
          <w:color w:val="auto"/>
        </w:rPr>
      </w:pPr>
      <w:r>
        <w:rPr>
          <w:rFonts w:ascii="Arial" w:cs="Arial" w:eastAsia="Arial" w:hAnsi="Arial"/>
          <w:sz w:val="15"/>
          <w:szCs w:val="15"/>
          <w:i w:val="1"/>
          <w:iCs w:val="1"/>
          <w:color w:val="auto"/>
        </w:rPr>
        <w:t>Loans at Fair Value</w:t>
      </w:r>
      <w:r>
        <w:rPr>
          <w:rFonts w:ascii="Arial" w:cs="Arial" w:eastAsia="Arial" w:hAnsi="Arial"/>
          <w:sz w:val="15"/>
          <w:szCs w:val="15"/>
          <w:color w:val="auto"/>
        </w:rPr>
        <w:t>—As of December 31, 2019 and September 30, 2020, we were exposed to market discount rate risk on</w:t>
      </w:r>
      <w:r>
        <w:rPr>
          <w:rFonts w:ascii="Arial" w:cs="Arial" w:eastAsia="Arial" w:hAnsi="Arial"/>
          <w:sz w:val="15"/>
          <w:szCs w:val="15"/>
          <w:i w:val="1"/>
          <w:iCs w:val="1"/>
          <w:color w:val="auto"/>
        </w:rPr>
        <w:t xml:space="preserve"> </w:t>
      </w:r>
      <w:r>
        <w:rPr>
          <w:rFonts w:ascii="Arial" w:cs="Arial" w:eastAsia="Arial" w:hAnsi="Arial"/>
          <w:sz w:val="15"/>
          <w:szCs w:val="15"/>
          <w:color w:val="auto"/>
        </w:rPr>
        <w:t>$141.6 million and $ 122.7 million, respectively of loans held-for-investment and held-for-sale on our consolidated balance sheet. The fair value of these loans is estimated using a discounted cash flow methodology, where the discount rate represents an estimate of the required rate</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20"/>
          </w:cols>
          <w:pgMar w:left="320" w:top="407" w:right="135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As of December 31, 2019, a hypothetical 100 basis point and 200 basis point increase in discount rate would result in a $1.9 million and $3.8 million decrease, respectively, in the fair value of these loans. As of September 30, 2020, a hypothetical 100 basis point and 200 basis point increase in discount rate would result in a $1.5 million and $2.9 million decrease, respectively, in the fair value of these loans.</w:t>
      </w:r>
    </w:p>
    <w:p>
      <w:pPr>
        <w:spacing w:after="0" w:line="156"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i w:val="1"/>
          <w:iCs w:val="1"/>
          <w:color w:val="auto"/>
        </w:rPr>
        <w:t>Assets and Liabilities related to Securitization Transactions</w:t>
      </w:r>
      <w:r>
        <w:rPr>
          <w:rFonts w:ascii="Arial" w:cs="Arial" w:eastAsia="Arial" w:hAnsi="Arial"/>
          <w:sz w:val="15"/>
          <w:szCs w:val="15"/>
          <w:color w:val="auto"/>
        </w:rPr>
        <w:t>—As of December 31, 2019, we were exposed to discount rate risk on</w:t>
      </w:r>
      <w:r>
        <w:rPr>
          <w:rFonts w:ascii="Arial" w:cs="Arial" w:eastAsia="Arial" w:hAnsi="Arial"/>
          <w:sz w:val="15"/>
          <w:szCs w:val="15"/>
          <w:i w:val="1"/>
          <w:iCs w:val="1"/>
          <w:color w:val="auto"/>
        </w:rPr>
        <w:t xml:space="preserve"> </w:t>
      </w:r>
      <w:r>
        <w:rPr>
          <w:rFonts w:ascii="Arial" w:cs="Arial" w:eastAsia="Arial" w:hAnsi="Arial"/>
          <w:sz w:val="15"/>
          <w:szCs w:val="15"/>
          <w:color w:val="auto"/>
        </w:rPr>
        <w:t>$34.1 million of notes receivable and residual certificates and $89.7 million of payable to securitization note holders and residual certificate holders. As of September 30, 2020, we were exposed to discount rate risk on $22.1 million of notes receivable and residual certificates. We assess the sensitivity of securitization notes and residual certificates by reviewing the average impact across all securitization transactions. As of December 31, 2019, a hypothetical 100 basis point and 200 basis point increase in discount rates would result in a decrease in fair value of these securities of 1.40% and 2.77%, respectively, on average across all securitizations. As of September 30, 2020, a hypothetical 100 basis point and 200 basis point increase in discount rates would result in a decrease in fair value of these securities of 1.15% and 2.28%, respectively, on average across all securitizations.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Credit Risk</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50" w:lineRule="exact"/>
        <w:rPr>
          <w:sz w:val="20"/>
          <w:szCs w:val="20"/>
          <w:color w:val="auto"/>
        </w:rPr>
      </w:pPr>
    </w:p>
    <w:p>
      <w:pPr>
        <w:jc w:val="both"/>
        <w:ind w:left="1020" w:right="200" w:firstLine="460"/>
        <w:spacing w:after="0" w:line="241" w:lineRule="auto"/>
        <w:rPr>
          <w:sz w:val="20"/>
          <w:szCs w:val="20"/>
          <w:color w:val="auto"/>
        </w:rPr>
      </w:pPr>
      <w:r>
        <w:rPr>
          <w:rFonts w:ascii="Arial" w:cs="Arial" w:eastAsia="Arial" w:hAnsi="Arial"/>
          <w:sz w:val="15"/>
          <w:szCs w:val="15"/>
          <w:i w:val="1"/>
          <w:iCs w:val="1"/>
          <w:color w:val="auto"/>
        </w:rPr>
        <w:t>Loans, at Fair Value—</w:t>
      </w:r>
      <w:r>
        <w:rPr>
          <w:rFonts w:ascii="Arial" w:cs="Arial" w:eastAsia="Arial" w:hAnsi="Arial"/>
          <w:sz w:val="15"/>
          <w:szCs w:val="15"/>
          <w:color w:val="auto"/>
        </w:rPr>
        <w:t>As of December 31, 2019 and September 30, 2020, we were exposed to credit risk on $141.6 million and</w:t>
      </w:r>
      <w:r>
        <w:rPr>
          <w:rFonts w:ascii="Arial" w:cs="Arial" w:eastAsia="Arial" w:hAnsi="Arial"/>
          <w:sz w:val="15"/>
          <w:szCs w:val="15"/>
          <w:i w:val="1"/>
          <w:iCs w:val="1"/>
          <w:color w:val="auto"/>
        </w:rPr>
        <w:t xml:space="preserve"> </w:t>
      </w:r>
      <w:r>
        <w:rPr>
          <w:rFonts w:ascii="Arial" w:cs="Arial" w:eastAsia="Arial" w:hAnsi="Arial"/>
          <w:sz w:val="15"/>
          <w:szCs w:val="15"/>
          <w:color w:val="auto"/>
        </w:rPr>
        <w:t>$122.7 million, respectively of loans in held-for-investment and held-for-sale in our consolidated balance sheet. These loans bear fixed interest rates and are carried on our consolidated balance sheets at fair value. As of December 31, 2019, a hypothetical 10% and 20% increase in credit risk would result in a $2.3 million and $4.7 million decrease, respectively, in the fair value of loans held-for-investment (excluding loans held as collateral by consolidated securitizations). As of September 30, 2020, a hypothetical 10% and 20% increase in credit risk would result in a $2.0 million and $3.9 million decrease, respectively.</w:t>
      </w:r>
    </w:p>
    <w:p>
      <w:pPr>
        <w:spacing w:after="0" w:line="155" w:lineRule="exact"/>
        <w:rPr>
          <w:sz w:val="20"/>
          <w:szCs w:val="20"/>
          <w:color w:val="auto"/>
        </w:rPr>
      </w:pPr>
    </w:p>
    <w:p>
      <w:pPr>
        <w:ind w:left="1020" w:firstLine="460"/>
        <w:spacing w:after="0" w:line="251" w:lineRule="auto"/>
        <w:rPr>
          <w:sz w:val="20"/>
          <w:szCs w:val="20"/>
          <w:color w:val="auto"/>
        </w:rPr>
      </w:pPr>
      <w:r>
        <w:rPr>
          <w:rFonts w:ascii="Arial" w:cs="Arial" w:eastAsia="Arial" w:hAnsi="Arial"/>
          <w:sz w:val="15"/>
          <w:szCs w:val="15"/>
          <w:i w:val="1"/>
          <w:iCs w:val="1"/>
          <w:color w:val="auto"/>
        </w:rPr>
        <w:t>Assets and Liabilities related to Securitization Transactions—</w:t>
      </w:r>
      <w:r>
        <w:rPr>
          <w:rFonts w:ascii="Arial" w:cs="Arial" w:eastAsia="Arial" w:hAnsi="Arial"/>
          <w:sz w:val="15"/>
          <w:szCs w:val="15"/>
          <w:color w:val="auto"/>
        </w:rPr>
        <w:t>Transactions—As of December 31, 2019, we were exposed to credit</w:t>
      </w:r>
      <w:r>
        <w:rPr>
          <w:rFonts w:ascii="Arial" w:cs="Arial" w:eastAsia="Arial" w:hAnsi="Arial"/>
          <w:sz w:val="15"/>
          <w:szCs w:val="15"/>
          <w:i w:val="1"/>
          <w:iCs w:val="1"/>
          <w:color w:val="auto"/>
        </w:rPr>
        <w:t xml:space="preserve"> </w:t>
      </w:r>
      <w:r>
        <w:rPr>
          <w:rFonts w:ascii="Arial" w:cs="Arial" w:eastAsia="Arial" w:hAnsi="Arial"/>
          <w:sz w:val="15"/>
          <w:szCs w:val="15"/>
          <w:color w:val="auto"/>
        </w:rPr>
        <w:t>risk on $34.1 million of notes receivable and residual certificates and $89.7 million of payable to securitization note holders and residual certificate holders. As of September 30, 2020, we were exposed to credit risk on $22.1 million of notes receivable and residual certificates.</w:t>
      </w:r>
    </w:p>
    <w:p>
      <w:pPr>
        <w:spacing w:after="0" w:line="162"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The securities issued in the securitizations are senior or subordinated based on the waterfall criteria of loan payments to each security class, with the residual interest, or the residual certificates, issued being the first to absorb credit losses in accordance with the waterfall criteria. Accordingly,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00"/>
          </w:cols>
          <w:pgMar w:left="320" w:top="407" w:right="137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25% decrease in the fair value of the residual certificates. The remaining classes of securities, with the exception of those in the August 2018 securitization transaction, are all overcollateralized such that changes in credit risk rates are not expected to have significant impacts on their fair values.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As of December 31, 2019 and September 30, 2020, we are exposed to credit risk of $80.1 million and $110.6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05"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borrowers and their ability and willingness to borrow money. Higher interest rates often lead to higher payment obligations, which may reduce the ability of individual borrowers to remain current on their obligations to our bank partners and, therefore, lead to increased delinquencies, defaults, customer bankruptcies and charge-offs, and decreasing recoveries, all of which could have a material adverse effect on our business.</w:t>
      </w:r>
    </w:p>
    <w:p>
      <w:pPr>
        <w:spacing w:after="0" w:line="156" w:lineRule="exact"/>
        <w:rPr>
          <w:sz w:val="20"/>
          <w:szCs w:val="20"/>
          <w:color w:val="auto"/>
        </w:rPr>
      </w:pPr>
    </w:p>
    <w:p>
      <w:pPr>
        <w:ind w:left="1020" w:firstLine="460"/>
        <w:spacing w:after="0" w:line="243" w:lineRule="auto"/>
        <w:rPr>
          <w:sz w:val="20"/>
          <w:szCs w:val="20"/>
          <w:color w:val="auto"/>
        </w:rPr>
      </w:pPr>
      <w:r>
        <w:rPr>
          <w:rFonts w:ascii="Arial" w:cs="Arial" w:eastAsia="Arial" w:hAnsi="Arial"/>
          <w:sz w:val="15"/>
          <w:szCs w:val="15"/>
          <w:i w:val="1"/>
          <w:iCs w:val="1"/>
          <w:color w:val="auto"/>
        </w:rPr>
        <w:t>Term Loans, Warehouse Credit Facilities and Revolving Credit Facility</w:t>
      </w:r>
      <w:r>
        <w:rPr>
          <w:rFonts w:ascii="Arial" w:cs="Arial" w:eastAsia="Arial" w:hAnsi="Arial"/>
          <w:sz w:val="15"/>
          <w:szCs w:val="15"/>
          <w:color w:val="auto"/>
        </w:rPr>
        <w:t>—As of December 31, 2019 and September 30, 2020, we are</w:t>
      </w:r>
      <w:r>
        <w:rPr>
          <w:rFonts w:ascii="Arial" w:cs="Arial" w:eastAsia="Arial" w:hAnsi="Arial"/>
          <w:sz w:val="15"/>
          <w:szCs w:val="15"/>
          <w:i w:val="1"/>
          <w:iCs w:val="1"/>
          <w:color w:val="auto"/>
        </w:rPr>
        <w:t xml:space="preserve"> </w:t>
      </w:r>
      <w:r>
        <w:rPr>
          <w:rFonts w:ascii="Arial" w:cs="Arial" w:eastAsia="Arial" w:hAnsi="Arial"/>
          <w:sz w:val="15"/>
          <w:szCs w:val="15"/>
          <w:color w:val="auto"/>
        </w:rPr>
        <w:t>exposed to interest rate risk on $101.8 million and $91.3 million, respectively, under the term loans and revolving credit facility arrangements which bear floating interest rates. Changes in interest rates may impact our cost of borrowing. Future funding activities under the revolving credit facilities may increase our exposure to interest rate risk, as the interest rates payable on such funding are tied to short-term market rates. From time to time, we enter into interest rate hedges in connection with our warehouse credit facilities.</w:t>
      </w:r>
    </w:p>
    <w:p>
      <w:pPr>
        <w:spacing w:after="0" w:line="16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inability or failure to manage market risks could harm our business, financial condition or results of operations.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20"/>
          </w:cols>
          <w:pgMar w:left="320" w:top="407" w:right="13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BUSINESS</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mission is to enable effortless credit based on true risk.</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are a leading, cloud-based AI lending platform.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 Since inception, our bank partners have originated over 620,000 personal loans that have generated more than 9 million repayment events. In the nine months ended September 30, 2020, approximately 70% of Upstart-powered loans were entirely automated.</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w:t>
      </w:r>
      <w:r>
        <w:rPr>
          <w:rFonts w:ascii="Arial" w:cs="Arial" w:eastAsia="Arial" w:hAnsi="Arial"/>
          <w:sz w:val="12"/>
          <w:szCs w:val="12"/>
          <w:color w:val="auto"/>
        </w:rPr>
        <w:t>64</w:t>
      </w:r>
      <w:r>
        <w:rPr>
          <w:rFonts w:ascii="Arial" w:cs="Arial" w:eastAsia="Arial" w:hAnsi="Arial"/>
          <w:sz w:val="15"/>
          <w:szCs w:val="15"/>
          <w:color w:val="auto"/>
        </w:rPr>
        <w:t xml:space="preserv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r>
        <w:rPr>
          <w:rFonts w:ascii="Arial" w:cs="Arial" w:eastAsia="Arial" w:hAnsi="Arial"/>
          <w:sz w:val="12"/>
          <w:szCs w:val="12"/>
          <w:color w:val="auto"/>
        </w:rPr>
        <w:t>65</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first generation of online lenders focused on bringing credit online. Analogous to earlier internet pioneers, these companies made shopping for and accessing credit simpler and easier for consumers and businesses. It was no longer necessary to stand in line at a bank branch, to sit across the desk from a loan officer and to wait weeks or months for a decision. These lenders enabled the emergence of personal loan products that were previously unprofitable for banks to offer. While they brought the credit process online, they inherited the decision frameworks that banks had used for decades and did not address the more rewarding and challenging opportunity of reinventing the credit decision.</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leverage the power of AI to more accurately quantify the true risk of a loan. Our AI models have been continuously upgraded, trained and refined for more than eight years. We have discrete AI models that target fee optimization, income fraud, acquisition targeting, loan stacking, prepayment prediction, identity fraud and time-delimited default prediction. Our models incorporate more than 1,600 variables and benefit from a rapidly growing training dataset that currently contains more than 9 million repayment events. The network effects generated by our constantly improving AI models provide a significant competitive advantage—more training data leads to higher approval rates and lower interest rates at the same loss rate.</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have been able to demonstrate through several studies that AI lending works. First, in 2019 the CFPB reported that a study by Upstart of its data using a methodology specified by the CFPB showed that our AI model approves 27% more borrowers than a high-quality traditional model, with a 16% lower average APR for approved loans.</w:t>
      </w:r>
      <w:r>
        <w:rPr>
          <w:rFonts w:ascii="Arial" w:cs="Arial" w:eastAsia="Arial" w:hAnsi="Arial"/>
          <w:sz w:val="12"/>
          <w:szCs w:val="12"/>
          <w:color w:val="auto"/>
        </w:rPr>
        <w:t>66</w:t>
      </w:r>
      <w:r>
        <w:rPr>
          <w:rFonts w:ascii="Arial" w:cs="Arial" w:eastAsia="Arial" w:hAnsi="Arial"/>
          <w:sz w:val="15"/>
          <w:szCs w:val="15"/>
          <w:color w:val="auto"/>
        </w:rPr>
        <w:t xml:space="preserve"> Second, when compared to credit models from several large banks, our AI models approve approximately 2.7 times as many borrowers at the same loss rate.</w:t>
      </w:r>
      <w:r>
        <w:rPr>
          <w:rFonts w:ascii="Arial" w:cs="Arial" w:eastAsia="Arial" w:hAnsi="Arial"/>
          <w:sz w:val="12"/>
          <w:szCs w:val="12"/>
          <w:color w:val="auto"/>
        </w:rPr>
        <w:t>67</w:t>
      </w:r>
      <w:r>
        <w:rPr>
          <w:rFonts w:ascii="Arial" w:cs="Arial" w:eastAsia="Arial" w:hAnsi="Arial"/>
          <w:sz w:val="15"/>
          <w:szCs w:val="15"/>
          <w:color w:val="auto"/>
        </w:rPr>
        <w:t xml:space="preserve"> Third, for pools of securitized loans, our realized loss rates were only approximately 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8" w:lineRule="exact"/>
        <w:rPr>
          <w:sz w:val="20"/>
          <w:szCs w:val="20"/>
          <w:color w:val="auto"/>
        </w:rPr>
      </w:pPr>
    </w:p>
    <w:p>
      <w:pPr>
        <w:ind w:left="1480" w:hanging="453"/>
        <w:spacing w:after="0"/>
        <w:tabs>
          <w:tab w:leader="none" w:pos="1480" w:val="left"/>
        </w:tabs>
        <w:numPr>
          <w:ilvl w:val="0"/>
          <w:numId w:val="74"/>
        </w:numPr>
        <w:rPr>
          <w:rFonts w:ascii="Arial" w:cs="Arial" w:eastAsia="Arial" w:hAnsi="Arial"/>
          <w:sz w:val="20"/>
          <w:szCs w:val="20"/>
          <w:color w:val="auto"/>
          <w:vertAlign w:val="superscript"/>
        </w:rPr>
      </w:pPr>
      <w:r>
        <w:rPr>
          <w:rFonts w:ascii="Arial" w:cs="Arial" w:eastAsia="Arial" w:hAnsi="Arial"/>
          <w:sz w:val="12"/>
          <w:szCs w:val="12"/>
          <w:color w:val="auto"/>
        </w:rPr>
        <w:t>Kaufman; see the section titled “Industry, Market and Other Data.”</w:t>
      </w:r>
    </w:p>
    <w:p>
      <w:pPr>
        <w:ind w:left="1480" w:hanging="453"/>
        <w:spacing w:after="0" w:line="188" w:lineRule="auto"/>
        <w:tabs>
          <w:tab w:leader="none" w:pos="1480" w:val="left"/>
        </w:tabs>
        <w:numPr>
          <w:ilvl w:val="0"/>
          <w:numId w:val="74"/>
        </w:numPr>
        <w:rPr>
          <w:rFonts w:ascii="Arial" w:cs="Arial" w:eastAsia="Arial" w:hAnsi="Arial"/>
          <w:sz w:val="15"/>
          <w:szCs w:val="15"/>
          <w:color w:val="auto"/>
          <w:vertAlign w:val="superscript"/>
        </w:rPr>
      </w:pPr>
      <w:r>
        <w:rPr>
          <w:rFonts w:ascii="Arial" w:cs="Arial" w:eastAsia="Arial" w:hAnsi="Arial"/>
          <w:sz w:val="10"/>
          <w:szCs w:val="10"/>
          <w:color w:val="auto"/>
        </w:rPr>
        <w:t>Ficklin and Watkins; see the section titled “Industry, Market and Other Data.”</w:t>
      </w:r>
    </w:p>
    <w:p>
      <w:pPr>
        <w:ind w:left="1480" w:hanging="453"/>
        <w:spacing w:after="0" w:line="188" w:lineRule="auto"/>
        <w:tabs>
          <w:tab w:leader="none" w:pos="1480" w:val="left"/>
        </w:tabs>
        <w:numPr>
          <w:ilvl w:val="0"/>
          <w:numId w:val="74"/>
        </w:numPr>
        <w:rPr>
          <w:rFonts w:ascii="Arial" w:cs="Arial" w:eastAsia="Arial" w:hAnsi="Arial"/>
          <w:sz w:val="15"/>
          <w:szCs w:val="15"/>
          <w:color w:val="auto"/>
          <w:vertAlign w:val="superscript"/>
        </w:rPr>
      </w:pPr>
      <w:r>
        <w:rPr>
          <w:rFonts w:ascii="Arial" w:cs="Arial" w:eastAsia="Arial" w:hAnsi="Arial"/>
          <w:sz w:val="10"/>
          <w:szCs w:val="10"/>
          <w:color w:val="auto"/>
        </w:rPr>
        <w:t>Ficklin and Watkins; see the section titled “Industry, Market and Other Data.”</w:t>
      </w:r>
    </w:p>
    <w:p>
      <w:pPr>
        <w:ind w:left="1480" w:right="120" w:hanging="453"/>
        <w:spacing w:after="0" w:line="196" w:lineRule="auto"/>
        <w:tabs>
          <w:tab w:leader="none" w:pos="1480" w:val="left"/>
        </w:tabs>
        <w:numPr>
          <w:ilvl w:val="0"/>
          <w:numId w:val="74"/>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220"/>
          </w:cols>
          <w:pgMar w:left="320" w:top="407" w:right="135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those predicted by Kroll, a prominent credit rating agency; over that same time period, realized losses for the same pool of loans were on average only 5% different than our internal forecasts.</w:t>
      </w:r>
      <w:r>
        <w:rPr>
          <w:rFonts w:ascii="Arial" w:cs="Arial" w:eastAsia="Arial" w:hAnsi="Arial"/>
          <w:sz w:val="12"/>
          <w:szCs w:val="12"/>
          <w:color w:val="auto"/>
        </w:rPr>
        <w:t>68</w:t>
      </w:r>
      <w:r>
        <w:rPr>
          <w:rFonts w:ascii="Arial" w:cs="Arial" w:eastAsia="Arial" w:hAnsi="Arial"/>
          <w:sz w:val="15"/>
          <w:szCs w:val="15"/>
          <w:color w:val="auto"/>
        </w:rPr>
        <w:t xml:space="preserve"> And finally, we regularly monitor the accuracy of our AI models in comparison with simple credit score-based models and have observed higher model accuracy across a variety of statistical measures relating to each model’s predictive accuracy.</w:t>
      </w:r>
      <w:r>
        <w:rPr>
          <w:rFonts w:ascii="Arial" w:cs="Arial" w:eastAsia="Arial" w:hAnsi="Arial"/>
          <w:sz w:val="12"/>
          <w:szCs w:val="12"/>
          <w:color w:val="auto"/>
        </w:rPr>
        <w:t>69</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170"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Consumers can discover Upstart-powered loans in one of two ways: either via Upstart.com or through a white-labeled product on our bank partners’ own websites.</w:t>
      </w:r>
    </w:p>
    <w:p>
      <w:pPr>
        <w:spacing w:after="0" w:line="166"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Loans issued through our platform can be retained by our originating bank partners, distributed to our broad base of approximately 100 institutional investors and buyers that invest in Upstart-powered loans or funded by Upstart’s balance sheet. In the third quarter of 2020, 22% of the loans funded through our platform were retained by the originating bank and 76% of loans were purchased by institutional investors through our loan funding programs. Our institutional investors and buyers that participate in our loan funding programs, which include Goldman Sachs, PIMCO and funds managed by Morgan Stanley Investment Management, invest in Upstart-powered loans through whole loan purchases, purchases of pass-through certificates and investments in asset-backed securitizations. We enter into nonexclusive agreements with our whole loan purchasers and each of the grantor trust entities in our asset-backed securitizations, or ABS, under which our ABS investors benefit from our loan servicing capabilities.</w:t>
      </w:r>
      <w:r>
        <w:rPr>
          <w:rFonts w:ascii="Arial" w:cs="Arial" w:eastAsia="Arial" w:hAnsi="Arial"/>
          <w:sz w:val="12"/>
          <w:szCs w:val="12"/>
          <w:color w:val="auto"/>
        </w:rPr>
        <w:t>70</w:t>
      </w:r>
      <w:r>
        <w:rPr>
          <w:rFonts w:ascii="Arial" w:cs="Arial" w:eastAsia="Arial" w:hAnsi="Arial"/>
          <w:sz w:val="15"/>
          <w:szCs w:val="15"/>
          <w:color w:val="auto"/>
        </w:rPr>
        <w:t xml:space="preserve"> The remaining 2% of loans funded through our platform in the third quarter of 2020 were funded through our balance sheet.</w:t>
      </w:r>
    </w:p>
    <w:p>
      <w:pPr>
        <w:spacing w:after="0" w:line="17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Our revenue is primarily comprised of fees paid by banks. We charge banks referral fees for each loan referred through Upstart.com and originated by a bank partner, platform fees for each loan originated (regardless of its source) and loan servicing fees as consumers repay their loans. Our agreements with our bank partners are nonexclusive, generally have 12-month terms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40" w:hanging="453"/>
        <w:spacing w:after="0" w:line="211" w:lineRule="auto"/>
        <w:tabs>
          <w:tab w:leader="none" w:pos="1480" w:val="left"/>
        </w:tabs>
        <w:numPr>
          <w:ilvl w:val="0"/>
          <w:numId w:val="75"/>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compared the actual realized loss rates of Upstart loans securitized in five securitization transactions between June 2017 and September 2019 and the loss rate predictions for those loans obtained from KBRA Surveillance Reports published by Kroll Bond Rating Agency in December 2019. As compared to Kroll’s loss predictions, actual realized losses were approximately 31% to 71% lower, with an average deviation across all five securitization transactions of -48%. As compared to our internal forecasts, actual realized losses ranged from approximately 35% higher (for the earliest securitization transaction) to approximately 17% lower (for the most recent securitization transaction), with an average absolute deviation across all of five securitization transactions of approximately 13%.</w:t>
      </w:r>
    </w:p>
    <w:p>
      <w:pPr>
        <w:spacing w:after="0" w:line="2" w:lineRule="exact"/>
        <w:rPr>
          <w:rFonts w:ascii="Arial" w:cs="Arial" w:eastAsia="Arial" w:hAnsi="Arial"/>
          <w:sz w:val="20"/>
          <w:szCs w:val="20"/>
          <w:color w:val="auto"/>
          <w:vertAlign w:val="superscript"/>
        </w:rPr>
      </w:pPr>
    </w:p>
    <w:p>
      <w:pPr>
        <w:ind w:left="1480" w:hanging="453"/>
        <w:spacing w:after="0" w:line="214" w:lineRule="auto"/>
        <w:tabs>
          <w:tab w:leader="none" w:pos="1480" w:val="left"/>
        </w:tabs>
        <w:numPr>
          <w:ilvl w:val="0"/>
          <w:numId w:val="75"/>
        </w:numPr>
        <w:rPr>
          <w:rFonts w:ascii="Arial" w:cs="Arial" w:eastAsia="Arial" w:hAnsi="Arial"/>
          <w:sz w:val="20"/>
          <w:szCs w:val="20"/>
          <w:color w:val="auto"/>
          <w:vertAlign w:val="superscript"/>
        </w:rPr>
      </w:pPr>
      <w:r>
        <w:rPr>
          <w:rFonts w:ascii="Arial" w:cs="Arial" w:eastAsia="Arial" w:hAnsi="Arial"/>
          <w:sz w:val="12"/>
          <w:szCs w:val="12"/>
          <w:color w:val="auto"/>
        </w:rPr>
        <w:t>Upstart compares on a monthly basis its AI models to (i) a FICO-only model and (ii) a “FICO+” model, which considers loan amount, debt-to-income ratio, monthly income, number of inquiries and number of trade accounts in addition to FICO score, which we believe is representative of the model many of our sophisticated competitors would use. To conduct a comparison of the Upstart AI models to the models described in (i) and (ii), we run applicant information through the Upstart AI models, the FICO-only model, and FICO+ model, comparing performance by analyzing five commonly-used statistical metrics, each of which measures the deviation between predicted losses and actual losses for each model. These metrics include: the root mean square error of net present value of losses, normalized logistic loss, ratio of the gini coefficients of predicted to observed rankings, the area under the receiver operating characteristics curve, and the Kolmogorov-Smirnov statistic.</w:t>
      </w:r>
    </w:p>
    <w:p>
      <w:pPr>
        <w:spacing w:after="0" w:line="3" w:lineRule="exact"/>
        <w:rPr>
          <w:rFonts w:ascii="Arial" w:cs="Arial" w:eastAsia="Arial" w:hAnsi="Arial"/>
          <w:sz w:val="20"/>
          <w:szCs w:val="20"/>
          <w:color w:val="auto"/>
          <w:vertAlign w:val="superscript"/>
        </w:rPr>
      </w:pPr>
    </w:p>
    <w:p>
      <w:pPr>
        <w:ind w:left="1480" w:right="80" w:hanging="453"/>
        <w:spacing w:after="0" w:line="205" w:lineRule="auto"/>
        <w:tabs>
          <w:tab w:leader="none" w:pos="1480" w:val="left"/>
        </w:tabs>
        <w:numPr>
          <w:ilvl w:val="0"/>
          <w:numId w:val="75"/>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Operations—Liquidity and Capital Resources—Term loans and revolving loan facilities” and Note 7 to our consolidated financial statements for more information about our loan funding programs, including the role of our warehouse credit facilities and special purpose entities. See “Note 3. Securitizations and Variable Interest Entities” to our consolidated financial statements for additional information regarding transactions with our VIEs.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20"/>
          </w:cols>
          <w:pgMar w:left="320" w:top="407" w:right="135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automatically renew, subject to certain early termination provisions and minimum fee amounts, and do not include any minimum origination obligation or origination limits. As a usage-based platform, we target positive unit economics on each transaction, resulting in a cash efficient business model that features both high growth rates and profitability. As of September 30, 2020, we had 10 bank partners. In the nine months ended September 30, 2020, Cross River Bank originated 72% of the loans facilitated on our platform and fees received from Cross River Bank accounted for 65% of our total revenue.</w:t>
      </w:r>
      <w:r>
        <w:rPr>
          <w:rFonts w:ascii="Arial" w:cs="Arial" w:eastAsia="Arial" w:hAnsi="Arial"/>
          <w:sz w:val="12"/>
          <w:szCs w:val="12"/>
          <w:color w:val="auto"/>
        </w:rPr>
        <w:t>71</w:t>
      </w:r>
      <w:r>
        <w:rPr>
          <w:rFonts w:ascii="Arial" w:cs="Arial" w:eastAsia="Arial" w:hAnsi="Arial"/>
          <w:sz w:val="15"/>
          <w:szCs w:val="15"/>
          <w:color w:val="auto"/>
        </w:rPr>
        <w:t xml:space="preserve"> Our current agreement with Cross River Bank began on January 1, 2019 and has an initial four year term, with a renewal term for an additional two years following the initial four year term.</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have achieved rapid growth while improving our margin profile in recent years. The number of loans facilitated on our platform increased by 88% from 114,125 in 2018 to 215,122 in 2019, and 30% from 136,468 in the nine months ended September 30, 2019 to 176,983 over the same period in 2020. Our revenue for the nine months ended September 30, 2019 and 2020 was $101.6 million and $146.7 million, respectively, representing an increase of 44%. For the nine months ended September 30, 2019 and 2020, our net income (loss) was $(6.5) million and $5.0 million, respectively.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Industry Overview</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Affordable Credit is Critical to Unlocking Upward Mobility and Opportunity</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With $3.6 trillion of consumer credit originated between April 2019 and March 2020,</w:t>
      </w:r>
      <w:r>
        <w:rPr>
          <w:rFonts w:ascii="Arial" w:cs="Arial" w:eastAsia="Arial" w:hAnsi="Arial"/>
          <w:sz w:val="12"/>
          <w:szCs w:val="12"/>
          <w:color w:val="auto"/>
        </w:rPr>
        <w:t>72</w:t>
      </w:r>
      <w:r>
        <w:rPr>
          <w:rFonts w:ascii="Arial" w:cs="Arial" w:eastAsia="Arial" w:hAnsi="Arial"/>
          <w:sz w:val="15"/>
          <w:szCs w:val="15"/>
          <w:color w:val="auto"/>
        </w:rPr>
        <w:t xml:space="preserve"> credit is a cornerstone of the U.S. economy. Access to affordable credit is central to unlocking upward mobility and opportunity. Reducing the price of borrowing for consumers has the potential to dramatically improve the quality of life for millions of people. Studies have demonstrated a strong statistical link among access to affordable credit, personal well-being and income growth.</w:t>
      </w:r>
      <w:r>
        <w:rPr>
          <w:rFonts w:ascii="Arial" w:cs="Arial" w:eastAsia="Arial" w:hAnsi="Arial"/>
          <w:sz w:val="12"/>
          <w:szCs w:val="12"/>
          <w:color w:val="auto"/>
        </w:rPr>
        <w:t>73</w:t>
      </w:r>
      <w:r>
        <w:rPr>
          <w:rFonts w:ascii="Arial" w:cs="Arial" w:eastAsia="Arial" w:hAnsi="Arial"/>
          <w:sz w:val="15"/>
          <w:szCs w:val="15"/>
          <w:color w:val="auto"/>
        </w:rPr>
        <w:t xml:space="preserve"> The average American has approximately $29,800 in personal debt.</w:t>
      </w:r>
      <w:r>
        <w:rPr>
          <w:rFonts w:ascii="Arial" w:cs="Arial" w:eastAsia="Arial" w:hAnsi="Arial"/>
          <w:sz w:val="12"/>
          <w:szCs w:val="12"/>
          <w:color w:val="auto"/>
        </w:rPr>
        <w:t>74</w:t>
      </w:r>
      <w:r>
        <w:rPr>
          <w:rFonts w:ascii="Arial" w:cs="Arial" w:eastAsia="Arial" w:hAnsi="Arial"/>
          <w:sz w:val="15"/>
          <w:szCs w:val="15"/>
          <w:color w:val="auto"/>
        </w:rPr>
        <w:t xml:space="preserve"> While access to affordable credit has allowed Americans to purchase and improve their homes, buy cars, pay for college tuition and cover emergency expenses, high interest rates can negatively impact a consumer’s financial health. The U.S. Federal Reserve reports that on average, 10% of household disposable personal income is spent on debt repayment.</w:t>
      </w:r>
      <w:r>
        <w:rPr>
          <w:rFonts w:ascii="Arial" w:cs="Arial" w:eastAsia="Arial" w:hAnsi="Arial"/>
          <w:sz w:val="12"/>
          <w:szCs w:val="12"/>
          <w:color w:val="auto"/>
        </w:rPr>
        <w:t>75</w:t>
      </w:r>
      <w:r>
        <w:rPr>
          <w:rFonts w:ascii="Arial" w:cs="Arial" w:eastAsia="Arial" w:hAnsi="Arial"/>
          <w:sz w:val="15"/>
          <w:szCs w:val="15"/>
          <w:color w:val="auto"/>
        </w:rPr>
        <w:t xml:space="preserve"> In addition, 16% of Americans spend 50% to 100% of their monthly income repaying debt.</w:t>
      </w:r>
      <w:r>
        <w:rPr>
          <w:rFonts w:ascii="Arial" w:cs="Arial" w:eastAsia="Arial" w:hAnsi="Arial"/>
          <w:sz w:val="12"/>
          <w:szCs w:val="12"/>
          <w:color w:val="auto"/>
        </w:rPr>
        <w:t>76</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Affordable Credit Is Inaccessible for Millions because Existing Systems Fail to Accurately Quantify Risk</w:t>
      </w:r>
    </w:p>
    <w:p>
      <w:pPr>
        <w:spacing w:after="0" w:line="10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FICO score was invented in 1989 and has not fundamentally changed since that time.</w:t>
      </w:r>
      <w:r>
        <w:rPr>
          <w:rFonts w:ascii="Arial" w:cs="Arial" w:eastAsia="Arial" w:hAnsi="Arial"/>
          <w:sz w:val="12"/>
          <w:szCs w:val="12"/>
          <w:color w:val="auto"/>
        </w:rPr>
        <w:t>77</w:t>
      </w:r>
      <w:r>
        <w:rPr>
          <w:rFonts w:ascii="Arial" w:cs="Arial" w:eastAsia="Arial" w:hAnsi="Arial"/>
          <w:sz w:val="15"/>
          <w:szCs w:val="15"/>
          <w:color w:val="auto"/>
        </w:rPr>
        <w:t xml:space="preserve"> The FICO score is used by over 90% of lenders to determine who is approved for credit and at what interest rate.</w:t>
      </w:r>
      <w:r>
        <w:rPr>
          <w:rFonts w:ascii="Arial" w:cs="Arial" w:eastAsia="Arial" w:hAnsi="Arial"/>
          <w:sz w:val="12"/>
          <w:szCs w:val="12"/>
          <w:color w:val="auto"/>
        </w:rPr>
        <w:t>78</w:t>
      </w:r>
      <w:r>
        <w:rPr>
          <w:rFonts w:ascii="Arial" w:cs="Arial" w:eastAsia="Arial" w:hAnsi="Arial"/>
          <w:sz w:val="15"/>
          <w:szCs w:val="15"/>
          <w:color w:val="auto"/>
        </w:rPr>
        <w:t xml:space="preserve"> While FICO is rarely used in isolation, many credit models are simple rules-based systems. A leading expert found that bank credit models commonly incorporate eight to 15 variables, with the more sophisticated models using as many as 30.</w:t>
      </w:r>
      <w:r>
        <w:rPr>
          <w:rFonts w:ascii="Arial" w:cs="Arial" w:eastAsia="Arial" w:hAnsi="Arial"/>
          <w:sz w:val="12"/>
          <w:szCs w:val="12"/>
          <w:color w:val="auto"/>
        </w:rPr>
        <w:t>79</w:t>
      </w:r>
      <w:r>
        <w:rPr>
          <w:rFonts w:ascii="Arial" w:cs="Arial" w:eastAsia="Arial" w:hAnsi="Arial"/>
          <w:sz w:val="15"/>
          <w:szCs w:val="15"/>
          <w:color w:val="auto"/>
        </w:rPr>
        <w:t xml:space="preserve"> Unsurprisingly, the world is more complicated than can be represented by these models, so they are limited in their ability to reliably estimate the probability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66675</wp:posOffset>
            </wp:positionV>
            <wp:extent cx="64389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0" w:lineRule="exact"/>
        <w:rPr>
          <w:sz w:val="20"/>
          <w:szCs w:val="20"/>
          <w:color w:val="auto"/>
        </w:rPr>
      </w:pPr>
    </w:p>
    <w:p>
      <w:pPr>
        <w:ind w:left="1480" w:hanging="453"/>
        <w:spacing w:after="0"/>
        <w:tabs>
          <w:tab w:leader="none" w:pos="1480" w:val="left"/>
        </w:tabs>
        <w:numPr>
          <w:ilvl w:val="0"/>
          <w:numId w:val="76"/>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“—Bank Partnerships” for more information about our arrangements with CRB and other bank partners.</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Wysen;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Federal Reserve Household Debt;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6"/>
          <w:szCs w:val="16"/>
          <w:color w:val="auto"/>
          <w:vertAlign w:val="superscript"/>
        </w:rPr>
      </w:pPr>
      <w:r>
        <w:rPr>
          <w:rFonts w:ascii="Arial" w:cs="Arial" w:eastAsia="Arial" w:hAnsi="Arial"/>
          <w:sz w:val="10"/>
          <w:szCs w:val="10"/>
          <w:color w:val="auto"/>
        </w:rPr>
        <w:t>Siddiqi;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220"/>
          </w:cols>
          <w:pgMar w:left="320" w:top="407" w:right="135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Many borrowers suffer from the effects of inaccurate credit models. Many are approved for a loan that they ultimately will be unable to repay, negatively impacting both the consumer and the lender. Many others may be declined for a loan that they could have successfully repaid if given the opportunity—again doing harm to both consumer and lender. According to an Upstart retrospective study completed in December 2019, four out of five Americans who have taken out a loan have never defaulted, yet less than half of Americans have access to prime credit.</w:t>
      </w:r>
      <w:r>
        <w:rPr>
          <w:rFonts w:ascii="Arial" w:cs="Arial" w:eastAsia="Arial" w:hAnsi="Arial"/>
          <w:sz w:val="12"/>
          <w:szCs w:val="12"/>
          <w:color w:val="auto"/>
        </w:rPr>
        <w:t>80</w:t>
      </w:r>
      <w:r>
        <w:rPr>
          <w:rFonts w:ascii="Arial" w:cs="Arial" w:eastAsia="Arial" w:hAnsi="Arial"/>
          <w:sz w:val="15"/>
          <w:szCs w:val="15"/>
          <w:color w:val="auto"/>
        </w:rPr>
        <w:t xml:space="preserve"> Even consumers with high credit scores tend to pay too much for loans because the rates they pay effectively subsidize the losses from borrowers who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124460</wp:posOffset>
            </wp:positionV>
            <wp:extent cx="2597150" cy="13735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97150" cy="137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Banks Will Continue to be at the Forefront of Consumer Lending</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Banks have been at the forefront of consumer lending in the U.S. for more than a century. They benefit from long-term structural advantages, including a low cost of funding, a unique regulatory framework, and high levels of consumer trust. Through large and reliable deposit bases, banks are able to maintain a very low cost of funds—approximately 1% on average.</w:t>
      </w:r>
      <w:r>
        <w:rPr>
          <w:rFonts w:ascii="Arial" w:cs="Arial" w:eastAsia="Arial" w:hAnsi="Arial"/>
          <w:sz w:val="12"/>
          <w:szCs w:val="12"/>
          <w:color w:val="auto"/>
        </w:rPr>
        <w:t>81</w:t>
      </w:r>
      <w:r>
        <w:rPr>
          <w:rFonts w:ascii="Arial" w:cs="Arial" w:eastAsia="Arial" w:hAnsi="Arial"/>
          <w:sz w:val="15"/>
          <w:szCs w:val="15"/>
          <w:color w:val="auto"/>
        </w:rPr>
        <w:t xml:space="preserve"> These cost savings are passed through to borrowers in the form of lower interest rates, a significant competitive advantage over non-depository lending institutions. Banks also benefit from a regulatory framework that allows them to create nation-wide lending programs that are largely uniform. Given these advantages, we believe that a partnership-based bank enablement approach will be more successful than a disruption strategy.</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Banks Must Undergo a Digital Transformation to Remain Competitive</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largest four U.S. banks spend an estimated $38 billion on technology and innovation annually.</w:t>
      </w:r>
      <w:r>
        <w:rPr>
          <w:rFonts w:ascii="Arial" w:cs="Arial" w:eastAsia="Arial" w:hAnsi="Arial"/>
          <w:sz w:val="12"/>
          <w:szCs w:val="12"/>
          <w:color w:val="auto"/>
        </w:rPr>
        <w:t>82</w:t>
      </w:r>
      <w:r>
        <w:rPr>
          <w:rFonts w:ascii="Arial" w:cs="Arial" w:eastAsia="Arial" w:hAnsi="Arial"/>
          <w:sz w:val="15"/>
          <w:szCs w:val="15"/>
          <w:color w:val="auto"/>
        </w:rPr>
        <w:t xml:space="preserve"> These four banks may attempt to build AI lending models over time, once general market acceptance has been achieved. However, outside the largest four banks, there are approximately 5,200 FDIC insured institutions</w:t>
      </w:r>
      <w:r>
        <w:rPr>
          <w:rFonts w:ascii="Arial" w:cs="Arial" w:eastAsia="Arial" w:hAnsi="Arial"/>
          <w:sz w:val="12"/>
          <w:szCs w:val="12"/>
          <w:color w:val="auto"/>
        </w:rPr>
        <w:t>83</w:t>
      </w:r>
      <w:r>
        <w:rPr>
          <w:rFonts w:ascii="Arial" w:cs="Arial" w:eastAsia="Arial" w:hAnsi="Arial"/>
          <w:sz w:val="15"/>
          <w:szCs w:val="15"/>
          <w:color w:val="auto"/>
        </w:rPr>
        <w:t xml:space="preserve"> that are at risk of falling behind. Despite holding over $8 trillion in deposits,</w:t>
      </w:r>
      <w:r>
        <w:rPr>
          <w:rFonts w:ascii="Arial" w:cs="Arial" w:eastAsia="Arial" w:hAnsi="Arial"/>
          <w:sz w:val="12"/>
          <w:szCs w:val="12"/>
          <w:color w:val="auto"/>
        </w:rPr>
        <w:t>84</w:t>
      </w:r>
      <w:r>
        <w:rPr>
          <w:rFonts w:ascii="Arial" w:cs="Arial" w:eastAsia="Arial" w:hAnsi="Arial"/>
          <w:sz w:val="15"/>
          <w:szCs w:val="15"/>
          <w:color w:val="auto"/>
        </w:rPr>
        <w:t xml:space="preserve"> we believe these banks, particularly small to medium-sized banks, have outdated technology and lack the technical resources of larger banks to fund the digitization process.</w:t>
      </w:r>
    </w:p>
    <w:p>
      <w:pPr>
        <w:spacing w:after="0" w:line="170" w:lineRule="exact"/>
        <w:rPr>
          <w:sz w:val="20"/>
          <w:szCs w:val="20"/>
          <w:color w:val="auto"/>
        </w:rPr>
      </w:pPr>
    </w:p>
    <w:p>
      <w:pPr>
        <w:ind w:left="1020" w:right="320" w:firstLine="460"/>
        <w:spacing w:after="0" w:line="248" w:lineRule="auto"/>
        <w:rPr>
          <w:sz w:val="20"/>
          <w:szCs w:val="20"/>
          <w:color w:val="auto"/>
        </w:rPr>
      </w:pPr>
      <w:r>
        <w:rPr>
          <w:rFonts w:ascii="Arial" w:cs="Arial" w:eastAsia="Arial" w:hAnsi="Arial"/>
          <w:sz w:val="15"/>
          <w:szCs w:val="15"/>
          <w:color w:val="auto"/>
        </w:rPr>
        <w:t>At the same time, consumers are increasingly seeking digital, personalized and automated experiences.</w:t>
      </w:r>
      <w:r>
        <w:rPr>
          <w:rFonts w:ascii="Arial" w:cs="Arial" w:eastAsia="Arial" w:hAnsi="Arial"/>
          <w:sz w:val="12"/>
          <w:szCs w:val="12"/>
          <w:color w:val="auto"/>
        </w:rPr>
        <w:t>85</w:t>
      </w:r>
      <w:r>
        <w:rPr>
          <w:rFonts w:ascii="Arial" w:cs="Arial" w:eastAsia="Arial" w:hAnsi="Arial"/>
          <w:sz w:val="15"/>
          <w:szCs w:val="15"/>
          <w:color w:val="auto"/>
        </w:rPr>
        <w:t xml:space="preserve"> A 2017 Bain survey found that approximately 50% of the U.S. population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61595</wp:posOffset>
            </wp:positionV>
            <wp:extent cx="64389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1" w:lineRule="exact"/>
        <w:rPr>
          <w:sz w:val="20"/>
          <w:szCs w:val="20"/>
          <w:color w:val="auto"/>
        </w:rPr>
      </w:pPr>
    </w:p>
    <w:p>
      <w:pPr>
        <w:ind w:left="1480" w:hanging="453"/>
        <w:spacing w:after="0"/>
        <w:tabs>
          <w:tab w:leader="none" w:pos="1480" w:val="left"/>
        </w:tabs>
        <w:numPr>
          <w:ilvl w:val="0"/>
          <w:numId w:val="77"/>
        </w:numPr>
        <w:rPr>
          <w:rFonts w:ascii="Arial" w:cs="Arial" w:eastAsia="Arial" w:hAnsi="Arial"/>
          <w:sz w:val="20"/>
          <w:szCs w:val="20"/>
          <w:color w:val="auto"/>
          <w:vertAlign w:val="superscript"/>
        </w:rPr>
      </w:pPr>
      <w:r>
        <w:rPr>
          <w:rFonts w:ascii="Arial" w:cs="Arial" w:eastAsia="Arial" w:hAnsi="Arial"/>
          <w:sz w:val="12"/>
          <w:szCs w:val="12"/>
          <w:color w:val="auto"/>
        </w:rPr>
        <w:t>The study defined access to prime credit as individuals with credit reports with VantageScores of 720 or above.</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Federal Home Loan Bank of San Francisco;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Garcia;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FDIC; see the section titled “Industry, Market and Other Data.”</w:t>
      </w:r>
    </w:p>
    <w:p>
      <w:pPr>
        <w:ind w:left="1480" w:right="160" w:hanging="453"/>
        <w:spacing w:after="0" w:line="182" w:lineRule="auto"/>
        <w:tabs>
          <w:tab w:leader="none" w:pos="148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The dollar amount of deposits held by banks, other than the four largest banks, was aggregated by Upstart using data provided by the FDIC;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6"/>
          <w:szCs w:val="16"/>
          <w:color w:val="auto"/>
          <w:vertAlign w:val="superscript"/>
        </w:rPr>
      </w:pPr>
      <w:r>
        <w:rPr>
          <w:rFonts w:ascii="Arial" w:cs="Arial" w:eastAsia="Arial" w:hAnsi="Arial"/>
          <w:sz w:val="10"/>
          <w:szCs w:val="10"/>
          <w:color w:val="auto"/>
        </w:rPr>
        <w:t>Bain, PwC and RedPoint Global;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00"/>
          </w:cols>
          <w:pgMar w:left="320" w:top="407" w:right="137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1020" w:right="420"/>
        <w:spacing w:after="0" w:line="248" w:lineRule="auto"/>
        <w:rPr>
          <w:sz w:val="20"/>
          <w:szCs w:val="20"/>
          <w:color w:val="auto"/>
        </w:rPr>
      </w:pPr>
      <w:r>
        <w:rPr>
          <w:rFonts w:ascii="Arial" w:cs="Arial" w:eastAsia="Arial" w:hAnsi="Arial"/>
          <w:sz w:val="15"/>
          <w:szCs w:val="15"/>
          <w:color w:val="auto"/>
        </w:rPr>
        <w:t>comfortable buying financial products from technology companies.</w:t>
      </w:r>
      <w:r>
        <w:rPr>
          <w:rFonts w:ascii="Arial" w:cs="Arial" w:eastAsia="Arial" w:hAnsi="Arial"/>
          <w:sz w:val="12"/>
          <w:szCs w:val="12"/>
          <w:color w:val="auto"/>
        </w:rPr>
        <w:t>86</w:t>
      </w:r>
      <w:r>
        <w:rPr>
          <w:rFonts w:ascii="Arial" w:cs="Arial" w:eastAsia="Arial" w:hAnsi="Arial"/>
          <w:sz w:val="15"/>
          <w:szCs w:val="15"/>
          <w:color w:val="auto"/>
        </w:rPr>
        <w:t xml:space="preserve"> We believe that as consumers, both young and old, move their financial lives online, small and medium-sized banks will be increasingly ill-equipped to serve them.</w:t>
      </w:r>
    </w:p>
    <w:p>
      <w:pPr>
        <w:spacing w:after="0" w:line="164"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believe that these trends have been accelerated by the COVID-19 pandemic, as the lack of access to physical bank branches has increased the banking industry’s focus on digital capabilities. The performance of our platform through this crisis has also given existing and prospective bank partners an important new data point to underpin their growing confidence in our solution.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Increasing Recognition from Regulators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Many regulators including the FDIC, the OCC, the Federal Reserve and the CFPB increasingly recognize the opportunity to modernize techniques used in lending.</w:t>
      </w:r>
      <w:r>
        <w:rPr>
          <w:rFonts w:ascii="Arial" w:cs="Arial" w:eastAsia="Arial" w:hAnsi="Arial"/>
          <w:sz w:val="12"/>
          <w:szCs w:val="12"/>
          <w:color w:val="auto"/>
        </w:rPr>
        <w:t>87</w:t>
      </w:r>
      <w:r>
        <w:rPr>
          <w:rFonts w:ascii="Arial" w:cs="Arial" w:eastAsia="Arial" w:hAnsi="Arial"/>
          <w:sz w:val="15"/>
          <w:szCs w:val="15"/>
          <w:color w:val="auto"/>
        </w:rPr>
        <w:t xml:space="preserve"> In December 2019, these agencies issued an inter-agency report in support of the use of alternative data in lending decisions.</w:t>
      </w:r>
      <w:r>
        <w:rPr>
          <w:rFonts w:ascii="Arial" w:cs="Arial" w:eastAsia="Arial" w:hAnsi="Arial"/>
          <w:sz w:val="12"/>
          <w:szCs w:val="12"/>
          <w:color w:val="auto"/>
        </w:rPr>
        <w:t>88</w:t>
      </w:r>
      <w:r>
        <w:rPr>
          <w:rFonts w:ascii="Arial" w:cs="Arial" w:eastAsia="Arial" w:hAnsi="Arial"/>
          <w:sz w:val="15"/>
          <w:szCs w:val="15"/>
          <w:color w:val="auto"/>
        </w:rPr>
        <w:t xml:space="preserve"> Additionally, in November 2019, the CFPB director noted that despite external uncertainty regarding how AI will fit into regulatory frameworks, the CFPB is focused on ensuring a path to regulatory clarity because it recognizes the value AI lending products can offer consumers.</w:t>
      </w:r>
      <w:r>
        <w:rPr>
          <w:rFonts w:ascii="Arial" w:cs="Arial" w:eastAsia="Arial" w:hAnsi="Arial"/>
          <w:sz w:val="12"/>
          <w:szCs w:val="12"/>
          <w:color w:val="auto"/>
        </w:rPr>
        <w:t>89</w:t>
      </w:r>
      <w:r>
        <w:rPr>
          <w:rFonts w:ascii="Arial" w:cs="Arial" w:eastAsia="Arial" w:hAnsi="Arial"/>
          <w:sz w:val="15"/>
          <w:szCs w:val="15"/>
          <w:color w:val="auto"/>
        </w:rPr>
        <w:t xml:space="preserve"> In fact, in 2017, in response to a request by Upstart, the CFPB issued Upstart the first no-action letter, which provides that the CFPB has no present intention to recommend enforcement action with regard to the application of the Equal Credit Opportunity Act against Upstart for its use of alternative variables and AI and machine learning in credit decision-making.</w:t>
      </w:r>
      <w:r>
        <w:rPr>
          <w:rFonts w:ascii="Arial" w:cs="Arial" w:eastAsia="Arial" w:hAnsi="Arial"/>
          <w:sz w:val="12"/>
          <w:szCs w:val="12"/>
          <w:color w:val="auto"/>
        </w:rPr>
        <w:t>90</w:t>
      </w:r>
      <w:r>
        <w:rPr>
          <w:rFonts w:ascii="Arial" w:cs="Arial" w:eastAsia="Arial" w:hAnsi="Arial"/>
          <w:sz w:val="15"/>
          <w:szCs w:val="15"/>
          <w:color w:val="auto"/>
        </w:rPr>
        <w:t xml:space="preserve"> This no-action letter expired on December 1, 2020. On November 30, 2020, the CFPB issued a new no-action letter to Upstart under the CFPB’s revised 2018 policy on no-action letters. This new no-action letter, which will expire on November 30, 2023, covers the use of our AI model to underwrite and price unsecured closed-end loans, and is conditional on our implementation of a Model Risk Assessment Plan that was developed with the CFPB.</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The AI Opportunity</w:t>
      </w:r>
    </w:p>
    <w:p>
      <w:pPr>
        <w:spacing w:after="0" w:line="193" w:lineRule="exact"/>
        <w:rPr>
          <w:sz w:val="20"/>
          <w:szCs w:val="20"/>
          <w:color w:val="auto"/>
        </w:rPr>
      </w:pPr>
    </w:p>
    <w:p>
      <w:pPr>
        <w:ind w:left="1020" w:right="100" w:firstLine="460"/>
        <w:spacing w:after="0" w:line="241" w:lineRule="auto"/>
        <w:rPr>
          <w:sz w:val="20"/>
          <w:szCs w:val="20"/>
          <w:color w:val="auto"/>
        </w:rPr>
      </w:pPr>
      <w:r>
        <w:rPr>
          <w:rFonts w:ascii="Arial" w:cs="Arial" w:eastAsia="Arial" w:hAnsi="Arial"/>
          <w:sz w:val="15"/>
          <w:szCs w:val="15"/>
          <w:color w:val="auto"/>
        </w:rPr>
        <w:t>AI has the potential to add $13 trillion to the current global economic output by 2030, a 16% increase over today’s output.</w:t>
      </w:r>
      <w:r>
        <w:rPr>
          <w:rFonts w:ascii="Arial" w:cs="Arial" w:eastAsia="Arial" w:hAnsi="Arial"/>
          <w:sz w:val="12"/>
          <w:szCs w:val="12"/>
          <w:color w:val="auto"/>
        </w:rPr>
        <w:t>91</w:t>
      </w:r>
      <w:r>
        <w:rPr>
          <w:rFonts w:ascii="Arial" w:cs="Arial" w:eastAsia="Arial" w:hAnsi="Arial"/>
          <w:sz w:val="15"/>
          <w:szCs w:val="15"/>
          <w:color w:val="auto"/>
        </w:rPr>
        <w:t xml:space="preserve"> According to the McKinsey Global Institute, AI will be slowly adopted in its early stages, followed by steep acceleration as the technology matures and companies learn how to best deploy it.</w:t>
      </w:r>
      <w:r>
        <w:rPr>
          <w:rFonts w:ascii="Arial" w:cs="Arial" w:eastAsia="Arial" w:hAnsi="Arial"/>
          <w:sz w:val="12"/>
          <w:szCs w:val="12"/>
          <w:color w:val="auto"/>
        </w:rPr>
        <w:t>92</w:t>
      </w:r>
      <w:r>
        <w:rPr>
          <w:rFonts w:ascii="Arial" w:cs="Arial" w:eastAsia="Arial" w:hAnsi="Arial"/>
          <w:sz w:val="15"/>
          <w:szCs w:val="15"/>
          <w:color w:val="auto"/>
        </w:rPr>
        <w:t xml:space="preserve"> We believe the lending industry will follow this path.</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Lending is a compelling application for AI. First, it involves sophisticated decisioning for events that occur millions of times each day. Second, there is an almost unlimited supply of data that has the potential to be predictive and improve the accuracy of credit decisions. Third, given the costs and risks associated with lending, the economic wins from AI are dramatic for both banks and consumers. This means that the significant investment required to overcome the technical and regulatory hurdles is well worth the effort.</w:t>
      </w:r>
    </w:p>
    <w:p>
      <w:pPr>
        <w:spacing w:after="0" w:line="172"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With our eight-year head start, our AI lending platform is well-positioned to power a significant portion of the U.S. credit market. To date, we have focused on the unsecured personal loan market, one of the fastest-growing segment of consumer credit.</w:t>
      </w:r>
      <w:r>
        <w:rPr>
          <w:rFonts w:ascii="Arial" w:cs="Arial" w:eastAsia="Arial" w:hAnsi="Arial"/>
          <w:sz w:val="12"/>
          <w:szCs w:val="12"/>
          <w:color w:val="auto"/>
        </w:rPr>
        <w:t>93</w:t>
      </w:r>
      <w:r>
        <w:rPr>
          <w:rFonts w:ascii="Arial" w:cs="Arial" w:eastAsia="Arial" w:hAnsi="Arial"/>
          <w:sz w:val="15"/>
          <w:szCs w:val="15"/>
          <w:color w:val="auto"/>
        </w:rPr>
        <w:t xml:space="preserve"> From April 2019 to March 2020, there were $118 billion</w:t>
      </w:r>
      <w:r>
        <w:rPr>
          <w:rFonts w:ascii="Arial" w:cs="Arial" w:eastAsia="Arial" w:hAnsi="Arial"/>
          <w:sz w:val="12"/>
          <w:szCs w:val="12"/>
          <w:color w:val="auto"/>
        </w:rPr>
        <w:t>94</w:t>
      </w:r>
      <w:r>
        <w:rPr>
          <w:rFonts w:ascii="Arial" w:cs="Arial" w:eastAsia="Arial" w:hAnsi="Arial"/>
          <w:sz w:val="15"/>
          <w:szCs w:val="15"/>
          <w:color w:val="auto"/>
        </w:rPr>
        <w:t xml:space="preserve"> in U.S. unsecured personal loan originations, representing 8% growth over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78"/>
        </w:numPr>
        <w:rPr>
          <w:rFonts w:ascii="Arial" w:cs="Arial" w:eastAsia="Arial" w:hAnsi="Arial"/>
          <w:sz w:val="20"/>
          <w:szCs w:val="20"/>
          <w:color w:val="auto"/>
          <w:vertAlign w:val="superscript"/>
        </w:rPr>
      </w:pPr>
      <w:r>
        <w:rPr>
          <w:rFonts w:ascii="Arial" w:cs="Arial" w:eastAsia="Arial" w:hAnsi="Arial"/>
          <w:sz w:val="12"/>
          <w:szCs w:val="12"/>
          <w:color w:val="auto"/>
        </w:rPr>
        <w:t>Bain;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5"/>
          <w:szCs w:val="15"/>
          <w:color w:val="auto"/>
          <w:vertAlign w:val="superscript"/>
        </w:rPr>
      </w:pPr>
      <w:r>
        <w:rPr>
          <w:rFonts w:ascii="Arial" w:cs="Arial" w:eastAsia="Arial" w:hAnsi="Arial"/>
          <w:sz w:val="10"/>
          <w:szCs w:val="10"/>
          <w:color w:val="auto"/>
        </w:rPr>
        <w:t>FDIC Interagency Statement;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5"/>
          <w:szCs w:val="15"/>
          <w:color w:val="auto"/>
          <w:vertAlign w:val="superscript"/>
        </w:rPr>
      </w:pPr>
      <w:r>
        <w:rPr>
          <w:rFonts w:ascii="Arial" w:cs="Arial" w:eastAsia="Arial" w:hAnsi="Arial"/>
          <w:sz w:val="10"/>
          <w:szCs w:val="10"/>
          <w:color w:val="auto"/>
        </w:rPr>
        <w:t>FDIC Interagency Statement;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5"/>
          <w:szCs w:val="15"/>
          <w:color w:val="auto"/>
          <w:vertAlign w:val="superscript"/>
        </w:rPr>
      </w:pPr>
      <w:r>
        <w:rPr>
          <w:rFonts w:ascii="Arial" w:cs="Arial" w:eastAsia="Arial" w:hAnsi="Arial"/>
          <w:sz w:val="10"/>
          <w:szCs w:val="10"/>
          <w:color w:val="auto"/>
        </w:rPr>
        <w:t>Kraninger;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5"/>
          <w:szCs w:val="15"/>
          <w:color w:val="auto"/>
          <w:vertAlign w:val="superscript"/>
        </w:rPr>
      </w:pPr>
      <w:r>
        <w:rPr>
          <w:rFonts w:ascii="Arial" w:cs="Arial" w:eastAsia="Arial" w:hAnsi="Arial"/>
          <w:sz w:val="10"/>
          <w:szCs w:val="10"/>
          <w:color w:val="auto"/>
        </w:rPr>
        <w:t>Beiseitov;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180"/>
          </w:cols>
          <w:pgMar w:left="320" w:top="407" w:right="139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In the same period, we facilitated the origination of $3.5 billion in unsecured personal loans, or less than 5% of the total market.</w:t>
      </w:r>
      <w:r>
        <w:rPr>
          <w:rFonts w:ascii="Arial" w:cs="Arial" w:eastAsia="Arial" w:hAnsi="Arial"/>
          <w:sz w:val="12"/>
          <w:szCs w:val="12"/>
          <w:color w:val="auto"/>
        </w:rPr>
        <w:t>95</w:t>
      </w:r>
      <w:r>
        <w:rPr>
          <w:rFonts w:ascii="Arial" w:cs="Arial" w:eastAsia="Arial" w:hAnsi="Arial"/>
          <w:sz w:val="15"/>
          <w:szCs w:val="15"/>
          <w:color w:val="auto"/>
        </w:rPr>
        <w:t xml:space="preserve"> We not only have a large opportunity to capture market share in unsecured personal loans, but by applying our AI models and technology to adjacent opportunities, we believe we are well-positioned to address the U.S. auto loan, credit card and mortgage markets. From April 2019 to March 2020, there were $625 billion in U.S. auto loan originations, $363 billion in U.S. credit card originations and $2.5 trillion in U.S. mortgage originations.</w:t>
      </w:r>
      <w:r>
        <w:rPr>
          <w:rFonts w:ascii="Arial" w:cs="Arial" w:eastAsia="Arial" w:hAnsi="Arial"/>
          <w:sz w:val="12"/>
          <w:szCs w:val="12"/>
          <w:color w:val="auto"/>
        </w:rPr>
        <w:t>96</w:t>
      </w:r>
      <w:r>
        <w:rPr>
          <w:rFonts w:ascii="Arial" w:cs="Arial" w:eastAsia="Arial" w:hAnsi="Arial"/>
          <w:sz w:val="15"/>
          <w:szCs w:val="15"/>
          <w:color w:val="auto"/>
        </w:rPr>
        <w:t xml:space="preserve"> In June 2020, we began offering auto loans on our platform, and in September 2020, the first auto loan was originated through the Upstart platform. Over time, we believe we are also capable of capturing market share in student loans, point-of-sales loans and HELOCs.</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AI Lending Platform</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Our AI models are central to our value proposition and unique position in the industry. Our models incorporate more than 1,600 variables, which are analogous to the columns in a spreadsheet. They have been trained by more than 9 million repayment events, analogous to rows of data in a spreadsheet. Interpreting these almost 15 billion cells of data are increasingly sophisticated machine learning algorithms that enable a more predictive model.</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“Business— Evolution of Upstart’s AI Model.”</w:t>
      </w:r>
    </w:p>
    <w:p>
      <w:pPr>
        <w:spacing w:after="0" w:line="17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Our platform benefits from powerful flywheel effects that drive continuous improvements as our business scales. Our platform benefits first from increasingly sophisticated models, variable expansion and rapid growth of training data. Upgrades to our platform allow us to offer higher approval rates and lower interest rates to consumers, which increases the number of borrowers on our platform. Upgrades to our platform also lead to better borrower selection, which lowers losses and lowers interest rates to borrowers. The flywheel effect created by self-reinforcing AI increases the economic opportunity that can be shared by borrowers and lenders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8" w:lineRule="exact"/>
        <w:rPr>
          <w:sz w:val="20"/>
          <w:szCs w:val="20"/>
          <w:color w:val="auto"/>
        </w:rPr>
      </w:pPr>
    </w:p>
    <w:p>
      <w:pPr>
        <w:ind w:left="1480" w:hanging="453"/>
        <w:spacing w:after="0"/>
        <w:tabs>
          <w:tab w:leader="none" w:pos="1480" w:val="left"/>
        </w:tabs>
        <w:numPr>
          <w:ilvl w:val="0"/>
          <w:numId w:val="79"/>
        </w:numPr>
        <w:rPr>
          <w:rFonts w:ascii="Arial" w:cs="Arial" w:eastAsia="Arial" w:hAnsi="Arial"/>
          <w:sz w:val="20"/>
          <w:szCs w:val="20"/>
          <w:color w:val="auto"/>
          <w:vertAlign w:val="superscript"/>
        </w:rPr>
      </w:pPr>
      <w:r>
        <w:rPr>
          <w:rFonts w:ascii="Arial" w:cs="Arial" w:eastAsia="Arial" w:hAnsi="Arial"/>
          <w:sz w:val="12"/>
          <w:szCs w:val="12"/>
          <w:color w:val="auto"/>
        </w:rPr>
        <w:t>Based on loan origination dollar amounts published by TransUnion; see the section titled “Industry, Market and Other Data.”</w:t>
      </w:r>
    </w:p>
    <w:p>
      <w:pPr>
        <w:ind w:left="1480" w:hanging="453"/>
        <w:spacing w:after="0" w:line="188" w:lineRule="auto"/>
        <w:tabs>
          <w:tab w:leader="none" w:pos="1480" w:val="left"/>
        </w:tabs>
        <w:numPr>
          <w:ilvl w:val="0"/>
          <w:numId w:val="79"/>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00"/>
          </w:cols>
          <w:pgMar w:left="320" w:top="407" w:right="137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Upstart’s AI Flywheel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74295</wp:posOffset>
            </wp:positionV>
            <wp:extent cx="3098165" cy="1409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9816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Our Ecosystem</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platform connects consumers, banks and institutional investors through a shared AI lending platform. Because AI is a new and disruptive technology, and banking is a traditionally conservative industry, we have brought our technology to market in a way that allows us to grow rapidly and improve on our AI models, while allowing banks to take a prudent and responsible approach to assessing and adopting our platform.</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white-labeled interface on their own website or mobile application. Consumers on our platform are generally offered unsecured personal loans ranging from $1,000 to $50,000 in size, at APRs typically ranging from approximately 6.5% to 35.99%, with terms typically ranging from three to five years, with a monthly repayment schedule and no prepayment penalty.</w:t>
      </w:r>
    </w:p>
    <w:p>
      <w:pPr>
        <w:spacing w:after="0" w:line="170"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On the funding side, our bank partners can retain loans that align with their business and risk objectives, while the remainder can be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160"/>
          </w:cols>
          <w:pgMar w:left="320" w:top="407" w:right="141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Upstart’s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74295</wp:posOffset>
            </wp:positionV>
            <wp:extent cx="4371975" cy="2053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71975" cy="205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Value Proposition to Consumers</w:t>
      </w:r>
    </w:p>
    <w:p>
      <w:pPr>
        <w:spacing w:after="0" w:line="100" w:lineRule="exact"/>
        <w:rPr>
          <w:sz w:val="20"/>
          <w:szCs w:val="20"/>
          <w:color w:val="auto"/>
        </w:rPr>
      </w:pPr>
    </w:p>
    <w:p>
      <w:pPr>
        <w:ind w:left="1660" w:right="60" w:hanging="183"/>
        <w:spacing w:after="0" w:line="246"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Higher approval rates and lower interest rates</w:t>
      </w:r>
      <w:r>
        <w:rPr>
          <w:rFonts w:ascii="Arial" w:cs="Arial" w:eastAsia="Arial" w:hAnsi="Arial"/>
          <w:sz w:val="15"/>
          <w:szCs w:val="15"/>
          <w:color w:val="auto"/>
        </w:rPr>
        <w:t>—The CFPB reported that a study by Upstart of its data using a methodology</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by the CFPB, showed that our AI model approves 27% more borrowers than high-quality traditional lending models with a 16% lower average APR for approved loans.</w:t>
      </w:r>
      <w:r>
        <w:rPr>
          <w:rFonts w:ascii="Arial" w:cs="Arial" w:eastAsia="Arial" w:hAnsi="Arial"/>
          <w:sz w:val="12"/>
          <w:szCs w:val="12"/>
          <w:color w:val="auto"/>
        </w:rPr>
        <w:t>97</w:t>
      </w:r>
      <w:r>
        <w:rPr>
          <w:rFonts w:ascii="Arial" w:cs="Arial" w:eastAsia="Arial" w:hAnsi="Arial"/>
          <w:sz w:val="15"/>
          <w:szCs w:val="15"/>
          <w:color w:val="auto"/>
        </w:rPr>
        <w:t xml:space="preserve"> Our analyses suggest that our loan offers have improved significantly over time relative to those of competitors.</w:t>
      </w:r>
      <w:r>
        <w:rPr>
          <w:rFonts w:ascii="Arial" w:cs="Arial" w:eastAsia="Arial" w:hAnsi="Arial"/>
          <w:sz w:val="12"/>
          <w:szCs w:val="12"/>
          <w:color w:val="auto"/>
        </w:rPr>
        <w:t>98</w:t>
      </w:r>
    </w:p>
    <w:p>
      <w:pPr>
        <w:spacing w:after="0" w:line="70" w:lineRule="exact"/>
        <w:rPr>
          <w:rFonts w:ascii="Arial" w:cs="Arial" w:eastAsia="Arial" w:hAnsi="Arial"/>
          <w:sz w:val="15"/>
          <w:szCs w:val="15"/>
          <w:color w:val="auto"/>
        </w:rPr>
      </w:pPr>
    </w:p>
    <w:p>
      <w:pPr>
        <w:ind w:left="1660" w:right="20" w:hanging="183"/>
        <w:spacing w:after="0" w:line="241"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Superior digital experience</w:t>
      </w:r>
      <w:r>
        <w:rPr>
          <w:rFonts w:ascii="Arial" w:cs="Arial" w:eastAsia="Arial" w:hAnsi="Arial"/>
          <w:sz w:val="15"/>
          <w:szCs w:val="15"/>
          <w:color w:val="auto"/>
        </w:rPr>
        <w:t>—Whether consumers apply for a loan through Upstart.com or directly through a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website, the application experience is streamlined into a single application process and the loan offers provided are firm. In the third quarter of 2020, approximately 70%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Value Proposition to Bank Partners</w:t>
      </w:r>
    </w:p>
    <w:p>
      <w:pPr>
        <w:spacing w:after="0" w:line="100" w:lineRule="exact"/>
        <w:rPr>
          <w:sz w:val="20"/>
          <w:szCs w:val="20"/>
          <w:color w:val="auto"/>
        </w:rPr>
      </w:pPr>
    </w:p>
    <w:p>
      <w:pPr>
        <w:ind w:left="1660" w:hanging="183"/>
        <w:spacing w:after="0" w:line="251" w:lineRule="auto"/>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Competitive digital lending experience</w:t>
      </w:r>
      <w:r>
        <w:rPr>
          <w:rFonts w:ascii="Arial" w:cs="Arial" w:eastAsia="Arial" w:hAnsi="Arial"/>
          <w:sz w:val="15"/>
          <w:szCs w:val="15"/>
          <w:color w:val="auto"/>
        </w:rPr>
        <w:t>—We provide regional banks and credit unions with a cost effective way to compete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technology budgets of their much larger competitors. The NPS for our bank partners’ lending programs are approximately 79, well above published benchmarks for the largest banks.</w:t>
      </w:r>
      <w:r>
        <w:rPr>
          <w:rFonts w:ascii="Arial" w:cs="Arial" w:eastAsia="Arial" w:hAnsi="Arial"/>
          <w:sz w:val="12"/>
          <w:szCs w:val="12"/>
          <w:color w:val="auto"/>
        </w:rPr>
        <w:t>99</w:t>
      </w:r>
    </w:p>
    <w:p>
      <w:pPr>
        <w:spacing w:after="0" w:line="67" w:lineRule="exact"/>
        <w:rPr>
          <w:rFonts w:ascii="Arial" w:cs="Arial" w:eastAsia="Arial" w:hAnsi="Arial"/>
          <w:sz w:val="15"/>
          <w:szCs w:val="15"/>
          <w:color w:val="auto"/>
        </w:rPr>
      </w:pPr>
    </w:p>
    <w:p>
      <w:pPr>
        <w:ind w:left="1660" w:right="200" w:hanging="183"/>
        <w:spacing w:after="0" w:line="251" w:lineRule="auto"/>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Expanded customer base</w:t>
      </w:r>
      <w:r>
        <w:rPr>
          <w:rFonts w:ascii="Arial" w:cs="Arial" w:eastAsia="Arial" w:hAnsi="Arial"/>
          <w:sz w:val="15"/>
          <w:szCs w:val="15"/>
          <w:color w:val="auto"/>
        </w:rPr>
        <w:t>—We refer customers that apply for loans through Upstart.com to our bank partners, helping them</w:t>
      </w:r>
      <w:r>
        <w:rPr>
          <w:rFonts w:ascii="Arial" w:cs="Arial" w:eastAsia="Arial" w:hAnsi="Arial"/>
          <w:sz w:val="15"/>
          <w:szCs w:val="15"/>
          <w:i w:val="1"/>
          <w:iCs w:val="1"/>
          <w:color w:val="auto"/>
        </w:rPr>
        <w:t xml:space="preserve"> </w:t>
      </w:r>
      <w:r>
        <w:rPr>
          <w:rFonts w:ascii="Arial" w:cs="Arial" w:eastAsia="Arial" w:hAnsi="Arial"/>
          <w:sz w:val="15"/>
          <w:szCs w:val="15"/>
          <w:color w:val="auto"/>
        </w:rPr>
        <w:t>grow both loan volumes and number of customers. The most common age of Upstart-referred borrowers in the third quarter of 2020 was 28 years old, a compelling demographic that is often challenging for banks to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0" w:lineRule="exact"/>
        <w:rPr>
          <w:sz w:val="20"/>
          <w:szCs w:val="20"/>
          <w:color w:val="auto"/>
        </w:rPr>
      </w:pPr>
    </w:p>
    <w:p>
      <w:pPr>
        <w:ind w:left="1480" w:hanging="453"/>
        <w:spacing w:after="0"/>
        <w:tabs>
          <w:tab w:leader="none" w:pos="1480" w:val="left"/>
        </w:tabs>
        <w:numPr>
          <w:ilvl w:val="0"/>
          <w:numId w:val="82"/>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480" w:hanging="453"/>
        <w:spacing w:after="0" w:line="182" w:lineRule="auto"/>
        <w:tabs>
          <w:tab w:leader="none" w:pos="1480" w:val="left"/>
        </w:tabs>
        <w:numPr>
          <w:ilvl w:val="0"/>
          <w:numId w:val="82"/>
        </w:numPr>
        <w:rPr>
          <w:rFonts w:ascii="Arial" w:cs="Arial" w:eastAsia="Arial" w:hAnsi="Arial"/>
          <w:sz w:val="19"/>
          <w:szCs w:val="19"/>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ind w:left="1480" w:hanging="453"/>
        <w:spacing w:after="0" w:line="210" w:lineRule="auto"/>
        <w:tabs>
          <w:tab w:leader="none" w:pos="1480" w:val="left"/>
        </w:tabs>
        <w:numPr>
          <w:ilvl w:val="0"/>
          <w:numId w:val="82"/>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The disclosed figure represents the weighted average of the Net Promoter Scores of each of our bank partners in the third quarter of 2020.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 For further information, see the section titled “Industry, Market and Other Data.”</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220"/>
          </w:cols>
          <w:pgMar w:left="320" w:top="407" w:right="135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660" w:right="100" w:hanging="183"/>
        <w:spacing w:after="0" w:line="267" w:lineRule="auto"/>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Lower loss rates</w:t>
      </w:r>
      <w:r>
        <w:rPr>
          <w:rFonts w:ascii="Arial" w:cs="Arial" w:eastAsia="Arial" w:hAnsi="Arial"/>
          <w:sz w:val="15"/>
          <w:szCs w:val="15"/>
          <w:color w:val="auto"/>
        </w:rPr>
        <w:t>—An internal study comparing our model to that of several large U.S. banks found that our model could enable</w:t>
      </w:r>
      <w:r>
        <w:rPr>
          <w:rFonts w:ascii="Arial" w:cs="Arial" w:eastAsia="Arial" w:hAnsi="Arial"/>
          <w:sz w:val="15"/>
          <w:szCs w:val="15"/>
          <w:i w:val="1"/>
          <w:iCs w:val="1"/>
          <w:color w:val="auto"/>
        </w:rPr>
        <w:t xml:space="preserve"> </w:t>
      </w:r>
      <w:r>
        <w:rPr>
          <w:rFonts w:ascii="Arial" w:cs="Arial" w:eastAsia="Arial" w:hAnsi="Arial"/>
          <w:sz w:val="15"/>
          <w:szCs w:val="15"/>
          <w:color w:val="auto"/>
        </w:rPr>
        <w:t>these banks to lower loss rates by almost 75% while keeping approval rates constant.</w:t>
      </w:r>
      <w:r>
        <w:rPr>
          <w:rFonts w:ascii="Arial" w:cs="Arial" w:eastAsia="Arial" w:hAnsi="Arial"/>
          <w:sz w:val="12"/>
          <w:szCs w:val="12"/>
          <w:color w:val="auto"/>
        </w:rPr>
        <w:t>100</w:t>
      </w:r>
    </w:p>
    <w:p>
      <w:pPr>
        <w:spacing w:after="0" w:line="55" w:lineRule="exact"/>
        <w:rPr>
          <w:rFonts w:ascii="Arial" w:cs="Arial" w:eastAsia="Arial" w:hAnsi="Arial"/>
          <w:sz w:val="15"/>
          <w:szCs w:val="15"/>
          <w:color w:val="auto"/>
        </w:rPr>
      </w:pPr>
    </w:p>
    <w:p>
      <w:pPr>
        <w:ind w:left="1660" w:right="100" w:hanging="183"/>
        <w:spacing w:after="0" w:line="267" w:lineRule="auto"/>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New product offering</w:t>
      </w:r>
      <w:r>
        <w:rPr>
          <w:rFonts w:ascii="Arial" w:cs="Arial" w:eastAsia="Arial" w:hAnsi="Arial"/>
          <w:sz w:val="15"/>
          <w:szCs w:val="15"/>
          <w:color w:val="auto"/>
        </w:rPr>
        <w:t>—Personal loans are one of the fastest-growing segment of credit in the U.S.</w:t>
      </w:r>
      <w:r>
        <w:rPr>
          <w:rFonts w:ascii="Arial" w:cs="Arial" w:eastAsia="Arial" w:hAnsi="Arial"/>
          <w:sz w:val="12"/>
          <w:szCs w:val="12"/>
          <w:color w:val="auto"/>
        </w:rPr>
        <w:t>101</w:t>
      </w:r>
      <w:r>
        <w:rPr>
          <w:rFonts w:ascii="Arial" w:cs="Arial" w:eastAsia="Arial" w:hAnsi="Arial"/>
          <w:sz w:val="15"/>
          <w:szCs w:val="15"/>
          <w:i w:val="1"/>
          <w:iCs w:val="1"/>
          <w:color w:val="auto"/>
        </w:rPr>
        <w:t xml:space="preserve"> </w:t>
      </w:r>
      <w:r>
        <w:rPr>
          <w:rFonts w:ascii="Arial" w:cs="Arial" w:eastAsia="Arial" w:hAnsi="Arial"/>
          <w:sz w:val="15"/>
          <w:szCs w:val="15"/>
          <w:color w:val="auto"/>
        </w:rPr>
        <w:t>Our platform helps banks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a product their customers want, rather than letting customers seek loans from competitors.</w:t>
      </w:r>
    </w:p>
    <w:p>
      <w:pPr>
        <w:spacing w:after="0" w:line="55" w:lineRule="exact"/>
        <w:rPr>
          <w:rFonts w:ascii="Arial" w:cs="Arial" w:eastAsia="Arial" w:hAnsi="Arial"/>
          <w:sz w:val="15"/>
          <w:szCs w:val="15"/>
          <w:color w:val="auto"/>
        </w:rPr>
      </w:pPr>
    </w:p>
    <w:p>
      <w:pPr>
        <w:jc w:val="both"/>
        <w:ind w:left="1660" w:right="80" w:hanging="183"/>
        <w:spacing w:after="0" w:line="251" w:lineRule="auto"/>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Institutional investor acceptance</w:t>
      </w:r>
      <w:r>
        <w:rPr>
          <w:rFonts w:ascii="Arial" w:cs="Arial" w:eastAsia="Arial" w:hAnsi="Arial"/>
          <w:sz w:val="15"/>
          <w:szCs w:val="15"/>
          <w:color w:val="auto"/>
        </w:rPr>
        <w:t>—Analyses by credit rating agencies, loan and bond buying institutions, and credit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help banks gain confidence that Upstart-powered loans are subject to significant and constant scrutiny from experts, the results of which are often publicly available.</w:t>
      </w:r>
    </w:p>
    <w:p>
      <w:pPr>
        <w:spacing w:after="0" w:line="234"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Our Competitive Strengths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Constantly Improving AI Models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been building and refining our AI models for more than eight years, and they have led directly to our growth and profitability. Our models currently incorporate more than 1,600 variables and are trained by more than 9 million repayment events. Beyond the advantages accrued by our constantly growing volume of training data, our data science team continues to update our modeling techniques regularly. Model and technology improvements have increased our conversion rate from the initial rate inquiry to funded loan by a factor of ten since inception. We have a pipeline of potential model improvements that we expect will further increase our conversion rates in the future.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Flexible Two-Sided Ecosystem</w:t>
      </w:r>
    </w:p>
    <w:p>
      <w:pPr>
        <w:spacing w:after="0" w:line="105"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With an expanding list of bank partners, we can solve the borrowing needs of an increasingly diverse array of consumers. As more banks leverage the Upstart platform, consumers benefit from better offers of credit, while experiencing a consistently high-quality experience.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Capital Efficient Fee-Based Business</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the third quarter of 2020, we generated 96% of revenue from fees from banks and loan servicing. We have also achieved a high degree of automation, with approximately 70% of Upstart-powered loans approved instantly and fully automated in the third quarter of 2020, driving operating leverage and improving unit economics.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Regulatory Compliance</w:t>
      </w:r>
    </w:p>
    <w:p>
      <w:pPr>
        <w:spacing w:after="0" w:line="10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80" w:hanging="453"/>
        <w:spacing w:after="0" w:line="201" w:lineRule="auto"/>
        <w:tabs>
          <w:tab w:leader="none" w:pos="1480" w:val="left"/>
        </w:tabs>
        <w:numPr>
          <w:ilvl w:val="0"/>
          <w:numId w:val="84"/>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1" w:lineRule="exact"/>
        <w:rPr>
          <w:rFonts w:ascii="Arial" w:cs="Arial" w:eastAsia="Arial" w:hAnsi="Arial"/>
          <w:sz w:val="20"/>
          <w:szCs w:val="20"/>
          <w:color w:val="auto"/>
          <w:vertAlign w:val="superscript"/>
        </w:rPr>
      </w:pPr>
    </w:p>
    <w:p>
      <w:pPr>
        <w:ind w:left="1480" w:hanging="453"/>
        <w:spacing w:after="0" w:line="188" w:lineRule="auto"/>
        <w:tabs>
          <w:tab w:leader="none" w:pos="1480" w:val="left"/>
        </w:tabs>
        <w:numPr>
          <w:ilvl w:val="0"/>
          <w:numId w:val="84"/>
        </w:numPr>
        <w:rPr>
          <w:rFonts w:ascii="Arial" w:cs="Arial" w:eastAsia="Arial" w:hAnsi="Arial"/>
          <w:sz w:val="16"/>
          <w:szCs w:val="16"/>
          <w:color w:val="auto"/>
          <w:vertAlign w:val="superscript"/>
        </w:rPr>
      </w:pPr>
      <w:r>
        <w:rPr>
          <w:rFonts w:ascii="Arial" w:cs="Arial" w:eastAsia="Arial" w:hAnsi="Arial"/>
          <w:sz w:val="10"/>
          <w:szCs w:val="10"/>
          <w:color w:val="auto"/>
        </w:rPr>
        <w:t>Beiseitov;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180"/>
          </w:cols>
          <w:pgMar w:left="320" w:top="407" w:right="139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rPr>
          <w:sz w:val="20"/>
          <w:szCs w:val="20"/>
          <w:color w:val="auto"/>
        </w:rPr>
      </w:pPr>
      <w:r>
        <w:rPr>
          <w:rFonts w:ascii="Arial" w:cs="Arial" w:eastAsia="Arial" w:hAnsi="Arial"/>
          <w:sz w:val="15"/>
          <w:szCs w:val="15"/>
          <w:color w:val="auto"/>
        </w:rPr>
        <w:t>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r>
        <w:rPr>
          <w:rFonts w:ascii="Arial" w:cs="Arial" w:eastAsia="Arial" w:hAnsi="Arial"/>
          <w:sz w:val="12"/>
          <w:szCs w:val="12"/>
          <w:color w:val="auto"/>
        </w:rPr>
        <w:t>102</w:t>
      </w:r>
    </w:p>
    <w:p>
      <w:pPr>
        <w:spacing w:after="0" w:line="164" w:lineRule="exact"/>
        <w:rPr>
          <w:sz w:val="20"/>
          <w:szCs w:val="20"/>
          <w:color w:val="auto"/>
        </w:rPr>
      </w:pPr>
    </w:p>
    <w:p>
      <w:pPr>
        <w:jc w:val="center"/>
        <w:ind w:right="-939"/>
        <w:spacing w:after="0"/>
        <w:rPr>
          <w:sz w:val="20"/>
          <w:szCs w:val="20"/>
          <w:color w:val="auto"/>
        </w:rPr>
      </w:pPr>
      <w:r>
        <w:rPr>
          <w:rFonts w:ascii="Arial" w:cs="Arial" w:eastAsia="Arial" w:hAnsi="Arial"/>
          <w:sz w:val="15"/>
          <w:szCs w:val="15"/>
          <w:color w:val="auto"/>
        </w:rPr>
        <w:t>In September 2017, we received the CFPB’s first no-action letter.</w:t>
      </w:r>
      <w:r>
        <w:rPr>
          <w:rFonts w:ascii="Arial" w:cs="Arial" w:eastAsia="Arial" w:hAnsi="Arial"/>
          <w:sz w:val="12"/>
          <w:szCs w:val="12"/>
          <w:color w:val="auto"/>
        </w:rPr>
        <w:t>103</w:t>
      </w:r>
      <w:r>
        <w:rPr>
          <w:rFonts w:ascii="Arial" w:cs="Arial" w:eastAsia="Arial" w:hAnsi="Arial"/>
          <w:sz w:val="15"/>
          <w:szCs w:val="15"/>
          <w:color w:val="auto"/>
        </w:rPr>
        <w:t xml:space="preserve"> The CFPB issues no-action letters to reduce potential</w:t>
      </w:r>
    </w:p>
    <w:p>
      <w:pPr>
        <w:jc w:val="both"/>
        <w:ind w:left="1020" w:right="80"/>
        <w:spacing w:after="0" w:line="241" w:lineRule="auto"/>
        <w:rPr>
          <w:sz w:val="20"/>
          <w:szCs w:val="20"/>
          <w:color w:val="auto"/>
        </w:rPr>
      </w:pPr>
      <w:r>
        <w:rPr>
          <w:rFonts w:ascii="Arial" w:cs="Arial" w:eastAsia="Arial" w:hAnsi="Arial"/>
          <w:sz w:val="15"/>
          <w:szCs w:val="15"/>
          <w:color w:val="auto"/>
        </w:rPr>
        <w:t>regulatory uncertainty for innovative products that may offer significant consumer benefit.</w:t>
      </w:r>
      <w:r>
        <w:rPr>
          <w:rFonts w:ascii="Arial" w:cs="Arial" w:eastAsia="Arial" w:hAnsi="Arial"/>
          <w:sz w:val="12"/>
          <w:szCs w:val="12"/>
          <w:color w:val="auto"/>
        </w:rPr>
        <w:t>104</w:t>
      </w:r>
      <w:r>
        <w:rPr>
          <w:rFonts w:ascii="Arial" w:cs="Arial" w:eastAsia="Arial" w:hAnsi="Arial"/>
          <w:sz w:val="15"/>
          <w:szCs w:val="15"/>
          <w:color w:val="auto"/>
        </w:rPr>
        <w:t xml:space="preserve"> On November 30, 2020, at the expiration of our first no-action letter, we received a new no -action letter from the CFPB, which expires on November 30, 2023. At this time, we do not know of any other lending platforms that have received similar no-action letters for fair lending from the CFPB.</w:t>
      </w:r>
    </w:p>
    <w:p>
      <w:pPr>
        <w:spacing w:after="0" w:line="242"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Our Growth Strategy</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 Improvements</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 A more efficient funnel also has the effect of enabling new marketing and acquisition channels that may not have been economical in the past, providing a second-order growth driver.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More Efficient Funding</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regularly, as credit rating agencies and loan and residual buyers gain confidence in the credit performance of Upstart-powered loans.</w:t>
      </w:r>
    </w:p>
    <w:p>
      <w:pPr>
        <w:spacing w:after="0" w:line="170"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Our internal data suggests that each 100 basis point reduction in interest rate offered to the consumer increases conversion by 15%.</w:t>
      </w:r>
      <w:r>
        <w:rPr>
          <w:rFonts w:ascii="Arial" w:cs="Arial" w:eastAsia="Arial" w:hAnsi="Arial"/>
          <w:sz w:val="12"/>
          <w:szCs w:val="12"/>
          <w:color w:val="auto"/>
        </w:rPr>
        <w:t>105</w:t>
      </w:r>
      <w:r>
        <w:rPr>
          <w:rFonts w:ascii="Arial" w:cs="Arial" w:eastAsia="Arial" w:hAnsi="Arial"/>
          <w:sz w:val="15"/>
          <w:szCs w:val="15"/>
          <w:color w:val="auto"/>
        </w:rPr>
        <w:t xml:space="preserve"> Therefore, reduced cost of funding can be a direct driver of growth.</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Distribution</w:t>
      </w:r>
    </w:p>
    <w:p>
      <w:pPr>
        <w:spacing w:after="0" w:line="105"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white-labeled versions of Upstart to serve their new and existing customers directly.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New Products</w:t>
      </w:r>
    </w:p>
    <w:p>
      <w:pPr>
        <w:spacing w:after="0" w:line="103" w:lineRule="exact"/>
        <w:rPr>
          <w:sz w:val="20"/>
          <w:szCs w:val="20"/>
          <w:color w:val="auto"/>
        </w:rPr>
      </w:pPr>
    </w:p>
    <w:p>
      <w:pPr>
        <w:jc w:val="both"/>
        <w:ind w:left="1020" w:right="60" w:firstLine="460"/>
        <w:spacing w:after="0" w:line="241" w:lineRule="auto"/>
        <w:rPr>
          <w:sz w:val="20"/>
          <w:szCs w:val="20"/>
          <w:color w:val="auto"/>
        </w:rPr>
      </w:pPr>
      <w:r>
        <w:rPr>
          <w:rFonts w:ascii="Arial" w:cs="Arial" w:eastAsia="Arial" w:hAnsi="Arial"/>
          <w:sz w:val="15"/>
          <w:szCs w:val="15"/>
          <w:color w:val="auto"/>
        </w:rPr>
        <w:t>Personal loans are one of the fastest-growing segment of consumer credit in the U.S., but they are far from the largest.</w:t>
      </w:r>
      <w:r>
        <w:rPr>
          <w:rFonts w:ascii="Arial" w:cs="Arial" w:eastAsia="Arial" w:hAnsi="Arial"/>
          <w:sz w:val="12"/>
          <w:szCs w:val="12"/>
          <w:color w:val="auto"/>
        </w:rPr>
        <w:t>106</w:t>
      </w:r>
      <w:r>
        <w:rPr>
          <w:rFonts w:ascii="Arial" w:cs="Arial" w:eastAsia="Arial" w:hAnsi="Arial"/>
          <w:sz w:val="15"/>
          <w:szCs w:val="15"/>
          <w:color w:val="auto"/>
        </w:rPr>
        <w:t xml:space="preserve"> As we apply our AI models and technology to other credit verticals, we will be able to serve the needs of more consumers and to play a broader technology enablement role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85"/>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480" w:hanging="453"/>
        <w:spacing w:after="0" w:line="188" w:lineRule="auto"/>
        <w:tabs>
          <w:tab w:leader="none" w:pos="1480" w:val="left"/>
        </w:tabs>
        <w:numPr>
          <w:ilvl w:val="0"/>
          <w:numId w:val="85"/>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480" w:hanging="453"/>
        <w:spacing w:after="0" w:line="188" w:lineRule="auto"/>
        <w:tabs>
          <w:tab w:leader="none" w:pos="1480" w:val="left"/>
        </w:tabs>
        <w:numPr>
          <w:ilvl w:val="0"/>
          <w:numId w:val="85"/>
        </w:numPr>
        <w:rPr>
          <w:rFonts w:ascii="Arial" w:cs="Arial" w:eastAsia="Arial" w:hAnsi="Arial"/>
          <w:sz w:val="15"/>
          <w:szCs w:val="15"/>
          <w:color w:val="auto"/>
          <w:vertAlign w:val="superscript"/>
        </w:rPr>
      </w:pPr>
      <w:r>
        <w:rPr>
          <w:rFonts w:ascii="Arial" w:cs="Arial" w:eastAsia="Arial" w:hAnsi="Arial"/>
          <w:sz w:val="10"/>
          <w:szCs w:val="10"/>
          <w:color w:val="auto"/>
        </w:rPr>
        <w:t>Consumer Financial Protection Bureau, Policy on No-Action Letters, September 2019.</w:t>
      </w:r>
    </w:p>
    <w:p>
      <w:pPr>
        <w:jc w:val="both"/>
        <w:ind w:left="1480" w:right="80" w:hanging="453"/>
        <w:spacing w:after="0" w:line="192" w:lineRule="auto"/>
        <w:tabs>
          <w:tab w:leader="none" w:pos="1480" w:val="left"/>
        </w:tabs>
        <w:numPr>
          <w:ilvl w:val="0"/>
          <w:numId w:val="85"/>
        </w:numPr>
        <w:rPr>
          <w:rFonts w:ascii="Arial" w:cs="Arial" w:eastAsia="Arial" w:hAnsi="Arial"/>
          <w:sz w:val="20"/>
          <w:szCs w:val="20"/>
          <w:color w:val="auto"/>
          <w:vertAlign w:val="superscript"/>
        </w:rPr>
      </w:pPr>
      <w:r>
        <w:rPr>
          <w:rFonts w:ascii="Arial" w:cs="Arial" w:eastAsia="Arial" w:hAnsi="Arial"/>
          <w:sz w:val="12"/>
          <w:szCs w:val="12"/>
          <w:color w:val="auto"/>
        </w:rPr>
        <w:t>In a series of internal studies conducted in April 2016, September 2016 and January 2018, Upstart compared changes in conversion rates between test groups of Upstart loan applicants when loan offer APRs were increased or decreased for certain groups. The average change in conversion rates across the three studies is presented.</w:t>
      </w:r>
    </w:p>
    <w:p>
      <w:pPr>
        <w:ind w:left="1480" w:hanging="453"/>
        <w:spacing w:after="0" w:line="188" w:lineRule="auto"/>
        <w:tabs>
          <w:tab w:leader="none" w:pos="1480" w:val="left"/>
        </w:tabs>
        <w:numPr>
          <w:ilvl w:val="0"/>
          <w:numId w:val="85"/>
        </w:numPr>
        <w:rPr>
          <w:rFonts w:ascii="Arial" w:cs="Arial" w:eastAsia="Arial" w:hAnsi="Arial"/>
          <w:sz w:val="16"/>
          <w:szCs w:val="16"/>
          <w:color w:val="auto"/>
          <w:vertAlign w:val="superscript"/>
        </w:rPr>
      </w:pPr>
      <w:r>
        <w:rPr>
          <w:rFonts w:ascii="Arial" w:cs="Arial" w:eastAsia="Arial" w:hAnsi="Arial"/>
          <w:sz w:val="10"/>
          <w:szCs w:val="10"/>
          <w:color w:val="auto"/>
        </w:rPr>
        <w:t>Beiseitov;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160"/>
          </w:cols>
          <w:pgMar w:left="320" w:top="407" w:right="141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40"/>
        <w:spacing w:after="0"/>
        <w:rPr>
          <w:sz w:val="20"/>
          <w:szCs w:val="20"/>
          <w:color w:val="auto"/>
        </w:rPr>
      </w:pPr>
      <w:r>
        <w:rPr>
          <w:rFonts w:ascii="Arial" w:cs="Arial" w:eastAsia="Arial" w:hAnsi="Arial"/>
          <w:sz w:val="15"/>
          <w:szCs w:val="15"/>
          <w:color w:val="auto"/>
        </w:rPr>
        <w:t>our bank partners. There is significant opportunity to expand from personal loans to auto loans, credit cards, mortgages, student loans, point-of-sale loans and HELOCs. In June 2020, we began offering auto loans on our platform and in September 2020, the first auto loan was originated through the Upstart platform.</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Platform</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AI lending platform enables banks to provide consumers access to credit. The first credit product offered through our platform was an unsecured personal loan.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Consumers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built a mobile-responsive web application at Upstart.com, where consumers can quickly and easily inquire about a rate, evaluate and choose a loan offer, provide necessary information for verification and review required disclosures before final acceptance of the loan. A virtually identical experience is also offered as a white-labeled product on bank partners’ websites. In the nine months ended September 30, 2020, over half of consumers that received an Upstart-powered loan applied for such loan on their mobile phone. Further detail on our consumer experience is outlined below.</w:t>
      </w:r>
    </w:p>
    <w:p>
      <w:pPr>
        <w:spacing w:after="0" w:line="75" w:lineRule="exact"/>
        <w:rPr>
          <w:sz w:val="20"/>
          <w:szCs w:val="20"/>
          <w:color w:val="auto"/>
        </w:rPr>
      </w:pPr>
    </w:p>
    <w:p>
      <w:pPr>
        <w:ind w:left="1660" w:hanging="183"/>
        <w:spacing w:after="0" w:line="251"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Rate inquiry</w:t>
      </w:r>
      <w:r>
        <w:rPr>
          <w:rFonts w:ascii="Arial" w:cs="Arial" w:eastAsia="Arial" w:hAnsi="Arial"/>
          <w:sz w:val="15"/>
          <w:szCs w:val="15"/>
          <w:color w:val="auto"/>
        </w:rPr>
        <w:t>—To begin the process, consumers answer a series of questions in an online questionnaire. Questions cover basic</w:t>
      </w:r>
      <w:r>
        <w:rPr>
          <w:rFonts w:ascii="Arial" w:cs="Arial" w:eastAsia="Arial" w:hAnsi="Arial"/>
          <w:sz w:val="15"/>
          <w:szCs w:val="15"/>
          <w:i w:val="1"/>
          <w:iCs w:val="1"/>
          <w:color w:val="auto"/>
        </w:rPr>
        <w:t xml:space="preserve"> </w:t>
      </w:r>
      <w:r>
        <w:rPr>
          <w:rFonts w:ascii="Arial" w:cs="Arial" w:eastAsia="Arial" w:hAnsi="Arial"/>
          <w:sz w:val="15"/>
          <w:szCs w:val="15"/>
          <w:color w:val="auto"/>
        </w:rPr>
        <w:t>personal information, educational background and employment history. The majority of consumers complete the questionnaire in less than five minutes.</w:t>
      </w:r>
    </w:p>
    <w:p>
      <w:pPr>
        <w:spacing w:after="0" w:line="67"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Offer presentation</w:t>
      </w:r>
      <w:r>
        <w:rPr>
          <w:rFonts w:ascii="Arial" w:cs="Arial" w:eastAsia="Arial" w:hAnsi="Arial"/>
          <w:sz w:val="15"/>
          <w:szCs w:val="15"/>
          <w:color w:val="auto"/>
        </w:rPr>
        <w:t>—If a consumer is approved, a loan offer will be presented from one of our bank partners on Upstart.com.</w:t>
      </w:r>
      <w:r>
        <w:rPr>
          <w:rFonts w:ascii="Arial" w:cs="Arial" w:eastAsia="Arial" w:hAnsi="Arial"/>
          <w:sz w:val="15"/>
          <w:szCs w:val="15"/>
          <w:i w:val="1"/>
          <w:iCs w:val="1"/>
          <w:color w:val="auto"/>
        </w:rPr>
        <w:t xml:space="preserve"> </w:t>
      </w:r>
      <w:r>
        <w:rPr>
          <w:rFonts w:ascii="Arial" w:cs="Arial" w:eastAsia="Arial" w:hAnsi="Arial"/>
          <w:sz w:val="15"/>
          <w:szCs w:val="15"/>
          <w:color w:val="auto"/>
        </w:rPr>
        <w:t>Consumers are typically able to review potential rates and fees for loans of different amounts and terms. If the rate inquiry was on a bank partner’s website, consumers will only see loan offers from that specific bank partner. The loan offer presented will not change in later phases of the application as long as the information provided by the applicant is verified as accurate.</w:t>
      </w:r>
    </w:p>
    <w:p>
      <w:pPr>
        <w:spacing w:after="0" w:line="70" w:lineRule="exact"/>
        <w:rPr>
          <w:rFonts w:ascii="Arial" w:cs="Arial" w:eastAsia="Arial" w:hAnsi="Arial"/>
          <w:sz w:val="15"/>
          <w:szCs w:val="15"/>
          <w:color w:val="auto"/>
        </w:rPr>
      </w:pPr>
    </w:p>
    <w:p>
      <w:pPr>
        <w:ind w:left="1660" w:hanging="183"/>
        <w:spacing w:after="0" w:line="243"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Verification</w:t>
      </w:r>
      <w:r>
        <w:rPr>
          <w:rFonts w:ascii="Arial" w:cs="Arial" w:eastAsia="Arial" w:hAnsi="Arial"/>
          <w:sz w:val="15"/>
          <w:szCs w:val="15"/>
          <w:color w:val="auto"/>
        </w:rPr>
        <w:t>—If a consumer chooses to move forward with a loan offer, we proceed to verify the information provided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consumer, including their identity, employment or income, education, and bank account information. For the majority of Upstart-powered loans, this process happens automatically and immediately, with no documentation upload or phone call required of the consumer. For applications flagged as involving higher fraud risk, there is a more extensive technology-enabled verification process.</w:t>
      </w:r>
    </w:p>
    <w:p>
      <w:pPr>
        <w:spacing w:after="0" w:line="73" w:lineRule="exact"/>
        <w:rPr>
          <w:rFonts w:ascii="Arial" w:cs="Arial" w:eastAsia="Arial" w:hAnsi="Arial"/>
          <w:sz w:val="15"/>
          <w:szCs w:val="15"/>
          <w:color w:val="auto"/>
        </w:rPr>
      </w:pPr>
    </w:p>
    <w:p>
      <w:pPr>
        <w:ind w:left="1660" w:right="580" w:hanging="183"/>
        <w:spacing w:after="0" w:line="267"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Loan funding</w:t>
      </w:r>
      <w:r>
        <w:rPr>
          <w:rFonts w:ascii="Arial" w:cs="Arial" w:eastAsia="Arial" w:hAnsi="Arial"/>
          <w:sz w:val="15"/>
          <w:szCs w:val="15"/>
          <w:color w:val="auto"/>
        </w:rPr>
        <w:t>—For a consumer who successfully completes the verification process and agrees to their loan terms, loan</w:t>
      </w:r>
      <w:r>
        <w:rPr>
          <w:rFonts w:ascii="Arial" w:cs="Arial" w:eastAsia="Arial" w:hAnsi="Arial"/>
          <w:sz w:val="15"/>
          <w:szCs w:val="15"/>
          <w:i w:val="1"/>
          <w:iCs w:val="1"/>
          <w:color w:val="auto"/>
        </w:rPr>
        <w:t xml:space="preserve"> </w:t>
      </w:r>
      <w:r>
        <w:rPr>
          <w:rFonts w:ascii="Arial" w:cs="Arial" w:eastAsia="Arial" w:hAnsi="Arial"/>
          <w:sz w:val="15"/>
          <w:szCs w:val="15"/>
          <w:color w:val="auto"/>
        </w:rPr>
        <w:t>proceeds will typically be deposited in the consumer’s bank account by our bank partner the next business day.</w:t>
      </w:r>
    </w:p>
    <w:p>
      <w:pPr>
        <w:spacing w:after="0" w:line="55" w:lineRule="exact"/>
        <w:rPr>
          <w:rFonts w:ascii="Arial" w:cs="Arial" w:eastAsia="Arial" w:hAnsi="Arial"/>
          <w:sz w:val="15"/>
          <w:szCs w:val="15"/>
          <w:color w:val="auto"/>
        </w:rPr>
      </w:pPr>
    </w:p>
    <w:p>
      <w:pPr>
        <w:ind w:left="1660" w:right="20" w:hanging="183"/>
        <w:spacing w:after="0" w:line="246"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Repayment</w:t>
      </w:r>
      <w:r>
        <w:rPr>
          <w:rFonts w:ascii="Arial" w:cs="Arial" w:eastAsia="Arial" w:hAnsi="Arial"/>
          <w:sz w:val="15"/>
          <w:szCs w:val="15"/>
          <w:color w:val="auto"/>
        </w:rPr>
        <w:t>—A consumer who accepts a loan is directed toward a servicing portal through which the consumer can manage</w:t>
      </w:r>
      <w:r>
        <w:rPr>
          <w:rFonts w:ascii="Arial" w:cs="Arial" w:eastAsia="Arial" w:hAnsi="Arial"/>
          <w:sz w:val="15"/>
          <w:szCs w:val="15"/>
          <w:i w:val="1"/>
          <w:iCs w:val="1"/>
          <w:color w:val="auto"/>
        </w:rPr>
        <w:t xml:space="preserve"> </w:t>
      </w:r>
      <w:r>
        <w:rPr>
          <w:rFonts w:ascii="Arial" w:cs="Arial" w:eastAsia="Arial" w:hAnsi="Arial"/>
          <w:sz w:val="15"/>
          <w:szCs w:val="15"/>
          <w:color w:val="auto"/>
        </w:rPr>
        <w:t>their repayments. Monthly payment dates automatically default to a day when the consumer is most likely to have sufficient cash in their account, but consumers are able to adjust this date as necessary. Consumers can also make one-time pre-payments or make other adjustments as necessary, all from the Upstart-powered web application.</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180"/>
          </w:cols>
          <w:pgMar w:left="320" w:top="407" w:right="139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171450</wp:posOffset>
            </wp:positionV>
            <wp:extent cx="2568575" cy="22967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68575" cy="229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Partners</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Our platform is designed to help our bank partners originate loans according to their unique requirements. In order to do this, we provide a wide variety of options for banks to define and control their lending program.</w:t>
      </w:r>
    </w:p>
    <w:p>
      <w:pPr>
        <w:spacing w:after="0" w:line="71" w:lineRule="exact"/>
        <w:rPr>
          <w:sz w:val="20"/>
          <w:szCs w:val="20"/>
          <w:color w:val="auto"/>
        </w:rPr>
      </w:pPr>
    </w:p>
    <w:p>
      <w:pPr>
        <w:ind w:left="1660" w:hanging="183"/>
        <w:spacing w:after="0"/>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Upstart.com referrals</w:t>
      </w:r>
      <w:r>
        <w:rPr>
          <w:rFonts w:ascii="Arial" w:cs="Arial" w:eastAsia="Arial" w:hAnsi="Arial"/>
          <w:sz w:val="15"/>
          <w:szCs w:val="15"/>
          <w:color w:val="auto"/>
        </w:rPr>
        <w:t>—Once we aggregate consumer demand on our website, we pass those customers to our bank partners.</w:t>
      </w:r>
    </w:p>
    <w:p>
      <w:pPr>
        <w:spacing w:after="0" w:line="97" w:lineRule="exact"/>
        <w:rPr>
          <w:rFonts w:ascii="Arial" w:cs="Arial" w:eastAsia="Arial" w:hAnsi="Arial"/>
          <w:sz w:val="15"/>
          <w:szCs w:val="15"/>
          <w:color w:val="auto"/>
        </w:rPr>
      </w:pPr>
    </w:p>
    <w:p>
      <w:pPr>
        <w:ind w:left="1660" w:right="340" w:hanging="183"/>
        <w:spacing w:after="0" w:line="267" w:lineRule="auto"/>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White-labeled product</w:t>
      </w:r>
      <w:r>
        <w:rPr>
          <w:rFonts w:ascii="Arial" w:cs="Arial" w:eastAsia="Arial" w:hAnsi="Arial"/>
          <w:sz w:val="15"/>
          <w:szCs w:val="15"/>
          <w:color w:val="auto"/>
        </w:rPr>
        <w:t>—Bank partners can serve customers with a white-labeled Upstart application on their own website or</w:t>
      </w:r>
      <w:r>
        <w:rPr>
          <w:rFonts w:ascii="Arial" w:cs="Arial" w:eastAsia="Arial" w:hAnsi="Arial"/>
          <w:sz w:val="15"/>
          <w:szCs w:val="15"/>
          <w:i w:val="1"/>
          <w:iCs w:val="1"/>
          <w:color w:val="auto"/>
        </w:rPr>
        <w:t xml:space="preserve"> </w:t>
      </w:r>
      <w:r>
        <w:rPr>
          <w:rFonts w:ascii="Arial" w:cs="Arial" w:eastAsia="Arial" w:hAnsi="Arial"/>
          <w:sz w:val="15"/>
          <w:szCs w:val="15"/>
          <w:color w:val="auto"/>
        </w:rPr>
        <w:t>mobile application.</w:t>
      </w:r>
    </w:p>
    <w:p>
      <w:pPr>
        <w:spacing w:after="0" w:line="55" w:lineRule="exact"/>
        <w:rPr>
          <w:rFonts w:ascii="Arial" w:cs="Arial" w:eastAsia="Arial" w:hAnsi="Arial"/>
          <w:sz w:val="15"/>
          <w:szCs w:val="15"/>
          <w:color w:val="auto"/>
        </w:rPr>
      </w:pPr>
    </w:p>
    <w:p>
      <w:pPr>
        <w:ind w:left="1660" w:right="320" w:hanging="183"/>
        <w:spacing w:after="0" w:line="243" w:lineRule="auto"/>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Configurations</w:t>
      </w:r>
      <w:r>
        <w:rPr>
          <w:rFonts w:ascii="Arial" w:cs="Arial" w:eastAsia="Arial" w:hAnsi="Arial"/>
          <w:sz w:val="15"/>
          <w:szCs w:val="15"/>
          <w:color w:val="auto"/>
        </w:rPr>
        <w:t>—Because banks have complete authority and control over their lending programs, our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pre-determine many aspects of their loan offering, including interest rate and loan size ranges, maximum target loss rate, minimum credit score, maximum debt-to-income ratio, target returns for various risk profiles, fee structures and disclosures. Banks accepting referrals from Upstart.com sets maximum volume targets for each month, expressed in the form of monthly dollar originations. These attributes can be adjusted by bank partners as necessary.</w:t>
      </w:r>
    </w:p>
    <w:p>
      <w:pPr>
        <w:spacing w:after="0" w:line="73" w:lineRule="exact"/>
        <w:rPr>
          <w:rFonts w:ascii="Arial" w:cs="Arial" w:eastAsia="Arial" w:hAnsi="Arial"/>
          <w:sz w:val="15"/>
          <w:szCs w:val="15"/>
          <w:color w:val="auto"/>
        </w:rPr>
      </w:pPr>
    </w:p>
    <w:p>
      <w:pPr>
        <w:ind w:left="1660" w:right="120" w:hanging="183"/>
        <w:spacing w:after="0" w:line="251" w:lineRule="auto"/>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Servicing</w:t>
      </w:r>
      <w:r>
        <w:rPr>
          <w:rFonts w:ascii="Arial" w:cs="Arial" w:eastAsia="Arial" w:hAnsi="Arial"/>
          <w:sz w:val="15"/>
          <w:szCs w:val="15"/>
          <w:color w:val="auto"/>
        </w:rPr>
        <w:t>—While most bank partners choose to have us service their loans (through a white-labeled servicing portal), each has</w:t>
      </w:r>
      <w:r>
        <w:rPr>
          <w:rFonts w:ascii="Arial" w:cs="Arial" w:eastAsia="Arial" w:hAnsi="Arial"/>
          <w:sz w:val="15"/>
          <w:szCs w:val="15"/>
          <w:i w:val="1"/>
          <w:iCs w:val="1"/>
          <w:color w:val="auto"/>
        </w:rPr>
        <w:t xml:space="preserve"> </w:t>
      </w:r>
      <w:r>
        <w:rPr>
          <w:rFonts w:ascii="Arial" w:cs="Arial" w:eastAsia="Arial" w:hAnsi="Arial"/>
          <w:sz w:val="15"/>
          <w:szCs w:val="15"/>
          <w:color w:val="auto"/>
        </w:rPr>
        <w:t>the option of directly servicing loans itself. Our servicing platform manages all communication with borrowers, credit reporting agencies, and when necessary, collections agencies.</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Evolution of Upstart’s AI Model</w:t>
      </w:r>
    </w:p>
    <w:p>
      <w:pPr>
        <w:spacing w:after="0" w:line="19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The AI models underpinning the Upstart platform are central to its efficacy and the high-quality experience we provide to borrowers. Our models have evolved rapidly since our founding, as illustrated below.</w:t>
      </w: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191770</wp:posOffset>
            </wp:positionV>
            <wp:extent cx="64389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46" w:lineRule="exact"/>
        <w:rPr>
          <w:sz w:val="20"/>
          <w:szCs w:val="20"/>
          <w:color w:val="auto"/>
        </w:rPr>
      </w:pPr>
    </w:p>
    <w:p>
      <w:pPr>
        <w:ind w:left="1480" w:hanging="453"/>
        <w:spacing w:after="0"/>
        <w:tabs>
          <w:tab w:leader="none" w:pos="1480" w:val="left"/>
        </w:tabs>
        <w:numPr>
          <w:ilvl w:val="0"/>
          <w:numId w:val="88"/>
        </w:numPr>
        <w:rPr>
          <w:rFonts w:ascii="Arial" w:cs="Arial" w:eastAsia="Arial" w:hAnsi="Arial"/>
          <w:sz w:val="20"/>
          <w:szCs w:val="20"/>
          <w:color w:val="auto"/>
          <w:vertAlign w:val="superscript"/>
        </w:rPr>
      </w:pPr>
      <w:r>
        <w:rPr>
          <w:rFonts w:ascii="Arial" w:cs="Arial" w:eastAsia="Arial" w:hAnsi="Arial"/>
          <w:sz w:val="12"/>
          <w:szCs w:val="12"/>
          <w:color w:val="auto"/>
        </w:rPr>
        <w:t>Dates for variables and training data correspond to: March 24, 2014, May 28, 2015, September 6, 2016, January 1, 2018 and December 31, 2019, respectively.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00"/>
          </w:cols>
          <w:pgMar w:left="320" w:top="407" w:right="137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171450</wp:posOffset>
            </wp:positionV>
            <wp:extent cx="4357370" cy="1810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57370" cy="181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key aspects of our AI models include: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Variables</w:t>
      </w:r>
    </w:p>
    <w:p>
      <w:pPr>
        <w:spacing w:after="0" w:line="10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Variables in our AI models have increased from 23 in 2014 to more than 1,600 as of September 30, 2020. These include factors related to credit experience, employment, educational history, bank account transactions, cost of living and loan application interactions.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Training Data</w:t>
      </w:r>
    </w:p>
    <w:p>
      <w:pPr>
        <w:spacing w:after="0" w:line="10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As of September 30, 2020, our models have been trained by more than 9 million repayment events such as a successful repayment or a delinquency. Upstart’s models learn from repayment data even while loan principal remains outstanding, allowing the models to improve in real time.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Modeling Techniques</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Growth in training data has enabled the development of increasingly sophisticated modeling techniques. For example, while earlier versions of our AI models were centered on logistic regression, our more recent models incorporate stochastic gradient boosting. We expect that our data science investments and continued growth of training data will unlock even more powerful techniques over time.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 Applications</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While our first model focused on predicting the likelihood of loan default, we have since applied models throughout the process of credit origination. These models quantify and reduce risk in various ways, while also increasing automation and funnel conversion.</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currently active AI models within the Upstart platform—shared by and available to all Upstart’s bank partners—include:</w:t>
      </w:r>
    </w:p>
    <w:p>
      <w:pPr>
        <w:spacing w:after="0" w:line="82" w:lineRule="exact"/>
        <w:rPr>
          <w:sz w:val="20"/>
          <w:szCs w:val="20"/>
          <w:color w:val="auto"/>
        </w:rPr>
      </w:pPr>
    </w:p>
    <w:p>
      <w:pPr>
        <w:ind w:left="1660" w:hanging="183"/>
        <w:spacing w:after="0"/>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Fee optimization</w:t>
      </w:r>
      <w:r>
        <w:rPr>
          <w:rFonts w:ascii="Arial" w:cs="Arial" w:eastAsia="Arial" w:hAnsi="Arial"/>
          <w:sz w:val="15"/>
          <w:szCs w:val="15"/>
          <w:color w:val="auto"/>
        </w:rPr>
        <w:t>—optimizes assignment of origination fees;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Income fraud</w:t>
      </w:r>
      <w:r>
        <w:rPr>
          <w:rFonts w:ascii="Arial" w:cs="Arial" w:eastAsia="Arial" w:hAnsi="Arial"/>
          <w:sz w:val="15"/>
          <w:szCs w:val="15"/>
          <w:color w:val="auto"/>
        </w:rPr>
        <w:t>—quantifies potential misrepresentation of borrower income;</w:t>
      </w:r>
    </w:p>
    <w:p>
      <w:pPr>
        <w:spacing w:after="0" w:line="97" w:lineRule="exact"/>
        <w:rPr>
          <w:rFonts w:ascii="Arial" w:cs="Arial" w:eastAsia="Arial" w:hAnsi="Arial"/>
          <w:sz w:val="15"/>
          <w:szCs w:val="15"/>
          <w:color w:val="auto"/>
        </w:rPr>
      </w:pPr>
    </w:p>
    <w:p>
      <w:pPr>
        <w:ind w:left="5500" w:right="2660" w:hanging="4023"/>
        <w:spacing w:after="0" w:line="440" w:lineRule="auto"/>
        <w:tabs>
          <w:tab w:leader="none" w:pos="1659"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Acquisition targeting</w:t>
      </w:r>
      <w:r>
        <w:rPr>
          <w:rFonts w:ascii="Arial" w:cs="Arial" w:eastAsia="Arial" w:hAnsi="Arial"/>
          <w:sz w:val="15"/>
          <w:szCs w:val="15"/>
          <w:color w:val="auto"/>
        </w:rPr>
        <w:t>—identifies consumers likely to qualify for and have need for a loan;</w:t>
      </w:r>
      <w:r>
        <w:rPr>
          <w:rFonts w:ascii="Arial" w:cs="Arial" w:eastAsia="Arial" w:hAnsi="Arial"/>
          <w:sz w:val="15"/>
          <w:szCs w:val="15"/>
          <w:i w:val="1"/>
          <w:iCs w:val="1"/>
          <w:color w:val="auto"/>
        </w:rPr>
        <w:t xml:space="preserve"> </w:t>
      </w:r>
      <w:r>
        <w:rPr>
          <w:rFonts w:ascii="Arial" w:cs="Arial" w:eastAsia="Arial" w:hAnsi="Arial"/>
          <w:sz w:val="15"/>
          <w:szCs w:val="15"/>
          <w:color w:val="auto"/>
        </w:rPr>
        <w:t>149</w:t>
      </w:r>
    </w:p>
    <w:p>
      <w:pPr>
        <w:sectPr>
          <w:pgSz w:w="11900" w:h="16838" w:orient="portrait"/>
          <w:cols w:equalWidth="0" w:num="1">
            <w:col w:w="10160"/>
          </w:cols>
          <w:pgMar w:left="320" w:top="407" w:right="141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660" w:hanging="183"/>
        <w:spacing w:after="0"/>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Loan stacking</w:t>
      </w:r>
      <w:r>
        <w:rPr>
          <w:rFonts w:ascii="Arial" w:cs="Arial" w:eastAsia="Arial" w:hAnsi="Arial"/>
          <w:sz w:val="15"/>
          <w:szCs w:val="15"/>
          <w:color w:val="auto"/>
        </w:rPr>
        <w:t>—identifies consumers likely to take out multiple loans in a short period of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Prepayment prediction</w:t>
      </w:r>
      <w:r>
        <w:rPr>
          <w:rFonts w:ascii="Arial" w:cs="Arial" w:eastAsia="Arial" w:hAnsi="Arial"/>
          <w:sz w:val="15"/>
          <w:szCs w:val="15"/>
          <w:color w:val="auto"/>
        </w:rPr>
        <w:t>—quantifies the likelihood that a consumer will make payments on a loan earlier than originally scheduled;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Identity fraud</w:t>
      </w:r>
      <w:r>
        <w:rPr>
          <w:rFonts w:ascii="Arial" w:cs="Arial" w:eastAsia="Arial" w:hAnsi="Arial"/>
          <w:sz w:val="15"/>
          <w:szCs w:val="15"/>
          <w:color w:val="auto"/>
        </w:rPr>
        <w:t>—quantifies the risk that an applicant is misrepresenting their identity;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Time-delimited default prediction</w:t>
      </w:r>
      <w:r>
        <w:rPr>
          <w:rFonts w:ascii="Arial" w:cs="Arial" w:eastAsia="Arial" w:hAnsi="Arial"/>
          <w:sz w:val="15"/>
          <w:szCs w:val="15"/>
          <w:color w:val="auto"/>
        </w:rPr>
        <w:t>—quantifies the likelihood of default for each period of the loan term.</w:t>
      </w:r>
    </w:p>
    <w:p>
      <w:pPr>
        <w:spacing w:after="0" w:line="26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Technology Infrastructure</w:t>
      </w:r>
    </w:p>
    <w:p>
      <w:pPr>
        <w:spacing w:after="0" w:line="19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Our cloud-based software platform incorporates modern technologies and software development approaches to allow for rapid development of new features.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Cloud-Native Technologies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run our technology platform as containerized services on the AWS cloud. Our architecture is designed for high availability and horizontal scalability. Our primary development platforms are Ruby on Rails and Python, but our Kubernetes-based compute environment gives us the flexibility to run heterogeneous workloads with minimal operational overhead. We deploy new software regularly without platform downtime, allowing borrowers and banks to immediately benefit from the latest updates to our platform.</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Data Integrity and Security</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information security program governs how we safeguard the confidentiality, integrity, and availability of our consumer data. Our environment is continuously monitored with a suite of tools designed to detect security events in both internal and user-facing systems. We engage with third parties to audit our security program and to perform regular penetration tests of our Web application and cloud environment.</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Configurable Multi-Tenant Architecture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bank partners, allowing customizations to everything from the applicant user interface to the core rules governing credit decisioning.</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Machine Learning Platform</w:t>
      </w:r>
    </w:p>
    <w:p>
      <w:pPr>
        <w:spacing w:after="0" w:line="105" w:lineRule="exact"/>
        <w:rPr>
          <w:sz w:val="20"/>
          <w:szCs w:val="20"/>
          <w:color w:val="auto"/>
        </w:rPr>
      </w:pPr>
    </w:p>
    <w:p>
      <w:pPr>
        <w:ind w:left="1020" w:right="420" w:firstLine="460"/>
        <w:spacing w:after="0" w:line="238" w:lineRule="auto"/>
        <w:rPr>
          <w:sz w:val="20"/>
          <w:szCs w:val="20"/>
          <w:color w:val="auto"/>
        </w:rPr>
      </w:pPr>
      <w:r>
        <w:rPr>
          <w:rFonts w:ascii="Arial" w:cs="Arial" w:eastAsia="Arial" w:hAnsi="Arial"/>
          <w:sz w:val="15"/>
          <w:szCs w:val="15"/>
          <w:color w:val="auto"/>
        </w:rPr>
        <w:t>In order to support innovation in our underwriting, fraud detection and acquisition models, we have developed proprietary technologies to enable data scientists to develop, train, test and deploy new model updates with minimal engineering support. Our backend systems are designed to flexibly integrate with multiple third-party data sources to feed these models and support real-time decisioning.</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Responsive Web Design</w:t>
      </w:r>
    </w:p>
    <w:p>
      <w:pPr>
        <w:spacing w:after="0" w:line="10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Our user interface is responsive to ensure applicants and borrowers have a smooth experience regardless of whether they are accessing our website from a desktop, mobile device or tablet.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00"/>
          </w:cols>
          <w:pgMar w:left="320" w:top="407" w:right="137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Robust Reporting and Integration Capabilities</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Our reporting APIs provide investors and bank partners the ability to access data through a programmatic interface. Our integration capabilities with bank partners include an ability to pre-fill applicant information via API and provide loan details in real-time to facilitate a seamless process from application to origination.</w:t>
      </w:r>
    </w:p>
    <w:p>
      <w:pPr>
        <w:spacing w:after="0" w:line="242"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Consumer Marketing</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our ability to offer lower rates than our competitors has improved significantly.</w:t>
      </w:r>
      <w:r>
        <w:rPr>
          <w:rFonts w:ascii="Arial" w:cs="Arial" w:eastAsia="Arial" w:hAnsi="Arial"/>
          <w:sz w:val="12"/>
          <w:szCs w:val="12"/>
          <w:color w:val="auto"/>
        </w:rPr>
        <w:t>108</w:t>
      </w:r>
      <w:r>
        <w:rPr>
          <w:rFonts w:ascii="Arial" w:cs="Arial" w:eastAsia="Arial" w:hAnsi="Arial"/>
          <w:sz w:val="15"/>
          <w:szCs w:val="15"/>
          <w:color w:val="auto"/>
        </w:rPr>
        <w:t xml:space="preserve"> Because our model changes in real time, we are able to extend new offer loans to applicants who were previously not eligible or were previously quoted a higher rate.</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growth and marketing initiatives are primarily focused on bringing potential borrowers to Upstart.com, where they can learn if they qualify for a loan from one of our bank partners and on what terms in only a few minutes. Our consumer acquisition channels combine a mix of online and offline, as well as paid and unpaid, channels. While we constantly experiment to expand and optimize our acquisition strategies, our largest channels include:</w:t>
      </w:r>
    </w:p>
    <w:p>
      <w:pPr>
        <w:spacing w:after="0" w:line="77" w:lineRule="exact"/>
        <w:rPr>
          <w:sz w:val="20"/>
          <w:szCs w:val="20"/>
          <w:color w:val="auto"/>
        </w:rPr>
      </w:pPr>
    </w:p>
    <w:p>
      <w:pPr>
        <w:ind w:left="1660" w:right="60" w:hanging="183"/>
        <w:spacing w:after="0" w:line="251"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i w:val="1"/>
          <w:iCs w:val="1"/>
          <w:color w:val="auto"/>
        </w:rPr>
        <w:t>Marketing affiliates</w:t>
      </w:r>
      <w:r>
        <w:rPr>
          <w:rFonts w:ascii="Arial" w:cs="Arial" w:eastAsia="Arial" w:hAnsi="Arial"/>
          <w:sz w:val="15"/>
          <w:szCs w:val="15"/>
          <w:color w:val="auto"/>
        </w:rPr>
        <w:t>—A variety of online media partners, such as loan aggregators, send us traffic on a cost per origination basis.</w:t>
      </w:r>
      <w:r>
        <w:rPr>
          <w:rFonts w:ascii="Arial" w:cs="Arial" w:eastAsia="Arial" w:hAnsi="Arial"/>
          <w:sz w:val="15"/>
          <w:szCs w:val="15"/>
          <w:i w:val="1"/>
          <w:iCs w:val="1"/>
          <w:color w:val="auto"/>
        </w:rPr>
        <w:t xml:space="preserve"> </w:t>
      </w:r>
      <w:r>
        <w:rPr>
          <w:rFonts w:ascii="Arial" w:cs="Arial" w:eastAsia="Arial" w:hAnsi="Arial"/>
          <w:sz w:val="15"/>
          <w:szCs w:val="15"/>
          <w:color w:val="auto"/>
        </w:rPr>
        <w:t>Many loan aggregators also incorporate credit data to provide online prescreened offers, which leads to highly targeted and interested referrals. We currently have relationships with approximately 30 online media partners.</w:t>
      </w:r>
    </w:p>
    <w:p>
      <w:pPr>
        <w:spacing w:after="0" w:line="67" w:lineRule="exact"/>
        <w:rPr>
          <w:rFonts w:ascii="Arial" w:cs="Arial" w:eastAsia="Arial" w:hAnsi="Arial"/>
          <w:sz w:val="15"/>
          <w:szCs w:val="15"/>
          <w:color w:val="auto"/>
        </w:rPr>
      </w:pPr>
    </w:p>
    <w:p>
      <w:pPr>
        <w:ind w:left="1660" w:right="160" w:hanging="183"/>
        <w:spacing w:after="0" w:line="251"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i w:val="1"/>
          <w:iCs w:val="1"/>
          <w:color w:val="auto"/>
        </w:rPr>
        <w:t>Direct mail</w:t>
      </w:r>
      <w:r>
        <w:rPr>
          <w:rFonts w:ascii="Arial" w:cs="Arial" w:eastAsia="Arial" w:hAnsi="Arial"/>
          <w:sz w:val="15"/>
          <w:szCs w:val="15"/>
          <w:color w:val="auto"/>
        </w:rPr>
        <w:t>—We apply our strengths in data science to target individuals who both qualify for and may have a need for an</w:t>
      </w:r>
      <w:r>
        <w:rPr>
          <w:rFonts w:ascii="Arial" w:cs="Arial" w:eastAsia="Arial" w:hAnsi="Arial"/>
          <w:sz w:val="15"/>
          <w:szCs w:val="15"/>
          <w:i w:val="1"/>
          <w:iCs w:val="1"/>
          <w:color w:val="auto"/>
        </w:rPr>
        <w:t xml:space="preserve"> </w:t>
      </w:r>
      <w:r>
        <w:rPr>
          <w:rFonts w:ascii="Arial" w:cs="Arial" w:eastAsia="Arial" w:hAnsi="Arial"/>
          <w:sz w:val="15"/>
          <w:szCs w:val="15"/>
          <w:color w:val="auto"/>
        </w:rPr>
        <w:t>Upstart-powered loan. The ability to analyze an individual’s credit data to target and mail prescreened offers of credit gives this channel a meaningful data advantage over other channels.</w:t>
      </w:r>
    </w:p>
    <w:p>
      <w:pPr>
        <w:spacing w:after="0" w:line="67" w:lineRule="exact"/>
        <w:rPr>
          <w:rFonts w:ascii="Arial" w:cs="Arial" w:eastAsia="Arial" w:hAnsi="Arial"/>
          <w:sz w:val="15"/>
          <w:szCs w:val="15"/>
          <w:color w:val="auto"/>
        </w:rPr>
      </w:pPr>
    </w:p>
    <w:p>
      <w:pPr>
        <w:ind w:left="1660" w:right="380" w:hanging="183"/>
        <w:spacing w:after="0" w:line="267"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i w:val="1"/>
          <w:iCs w:val="1"/>
          <w:color w:val="auto"/>
        </w:rPr>
        <w:t>Organic traffic</w:t>
      </w:r>
      <w:r>
        <w:rPr>
          <w:rFonts w:ascii="Arial" w:cs="Arial" w:eastAsia="Arial" w:hAnsi="Arial"/>
          <w:sz w:val="15"/>
          <w:szCs w:val="15"/>
          <w:color w:val="auto"/>
        </w:rPr>
        <w:t>—As our brand recognition and reputation grow, an increasing number of potential borrowers come directly to</w:t>
      </w:r>
      <w:r>
        <w:rPr>
          <w:rFonts w:ascii="Arial" w:cs="Arial" w:eastAsia="Arial" w:hAnsi="Arial"/>
          <w:sz w:val="15"/>
          <w:szCs w:val="15"/>
          <w:i w:val="1"/>
          <w:iCs w:val="1"/>
          <w:color w:val="auto"/>
        </w:rPr>
        <w:t xml:space="preserve"> </w:t>
      </w:r>
      <w:r>
        <w:rPr>
          <w:rFonts w:ascii="Arial" w:cs="Arial" w:eastAsia="Arial" w:hAnsi="Arial"/>
          <w:sz w:val="15"/>
          <w:szCs w:val="15"/>
          <w:color w:val="auto"/>
        </w:rPr>
        <w:t>Upstart.com simply by word of mouth.</w:t>
      </w:r>
    </w:p>
    <w:p>
      <w:pPr>
        <w:spacing w:after="0" w:line="55" w:lineRule="exact"/>
        <w:rPr>
          <w:rFonts w:ascii="Arial" w:cs="Arial" w:eastAsia="Arial" w:hAnsi="Arial"/>
          <w:sz w:val="15"/>
          <w:szCs w:val="15"/>
          <w:color w:val="auto"/>
        </w:rPr>
      </w:pPr>
    </w:p>
    <w:p>
      <w:pPr>
        <w:ind w:left="1660" w:right="40" w:hanging="183"/>
        <w:spacing w:after="0" w:line="267"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i w:val="1"/>
          <w:iCs w:val="1"/>
          <w:color w:val="auto"/>
        </w:rPr>
        <w:t>Email marketing</w:t>
      </w:r>
      <w:r>
        <w:rPr>
          <w:rFonts w:ascii="Arial" w:cs="Arial" w:eastAsia="Arial" w:hAnsi="Arial"/>
          <w:sz w:val="15"/>
          <w:szCs w:val="15"/>
          <w:color w:val="auto"/>
        </w:rPr>
        <w:t>—We have an automated email program that sends customized messages and reminders to potential borrowers</w:t>
      </w:r>
      <w:r>
        <w:rPr>
          <w:rFonts w:ascii="Arial" w:cs="Arial" w:eastAsia="Arial" w:hAnsi="Arial"/>
          <w:sz w:val="15"/>
          <w:szCs w:val="15"/>
          <w:i w:val="1"/>
          <w:iCs w:val="1"/>
          <w:color w:val="auto"/>
        </w:rPr>
        <w:t xml:space="preserve"> </w:t>
      </w:r>
      <w:r>
        <w:rPr>
          <w:rFonts w:ascii="Arial" w:cs="Arial" w:eastAsia="Arial" w:hAnsi="Arial"/>
          <w:sz w:val="15"/>
          <w:szCs w:val="15"/>
          <w:color w:val="auto"/>
        </w:rPr>
        <w:t>once they have created accounts to encourage them to complete their loan application.</w:t>
      </w:r>
    </w:p>
    <w:p>
      <w:pPr>
        <w:spacing w:after="0" w:line="55" w:lineRule="exact"/>
        <w:rPr>
          <w:rFonts w:ascii="Arial" w:cs="Arial" w:eastAsia="Arial" w:hAnsi="Arial"/>
          <w:sz w:val="15"/>
          <w:szCs w:val="15"/>
          <w:color w:val="auto"/>
        </w:rPr>
      </w:pPr>
    </w:p>
    <w:p>
      <w:pPr>
        <w:ind w:left="1660" w:right="760" w:hanging="183"/>
        <w:spacing w:after="0" w:line="267"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i w:val="1"/>
          <w:iCs w:val="1"/>
          <w:color w:val="auto"/>
        </w:rPr>
        <w:t>Online advertising</w:t>
      </w:r>
      <w:r>
        <w:rPr>
          <w:rFonts w:ascii="Arial" w:cs="Arial" w:eastAsia="Arial" w:hAnsi="Arial"/>
          <w:sz w:val="15"/>
          <w:szCs w:val="15"/>
          <w:color w:val="auto"/>
        </w:rPr>
        <w:t>—Search engines and social channels enable targeted outreach to potential borrowers with specific</w:t>
      </w:r>
      <w:r>
        <w:rPr>
          <w:rFonts w:ascii="Arial" w:cs="Arial" w:eastAsia="Arial" w:hAnsi="Arial"/>
          <w:sz w:val="15"/>
          <w:szCs w:val="15"/>
          <w:i w:val="1"/>
          <w:iCs w:val="1"/>
          <w:color w:val="auto"/>
        </w:rPr>
        <w:t xml:space="preserve"> </w:t>
      </w:r>
      <w:r>
        <w:rPr>
          <w:rFonts w:ascii="Arial" w:cs="Arial" w:eastAsia="Arial" w:hAnsi="Arial"/>
          <w:sz w:val="15"/>
          <w:szCs w:val="15"/>
          <w:color w:val="auto"/>
        </w:rPr>
        <w:t>messages.</w:t>
      </w:r>
    </w:p>
    <w:p>
      <w:pPr>
        <w:spacing w:after="0" w:line="55" w:lineRule="exact"/>
        <w:rPr>
          <w:rFonts w:ascii="Arial" w:cs="Arial" w:eastAsia="Arial" w:hAnsi="Arial"/>
          <w:sz w:val="15"/>
          <w:szCs w:val="15"/>
          <w:color w:val="auto"/>
        </w:rPr>
      </w:pPr>
    </w:p>
    <w:p>
      <w:pPr>
        <w:ind w:left="1660" w:right="300" w:hanging="183"/>
        <w:spacing w:after="0" w:line="251"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i w:val="1"/>
          <w:iCs w:val="1"/>
          <w:color w:val="auto"/>
        </w:rPr>
        <w:t>Podcast advertising</w:t>
      </w:r>
      <w:r>
        <w:rPr>
          <w:rFonts w:ascii="Arial" w:cs="Arial" w:eastAsia="Arial" w:hAnsi="Arial"/>
          <w:sz w:val="15"/>
          <w:szCs w:val="15"/>
          <w:color w:val="auto"/>
        </w:rPr>
        <w:t>—We purchase 30 or 60-second advertising placements on podcasts with a listener base that we believe</w:t>
      </w:r>
      <w:r>
        <w:rPr>
          <w:rFonts w:ascii="Arial" w:cs="Arial" w:eastAsia="Arial" w:hAnsi="Arial"/>
          <w:sz w:val="15"/>
          <w:szCs w:val="15"/>
          <w:i w:val="1"/>
          <w:iCs w:val="1"/>
          <w:color w:val="auto"/>
        </w:rPr>
        <w:t xml:space="preserve"> </w:t>
      </w:r>
      <w:r>
        <w:rPr>
          <w:rFonts w:ascii="Arial" w:cs="Arial" w:eastAsia="Arial" w:hAnsi="Arial"/>
          <w:sz w:val="15"/>
          <w:szCs w:val="15"/>
          <w:color w:val="auto"/>
        </w:rPr>
        <w:t>overlaps with Upstart’s target consumer base. These advertisements are designed by the Upstart team but are delivered to listeners by the podcast hosts.</w:t>
      </w:r>
    </w:p>
    <w:p>
      <w:pPr>
        <w:spacing w:after="0" w:line="16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 significant number of consumers that apply for a loan on Upstart.com learn about and access Upstart.com through the website of a loan aggregator, Credit Karma. The percentage of loan originations that were derived from traffic from Credit Karma was 28%, 38%, 38% and 52% in 2017, 2018, 2019 and the nine months ended September 30, 2020, respectively, and the percentage of loan originations that were derived from direct mail was 36%, 28%, 23% and 12%, in 2017, 2018, 2019 and the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66675</wp:posOffset>
            </wp:positionV>
            <wp:extent cx="64389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hanging="453"/>
        <w:spacing w:after="0" w:line="182" w:lineRule="auto"/>
        <w:tabs>
          <w:tab w:leader="none" w:pos="1480" w:val="left"/>
        </w:tabs>
        <w:numPr>
          <w:ilvl w:val="0"/>
          <w:numId w:val="92"/>
        </w:numPr>
        <w:rPr>
          <w:rFonts w:ascii="Arial" w:cs="Arial" w:eastAsia="Arial" w:hAnsi="Arial"/>
          <w:sz w:val="20"/>
          <w:szCs w:val="20"/>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220"/>
          </w:cols>
          <w:pgMar w:left="320" w:top="407" w:right="135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ended September 30, 2020, respectively. No other marketing channel contributed significantly compared to Credit Karma and direct mail. We have entered into a promotion agreement with Credit Karma that governs the terms and conditions between us and Credit Karma with respect to advertising the loans offered on our platform. Either party may terminate our arrangement immediately upon a material breach of any provision of the agreement or at any time, with or without cause, by providing no less than 30 days’ notice. Our agreement does not require Credit Karma to display offers from lenders on Upstart.com 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To date, Upstart has opted not to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w:t>
      </w:r>
    </w:p>
    <w:p>
      <w:pPr>
        <w:spacing w:after="0" w:line="246"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Bank Partnerships</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Outside of the four largest U.S. banks, there are approximately 5,200 FDIC insured institutions holding over $8 trillion in</w:t>
      </w:r>
    </w:p>
    <w:p>
      <w:pPr>
        <w:ind w:left="1020"/>
        <w:spacing w:after="0" w:line="235" w:lineRule="auto"/>
        <w:rPr>
          <w:sz w:val="20"/>
          <w:szCs w:val="20"/>
          <w:color w:val="auto"/>
        </w:rPr>
      </w:pPr>
      <w:r>
        <w:rPr>
          <w:rFonts w:ascii="Arial" w:cs="Arial" w:eastAsia="Arial" w:hAnsi="Arial"/>
          <w:sz w:val="15"/>
          <w:szCs w:val="15"/>
          <w:color w:val="auto"/>
        </w:rPr>
        <w:t>deposits.</w:t>
      </w:r>
      <w:r>
        <w:rPr>
          <w:rFonts w:ascii="Arial" w:cs="Arial" w:eastAsia="Arial" w:hAnsi="Arial"/>
          <w:sz w:val="12"/>
          <w:szCs w:val="12"/>
          <w:color w:val="auto"/>
        </w:rPr>
        <w:t>109</w:t>
      </w:r>
      <w:r>
        <w:rPr>
          <w:rFonts w:ascii="Arial" w:cs="Arial" w:eastAsia="Arial" w:hAnsi="Arial"/>
          <w:sz w:val="15"/>
          <w:szCs w:val="15"/>
          <w:color w:val="auto"/>
        </w:rPr>
        <w:t xml:space="preserve"> We predominantly target small to medium-sized banks with an appetite to invest in improved underwriting, digital originations</w:t>
      </w:r>
    </w:p>
    <w:p>
      <w:pPr>
        <w:ind w:left="1020"/>
        <w:spacing w:after="0" w:line="235" w:lineRule="auto"/>
        <w:rPr>
          <w:sz w:val="20"/>
          <w:szCs w:val="20"/>
          <w:color w:val="auto"/>
        </w:rPr>
      </w:pPr>
      <w:r>
        <w:rPr>
          <w:rFonts w:ascii="Arial" w:cs="Arial" w:eastAsia="Arial" w:hAnsi="Arial"/>
          <w:sz w:val="15"/>
          <w:szCs w:val="15"/>
          <w:color w:val="auto"/>
        </w:rPr>
        <w:t>and unsecured lending. As of September 30, 2020, we had 10 bank partners, including Cross River Bank, Customers Bank, FinWise</w:t>
      </w:r>
    </w:p>
    <w:p>
      <w:pPr>
        <w:ind w:left="1020"/>
        <w:spacing w:after="0" w:line="235" w:lineRule="auto"/>
        <w:rPr>
          <w:sz w:val="20"/>
          <w:szCs w:val="20"/>
          <w:color w:val="auto"/>
        </w:rPr>
      </w:pPr>
      <w:r>
        <w:rPr>
          <w:rFonts w:ascii="Arial" w:cs="Arial" w:eastAsia="Arial" w:hAnsi="Arial"/>
          <w:sz w:val="15"/>
          <w:szCs w:val="15"/>
          <w:color w:val="auto"/>
        </w:rPr>
        <w:t>Bank, First Federal Bank of Kansas City, First National Bank of Omaha, KEMBA Financial Credit Union, TCF Bank, Apple Bank for</w:t>
      </w:r>
    </w:p>
    <w:p>
      <w:pPr>
        <w:ind w:left="1020"/>
        <w:spacing w:after="0"/>
        <w:rPr>
          <w:sz w:val="20"/>
          <w:szCs w:val="20"/>
          <w:color w:val="auto"/>
        </w:rPr>
      </w:pPr>
      <w:r>
        <w:rPr>
          <w:rFonts w:ascii="Arial" w:cs="Arial" w:eastAsia="Arial" w:hAnsi="Arial"/>
          <w:sz w:val="15"/>
          <w:szCs w:val="15"/>
          <w:color w:val="auto"/>
        </w:rPr>
        <w:t>Savings and Ridgewood Savings Bank.</w:t>
      </w:r>
    </w:p>
    <w:p>
      <w:pPr>
        <w:spacing w:after="0" w:line="177"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For the years ended December 31, 2017, 2018 and 2019, fees received from Cross River Bank, or CRB, accounted for 83%, 81% and 80% of our total revenue, respectively. For the nine months ended September 30, 2019 and 2020, fees received from CRB accounted for 81% and 65% of our total revenue, respectively. We have entered into a loan program agreement that governs the terms and conditions between us and CRB with respect to loans facilitated through our platform and issued by CRB. The most recent loan program agreement with CRB began on January 1, 2019 and has a term of four years with an automatic renewal provision for an additional two years following the initial four year term. Either party may choose not to renew by providing the other party 120 days’ notice prior to the end of the initial term or any renewal term. In addition, during the term of our arrangement, CRB may reduce the volume of Upstart-powered loans that it chooses to fund and retain on its balance sheet or not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pays a termination fee of $450,000.</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have also entered into separate agreements with each of our other bank partners. Our agreements with our bank partners are non-exclusive, generally have 12-month terms that automatically renew, subject to certain early termination provisions and minimum fee amounts, and do not include any minimum origination obligations or origination limits. Our typical sales and onboarding process can be long and typically takes between six to 15 months. For three to six months, our sales team will work with a prospective bank partner to develop the business case for launching an Upstart-powered loan program and securing a line of business commitment. After this process is complete, the bank will typically spend three to six months conducting diligence, which includes sign-off from internal and external stakeholders, including regulators. Lastly, the bank will work with our solutions architecture and engineering team to integrate with our systems, which typically takes one to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160" w:hanging="453"/>
        <w:spacing w:after="0" w:line="182" w:lineRule="auto"/>
        <w:tabs>
          <w:tab w:leader="none" w:pos="1480" w:val="left"/>
        </w:tabs>
        <w:numPr>
          <w:ilvl w:val="0"/>
          <w:numId w:val="93"/>
        </w:numPr>
        <w:rPr>
          <w:rFonts w:ascii="Arial" w:cs="Arial" w:eastAsia="Arial" w:hAnsi="Arial"/>
          <w:sz w:val="20"/>
          <w:szCs w:val="20"/>
          <w:color w:val="auto"/>
          <w:vertAlign w:val="superscript"/>
        </w:rPr>
      </w:pPr>
      <w:r>
        <w:rPr>
          <w:rFonts w:ascii="Arial" w:cs="Arial" w:eastAsia="Arial" w:hAnsi="Arial"/>
          <w:sz w:val="12"/>
          <w:szCs w:val="12"/>
          <w:color w:val="auto"/>
        </w:rPr>
        <w:t>The dollar amount of deposits held by banks, other than the largest four banks, was aggregated by Upstart using data provided by the FDIC; see the section titled “Industry, Market and Other Data.”</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200"/>
          </w:cols>
          <w:pgMar w:left="320" w:top="407" w:right="137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After launch, our account managers and customer success team provide ongoing support to the bank. This includes operational communications, quality assurance, assistance with regulatory requests and quarterly business reviews. Our focus on providing exceptional ongoing support has resulted in minimal bank partner attrition to date. Instead, our partners have expanded credit limits and increased originations. Additionally, many of our bank partners have expressed interest in new Upstart products.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platform includes a cloud-based web application for all user interactions, including rate inquiry, loan offer presentation, adverse action notification, bank account verification and connectivity, borrower identity and credential verification, disclosure presentation and loan servicing. The software includes a variety of embedded AI models supporting and automating fraud prevention, credit decisioning and borrower verification. Bank partners also have access to an administrative interface for reporting and program management. We also perform regulatory fairness tests on bank partners’ behalf.</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Institutional Investors</w:t>
      </w:r>
    </w:p>
    <w:p>
      <w:pPr>
        <w:spacing w:after="0" w:line="19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Our platform allows bank partners to originate and retain loans that meet their business objectives. Because banks vary with respect to program objectives, risk tolerance and funding capacity, each bank’s program parameters can vary significantly. In the third quarter of 2020, approximately 22% of Upstart-powered loans originated by bank partners were retained by those bank partners.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Upstart-powered loans originated by bank partners can be sold to institutional investors through a variety of funding structures developed and supported by Upstart. As of September 30, 2020, loans from our bank partners were purchased or funded by our broad base of approximately 100 institutional investors and buyers. By leveraging our institutional investors’ broad and diverse capacity to absorb and distribute credit risk, we can develop our business and our AI models faster than if we relied only on the funding capacity of our bank partners. Accordingly, our growth is not limited by bank funding capacity or risk tolerance.</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began working with six institutional investors in 2015 and have relationships with approximately 100 institutional investors today, which include Goldman Sachs, PIMCO and funds managed by Morgan Stanley Investment Management. The institutional investors that participate in our loan funding programs include banks, insurance companies, ‘40 Act funds, hedge funds, private equity funds and other sources of institutional capital. These relationships have allowed us to expand our model beyond the risk profile of a typical bank. The combination of bank and institutional investor funding provides our platform with competitive and diverse capital, without Upstart having to retain risk in its capital markets programs.</w:t>
      </w:r>
    </w:p>
    <w:p>
      <w:pPr>
        <w:spacing w:after="0" w:line="172"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Our network of institutional investors includes purchasers of whole loans originated via Upstart’s platform, as well as capital markets investors that buy securities, such as pass-through certificates.</w:t>
      </w:r>
    </w:p>
    <w:p>
      <w:pPr>
        <w:spacing w:after="0" w:line="166" w:lineRule="exact"/>
        <w:rPr>
          <w:sz w:val="20"/>
          <w:szCs w:val="20"/>
          <w:color w:val="auto"/>
        </w:rPr>
      </w:pPr>
    </w:p>
    <w:p>
      <w:pPr>
        <w:jc w:val="both"/>
        <w:ind w:left="1020" w:right="120" w:firstLine="460"/>
        <w:spacing w:after="0" w:line="235" w:lineRule="auto"/>
        <w:rPr>
          <w:sz w:val="20"/>
          <w:szCs w:val="20"/>
          <w:color w:val="auto"/>
        </w:rPr>
      </w:pPr>
      <w:r>
        <w:rPr>
          <w:rFonts w:ascii="Arial" w:cs="Arial" w:eastAsia="Arial" w:hAnsi="Arial"/>
          <w:sz w:val="15"/>
          <w:szCs w:val="15"/>
          <w:color w:val="auto"/>
        </w:rPr>
        <w:t>In the case of whole loan purchasers, we typically enter into loan purchase agreements and loan servicing agreements with such purchasers. The loan purchase agreements provide for the purchaser to place requests (ordinarily on a monthly basis) to purchase pools of whole loans originated via Upstart’s platform by certain bank partners, which Upstart may attempt to fulfill on an uncommitted basis.</w:t>
      </w:r>
    </w:p>
    <w:p>
      <w:pPr>
        <w:ind w:left="1020" w:right="80"/>
        <w:spacing w:after="0" w:line="245" w:lineRule="auto"/>
        <w:rPr>
          <w:sz w:val="20"/>
          <w:szCs w:val="20"/>
          <w:color w:val="auto"/>
        </w:rPr>
      </w:pPr>
      <w:r>
        <w:rPr>
          <w:rFonts w:ascii="Arial" w:cs="Arial" w:eastAsia="Arial" w:hAnsi="Arial"/>
          <w:sz w:val="15"/>
          <w:szCs w:val="15"/>
          <w:color w:val="auto"/>
        </w:rPr>
        <w:t>Both the loan purchase and loan servicing agreements are typically terminable (i) for convenience after a notice period, (ii) following the passage of a term or (iii) after certain events of default. Loan purchasers may also cease to place requests to purchase loans at any time.</w:t>
      </w:r>
    </w:p>
    <w:p>
      <w:pPr>
        <w:spacing w:after="0" w:line="166"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Investors may also purchase interests in loans originated via Upstart’s platform in the form of pass-through certificates rather than whole loans. We have pass-through certificate programs sponsored by certain financial institutions under which investors can purchase securities collateralized by Upstart-powered loans from an issuer trust. Under each program, an affiliate of the sponsor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220"/>
          </w:cols>
          <w:pgMar w:left="320" w:top="407" w:right="135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(depositor) purchases loans from Upstart on an ongoing basis. Periodically, each of the master trusts form a new series trust that acquires loans originated in the prior month from the depositor and issues certificates, evidencing beneficial ownership in the series trust, to purchasers of such pass-through certificates. These institutional investors then receive a monthly distribution from the series trust.</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From Upstart’s perspective, there is little difference between whole loan sales and sales of pass-through certificates. Both programs are offered to provide flexibility to investors in our loan funding programs. Institutional investors may prefer pass-through certificates, which are more liquid, while other institutional investors may prefer whole loan purchases, which are generally more cost effective. The below table provides a breakdown of Upstart-powered loans purchased through whole loan sales and pass-through certificates.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5880" w:type="dxa"/>
            <w:vAlign w:val="bottom"/>
          </w:tcPr>
          <w:p>
            <w:pPr>
              <w:spacing w:after="0"/>
              <w:rPr>
                <w:sz w:val="12"/>
                <w:szCs w:val="12"/>
                <w:color w:val="auto"/>
              </w:rPr>
            </w:pPr>
          </w:p>
        </w:tc>
        <w:tc>
          <w:tcPr>
            <w:tcW w:w="200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rPr>
              <w:t>Year Ended December 31,</w:t>
            </w:r>
          </w:p>
        </w:tc>
        <w:tc>
          <w:tcPr>
            <w:tcW w:w="13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88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2017</w:t>
            </w:r>
          </w:p>
        </w:tc>
        <w:tc>
          <w:tcPr>
            <w:tcW w:w="14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37"/>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49"/>
        </w:trPr>
        <w:tc>
          <w:tcPr>
            <w:tcW w:w="58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Pass-Through Certificates</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5"/>
              <w:spacing w:after="0" w:line="149" w:lineRule="exact"/>
              <w:rPr>
                <w:sz w:val="20"/>
                <w:szCs w:val="20"/>
                <w:color w:val="auto"/>
              </w:rPr>
            </w:pPr>
            <w:r>
              <w:rPr>
                <w:rFonts w:ascii="Arial" w:cs="Arial" w:eastAsia="Arial" w:hAnsi="Arial"/>
                <w:sz w:val="14"/>
                <w:szCs w:val="14"/>
                <w:color w:val="auto"/>
                <w:w w:val="97"/>
              </w:rPr>
              <w:t>19,702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41,623</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30,266</w:t>
            </w:r>
          </w:p>
        </w:tc>
        <w:tc>
          <w:tcPr>
            <w:tcW w:w="60" w:type="dxa"/>
            <w:vAlign w:val="bottom"/>
            <w:shd w:val="clear" w:color="auto" w:fill="CCEEFF"/>
          </w:tcPr>
          <w:p>
            <w:pPr>
              <w:spacing w:after="0"/>
              <w:rPr>
                <w:sz w:val="12"/>
                <w:szCs w:val="12"/>
                <w:color w:val="auto"/>
              </w:rPr>
            </w:pPr>
          </w:p>
        </w:tc>
      </w:tr>
      <w:tr>
        <w:trPr>
          <w:trHeight w:val="164"/>
        </w:trPr>
        <w:tc>
          <w:tcPr>
            <w:tcW w:w="5880" w:type="dxa"/>
            <w:vAlign w:val="bottom"/>
          </w:tcPr>
          <w:p>
            <w:pPr>
              <w:spacing w:after="0"/>
              <w:rPr>
                <w:sz w:val="20"/>
                <w:szCs w:val="20"/>
                <w:color w:val="auto"/>
              </w:rPr>
            </w:pPr>
            <w:r>
              <w:rPr>
                <w:rFonts w:ascii="Arial" w:cs="Arial" w:eastAsia="Arial" w:hAnsi="Arial"/>
                <w:sz w:val="14"/>
                <w:szCs w:val="14"/>
                <w:color w:val="auto"/>
              </w:rPr>
              <w:t>Whole Loan Sales</w:t>
            </w:r>
          </w:p>
        </w:tc>
        <w:tc>
          <w:tcPr>
            <w:tcW w:w="500" w:type="dxa"/>
            <w:vAlign w:val="bottom"/>
          </w:tcPr>
          <w:p>
            <w:pPr>
              <w:jc w:val="right"/>
              <w:spacing w:after="0"/>
              <w:rPr>
                <w:sz w:val="20"/>
                <w:szCs w:val="20"/>
                <w:color w:val="auto"/>
              </w:rPr>
            </w:pPr>
            <w:r>
              <w:rPr>
                <w:rFonts w:ascii="Arial" w:cs="Arial" w:eastAsia="Arial" w:hAnsi="Arial"/>
                <w:sz w:val="14"/>
                <w:szCs w:val="14"/>
                <w:color w:val="auto"/>
              </w:rPr>
              <w:t>53,190</w:t>
            </w:r>
          </w:p>
        </w:tc>
        <w:tc>
          <w:tcPr>
            <w:tcW w:w="140" w:type="dxa"/>
            <w:vAlign w:val="bottom"/>
          </w:tcPr>
          <w:p>
            <w:pPr>
              <w:spacing w:after="0"/>
              <w:rPr>
                <w:sz w:val="14"/>
                <w:szCs w:val="14"/>
                <w:color w:val="auto"/>
              </w:rPr>
            </w:pPr>
          </w:p>
        </w:tc>
        <w:tc>
          <w:tcPr>
            <w:tcW w:w="500" w:type="dxa"/>
            <w:vAlign w:val="bottom"/>
          </w:tcPr>
          <w:p>
            <w:pPr>
              <w:jc w:val="center"/>
              <w:ind w:left="15"/>
              <w:spacing w:after="0"/>
              <w:rPr>
                <w:sz w:val="20"/>
                <w:szCs w:val="20"/>
                <w:color w:val="auto"/>
              </w:rPr>
            </w:pPr>
            <w:r>
              <w:rPr>
                <w:rFonts w:ascii="Arial" w:cs="Arial" w:eastAsia="Arial" w:hAnsi="Arial"/>
                <w:sz w:val="14"/>
                <w:szCs w:val="14"/>
                <w:color w:val="auto"/>
                <w:w w:val="97"/>
              </w:rPr>
              <w:t>76,720</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132,597</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86,912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123,205</w:t>
            </w:r>
          </w:p>
        </w:tc>
        <w:tc>
          <w:tcPr>
            <w:tcW w:w="60" w:type="dxa"/>
            <w:vAlign w:val="bottom"/>
          </w:tcPr>
          <w:p>
            <w:pPr>
              <w:spacing w:after="0"/>
              <w:rPr>
                <w:sz w:val="14"/>
                <w:szCs w:val="14"/>
                <w:color w:val="auto"/>
              </w:rPr>
            </w:pPr>
          </w:p>
        </w:tc>
      </w:tr>
    </w:tbl>
    <w:p>
      <w:pPr>
        <w:spacing w:after="0" w:line="173"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The whole loans or pass-through certificates purchased after origination may later be included in our asset-backed securitization transactions whereby interests in these Upstart-powered loans are sold to other institutional investors. The number of whole loans and pass-through certificates sold that were later included in an asset-backed securitization transaction were 15,971, 27,189 and 85,032 in 2017, 2018 and 2019, respectively. The number of whole loans and pass-through certificates sold that were later included in an asset-backed securitization transaction were 50,389 and 42,954 in the nine months ended September 30, 2019 and 2020, respectively.</w:t>
      </w:r>
    </w:p>
    <w:p>
      <w:pPr>
        <w:spacing w:after="0" w:line="170" w:lineRule="exact"/>
        <w:rPr>
          <w:sz w:val="20"/>
          <w:szCs w:val="20"/>
          <w:color w:val="auto"/>
        </w:rPr>
      </w:pPr>
    </w:p>
    <w:p>
      <w:pPr>
        <w:ind w:left="1020" w:right="200" w:firstLine="460"/>
        <w:spacing w:after="0" w:line="237" w:lineRule="auto"/>
        <w:rPr>
          <w:sz w:val="20"/>
          <w:szCs w:val="20"/>
          <w:color w:val="auto"/>
        </w:rPr>
      </w:pPr>
      <w:r>
        <w:rPr>
          <w:rFonts w:ascii="Arial" w:cs="Arial" w:eastAsia="Arial" w:hAnsi="Arial"/>
          <w:sz w:val="15"/>
          <w:szCs w:val="15"/>
          <w:color w:val="auto"/>
        </w:rPr>
        <w:t>For our asset-backed securitization transactions, we collaborate with investment banks to structure investments under which we and/or certain of the purchasers of whole loans or pass-through certificates described in the preceding paragraphs sell pools of whole loans to a bankruptcy-remote securitization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 We are typically retained by participating institutional investors to service the loans, and act in such servicing capacity for the life of the investment transaction.</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Operations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have developed sophisticated tools that our internal operations team uses to support the origination and servicing of credit. 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Our operations teams, including credit analysts, fraud specialists, customer support and payments specialists, work to deliver a seamless user experience to consumers on behalf of our bank partners.</w:t>
      </w:r>
    </w:p>
    <w:p>
      <w:pPr>
        <w:spacing w:after="0" w:line="166"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Customer operations is divided functionally by teams that focus on pre-origination experience (verification and customer support) and post-origination experience (loan servicing). Team members are distributed between our headquarters in San Mateo, California and our second headquarters in Columbus, Ohio.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220"/>
          </w:cols>
          <w:pgMar w:left="320" w:top="407" w:right="135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Verification and Customer Support Operations</w:t>
      </w:r>
    </w:p>
    <w:p>
      <w:pPr>
        <w:spacing w:after="0" w:line="105"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This team focuses on the minority of borrowers whose applications are not entirely automated (currently approximately 31% of Upstart-powered loans) or any applicant who has questions or issues throughout the application process. While approximately 31% of Upstart-powered loans involve human intervention, the vast majority of these loans are not fraudulent. Thus, our team focuses on expediting applicants through the process to the extent possible, while identifying and rejecting fraudulent applications. Our operations team works closely with our engineering and data science teams to further increase our levels of automation.</w:t>
      </w:r>
    </w:p>
    <w:p>
      <w:pPr>
        <w:spacing w:after="0" w:line="170"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Most prospective borrowers and applicants interact with Upstart via our online platform and help center, but we also make agent-based support readily available to all borrowers. For phone support, we partner with an external call center vendor and have a team of dedicated Upstart agents with specialized training.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Servicing Operations</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Upstart-powered loans are serviced via our homegrown platform. For borrowers who miss payments, we focus on early intervention and attempt to reach them via emails, calls, texts and skip-trace to help bring their account current or offer hardship options. Borrowers on our platform are supported via a combination of internal payments specialists and a third-party service provider.</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do not conduct collections activities in house. Accounts that are more than 30 days past due are referred to third-party collection agencies for collections. Debt collection calls and collection performance are reviewed regularly by our vendor management and quality assurance teams. Our operations and compliance teams each also perform onsite audits annually.</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average NPS for our bank partners’ lending programs reached 79 in the third quarter of 2020, we believe due to our continued focus on streamlining borrower interactions through automation.</w:t>
      </w:r>
      <w:r>
        <w:rPr>
          <w:rFonts w:ascii="Arial" w:cs="Arial" w:eastAsia="Arial" w:hAnsi="Arial"/>
          <w:sz w:val="12"/>
          <w:szCs w:val="12"/>
          <w:color w:val="auto"/>
        </w:rPr>
        <w:t>110</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left="1020" w:right="340" w:firstLine="460"/>
        <w:spacing w:after="0" w:line="238" w:lineRule="auto"/>
        <w:rPr>
          <w:sz w:val="20"/>
          <w:szCs w:val="20"/>
          <w:color w:val="auto"/>
        </w:rPr>
      </w:pPr>
      <w:r>
        <w:rPr>
          <w:rFonts w:ascii="Arial" w:cs="Arial" w:eastAsia="Arial" w:hAnsi="Arial"/>
          <w:sz w:val="15"/>
          <w:szCs w:val="15"/>
          <w:color w:val="auto"/>
        </w:rPr>
        <w:t>Consumer lending is a vast and competitive market, and we compete in varying degrees with all other sources of unsecured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On the bank partnership side, we compete with a variety of technology companies that aim to help banks with the digital transformation of their business, particularly with respect to all-digital lending. This includes new products from legacy bank technology providers as well as newer companies focused entirely on lending software infrastructure for banks. We may also face competition from banks or companies that have not previously competed in the consumer lending market, including companies with large and experienced data science teams and access to vast amounts of consumer-related information that could be used in the development of their own credit risk models.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we compete favorably based on the following competitive factors:</w:t>
      </w:r>
    </w:p>
    <w:p>
      <w:pPr>
        <w:spacing w:after="0" w:line="98" w:lineRule="exact"/>
        <w:rPr>
          <w:sz w:val="20"/>
          <w:szCs w:val="20"/>
          <w:color w:val="auto"/>
        </w:rPr>
      </w:pPr>
    </w:p>
    <w:p>
      <w:pPr>
        <w:ind w:left="1660" w:hanging="183"/>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Constantly improving AI models;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Compelling loan offers to consumers that improve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69850</wp:posOffset>
            </wp:positionV>
            <wp:extent cx="64389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right="360" w:hanging="453"/>
        <w:spacing w:after="0" w:line="182" w:lineRule="auto"/>
        <w:tabs>
          <w:tab w:leader="none" w:pos="1480" w:val="left"/>
        </w:tabs>
        <w:numPr>
          <w:ilvl w:val="0"/>
          <w:numId w:val="95"/>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For further information, see the section titled “Industry, Market and Other Data.”</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200"/>
          </w:cols>
          <w:pgMar w:left="320" w:top="407" w:right="137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Automated and user-friendly loan application process;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Consistent and predictable loan performance;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Cloud-native, multi-tenant architecture;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Combination of technology and customer acquisition for bank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Robust and diverse loan funding program;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Brand recognition and trust.</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and the loans made through our platform by our bank partners are subject to extensive and complex rules and regulations and examination by various federal, state and local government authorities. Failure to comply with any of the applicable rules and regulations may result in, among other things, revocation of required licenses or registration, loss of approved status, effective voiding or rescission of the loan contracts, class action lawsuits, administrative enforcement actions and civil and criminal liability. While compliance with such requirements is at times complicated by our novel business model, we believe we are, at a minimum, in substantial compliance with these rules and regulations.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are currently, and expect in the future, to be regulated by the CFPB. In addition to the CFPB, other state and federal agencies have the ability to regulate aspects of our business. For example, the Dodd-Frank Act, as well as many state statutes, provide a mechanism for state attorneys general to investigate us. In addition, as a result of our relationships with bank partners, we are subject to oversight by federal banking agencies, including the FDIC and the Federal Trade Commission has jurisdiction to investigate aspects of our business, including with respect to marketing practices. Further, we are subject to inspections, examinations, supervision and regulation by applicable agencies in each state in which we are licensed. Regulatory oversight of our business may change over time. By way of example, California’s governor has enacted legislation to create a “mini-CFPB” agency, which seeks to emulate the CFPB with respect to its enforcement and supervisory capabilities as well as require additional state registration for certain covered persons. We expect that regulatory examinations by both federal and state agencies will continue, and there can be no assurance that the results of such examinations will not have a material adverse effect on us.</w:t>
      </w:r>
    </w:p>
    <w:p>
      <w:pPr>
        <w:spacing w:after="0" w:line="174" w:lineRule="exact"/>
        <w:rPr>
          <w:sz w:val="20"/>
          <w:szCs w:val="20"/>
          <w:color w:val="auto"/>
        </w:rPr>
      </w:pPr>
    </w:p>
    <w:p>
      <w:pPr>
        <w:jc w:val="both"/>
        <w:ind w:left="1020" w:right="240" w:firstLine="460"/>
        <w:spacing w:after="0"/>
        <w:rPr>
          <w:sz w:val="20"/>
          <w:szCs w:val="20"/>
          <w:color w:val="auto"/>
        </w:rPr>
      </w:pPr>
      <w:r>
        <w:rPr>
          <w:rFonts w:ascii="Arial" w:cs="Arial" w:eastAsia="Arial" w:hAnsi="Arial"/>
          <w:sz w:val="15"/>
          <w:szCs w:val="15"/>
          <w:color w:val="auto"/>
        </w:rPr>
        <w:t>Below, we summarize several of the material federal lending, servicing and related laws applicable to our business. Many states have laws and regulations that are similar to the federal consumer protection laws referred to below, but the degree and nature of such laws and regulations vary from state to state.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Federal Lending and Related Laws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Truth in Lending Act</w:t>
      </w:r>
    </w:p>
    <w:p>
      <w:pPr>
        <w:spacing w:after="0" w:line="10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rules apply to loans facilitated through our platform, and we assist with compliance as part of the services we provide to our bank partners. For closed-end credit transactions, required disclosures include, among others, providing the annual percentage rate, the finance charge, the amount financed, the number of payments, the amount of the monthly payment, the presence and amount of certain fees, and the presence of certain contractual terms. TILA also regulates the advertising of credit and gives borrowers, among other things, certain rights regarding updated</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200"/>
          </w:cols>
          <w:pgMar w:left="320" w:top="407" w:right="137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disclosures and the treatment of credit balances. We, on behalf of the applicable bank partner, provide applicants with a TILA disclosure when applicants complete their loan applications on our platform. If the applicant’s request is not fully funded and the applicant chooses to accept a lesser amount offered, we provide an updated TILA disclosure on behalf of the applicable bank partner. We also seek to comply with TILA’s disclosure requirements related to credit advertising and, to the extent that we hold or service loans, TILA’s requirements related to treatment of credit balances for closed-end loans. We also can facilitate the origination of a limited number of credit card accounts through our platform. In connection with such accounts, TILA requires the provision of certain solicitation and account-opening disclosures. TILA also imposes requirements on the terms of credit card accounts, and the process of originating and servicing such accounts. Though our platform may facilitate the origination of credit card accounts by a bank partner, we do not originate or service such accounts at this time.</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Equal Credit Opportunity Act</w:t>
      </w:r>
    </w:p>
    <w:p>
      <w:pPr>
        <w:spacing w:after="0" w:line="10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The Equal Credit Opportunity Act, or ECOA, prohibits creditors from discriminating against credit applicants on the basis of race, color, sex, age (provided that the applicant has the capacity to enter 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restricts creditors from requesting certain types of information from loan applicants or engaging in certain loan-related practices, and from using advertising or making statements that would discourage on a prohibited basis a reasonable person from making or pursuing an application. These requirements apply to bank partners for loans facilitated through our platform as well as to us as a service provider that assists in the process. We abide by policies and procedures implemented by our bank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their having been declined. On behalf of our bank partners, we provide prospective borrowers who apply for a loan through our platform but are denied credit with an adverse action notice in compliance with applicable requirements.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February 5, 2020, a consumer advocacy group released a report alleging that lenders may charge higher rates to certain borrowers who attend community colleges or historically Black or Hispanic colleges or universities. To support this conclusion, the consumer advocacy group selectively compared the results from only a small number of consumer interest rate inquiries made to, among others, lenders using Upstart’s platform. In addition, on February 13, 2020, we received an inquiry from five members of the U.S. Senate seeking information regarding our compliance with ECOA, and in July 2020, three of these Senators recommended to the CFPB as part of their inquiry findings, that the CFPB further review Upstart’s use of educational variables in its model and requested that the CFPB stop issuing no-action letters related to ECOA. Upstart strongly disputes the underlying conclusions of the consumer advocacy group’s report as it pertained to Upstart’s practices, given that Upstart’s model considers over 1,600 variables, all of which contribute to the quoted rate. Notwithstanding that we believe our model and our bank partners’ lending facilitated by our model comply with ECOA, reports from consumer advocacy groups and associated legislative and/or regulatory inquiries could create negative publicity and increase the risk of private litigation or government enforcement. On December 1, 2020, in connection with these inquiries, we entered into an agreement with the LDF and the SBPC, in which we agreed to, among other things, participate in fair lending reviews of our AI model. See the section titled “Risk Factors—Risks Related to Our Business and Industry” for more information.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00"/>
          </w:cols>
          <w:pgMar w:left="320" w:top="407" w:right="137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Credit Reporting Act</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federal Fair Credit Reporting Act, or FCRA, as amended by the Fair and Accurate Credit Transactions Act, and administered by the CFPB, promotes the accuracy, fairness, and privacy of information in the files of consumer reporting agencies. FCRA requires a permissible purpose to obtain a consumer credit report and requires that persons who report loan payment information to credit bureaus do so accurately and to resolve disputes regarding reported information timely. FCRA also imposes disclosure requirements on creditors who take adverse action on credit applications based on information contained in a credit report.</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Under FCRA, certain information must be provided to applicants whose credit applications are not approved on the basis of a report obtained from a consumer reporting agency, promptly update any credit information reported to a credit reporting agency about a customer and have a process by which customers may inquire about credit information furnished by us to a consumer reporting agency. We and our bank partners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We provide an adverse action notice to a rejected applicants on behalf of each bank partner on our platform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Debt Collection Practices Act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federal Fair Debt Collection Practices Act, or FDCPA,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third-party debt collectors, debt collection laws of certain states impose similar requirements more broadly on creditors who collect their own debts. In addition, the CFPB prohibits unfair, deceptive or abusive acts or practices, or UDAAPs in debt collection, including first-party debt collection. In addition, on October 30, 2020, the CFPB issued a final rule implementing the requirements of the FDCPA, which will likely take effect in late 2021. The CFPB also anticipates issuing a second final rule on debt collection focused on consumer disclosures in December 2020, which would also likely take effect approximately one year after publication. We use our internal collection team and professional third-party debt collection agents to collect delinquent accounts. Any third-party debt collection agents we use are required to comply with the FDCPA and all other applicable laws in collecting delinquent accounts of borrowers. While our internal servicing team is not subject to the formal requirements of the FDCPA in most cases, we have established policies intended to substantially comply with the collection practice requirements under the FDCPA as a means of complying with more general UDAAP standards.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Privacy and Data Security Laws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federal Gramm-Leach-Bliley Act, or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We collect and use a wide variety of information to help ensure the integrity of our services and to provide features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20"/>
          </w:cols>
          <w:pgMar w:left="320" w:top="407" w:right="135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00"/>
        <w:spacing w:after="0" w:line="235" w:lineRule="auto"/>
        <w:rPr>
          <w:sz w:val="20"/>
          <w:szCs w:val="20"/>
          <w:color w:val="auto"/>
        </w:rPr>
      </w:pPr>
      <w:r>
        <w:rPr>
          <w:rFonts w:ascii="Arial" w:cs="Arial" w:eastAsia="Arial" w:hAnsi="Arial"/>
          <w:sz w:val="15"/>
          <w:szCs w:val="15"/>
          <w:color w:val="auto"/>
        </w:rPr>
        <w:t>and functionality to our customers. This aspect of our business, including the collection, use, and protection of the information we acquire from our own services as well as from third-party sources, is subject to laws and regulations in the United States. Accordingly, we publish our privacy policies and terms of service, which describe our practices concerning the use, transmission, and disclosure of information.</w:t>
      </w:r>
    </w:p>
    <w:p>
      <w:pPr>
        <w:ind w:left="1020" w:right="40"/>
        <w:spacing w:after="0" w:line="238" w:lineRule="auto"/>
        <w:rPr>
          <w:sz w:val="20"/>
          <w:szCs w:val="20"/>
          <w:color w:val="auto"/>
        </w:rPr>
      </w:pPr>
      <w:r>
        <w:rPr>
          <w:rFonts w:ascii="Arial" w:cs="Arial" w:eastAsia="Arial" w:hAnsi="Arial"/>
          <w:sz w:val="15"/>
          <w:szCs w:val="15"/>
          <w:color w:val="auto"/>
        </w:rPr>
        <w:t>We have a detailed privacy policy, which complies with GLBA and is accessible from every page of our website. We maintain consumers’ personal information securely, and we do not sell, rent or share such information with third parties for marketing purposes unless previously agreed to by the consumer. In addition, we take measures to safeguard the personal information of borrowers and investors and protect against unauthorized access to this information. As our business continues to expand, and as state and federal laws and regulations continue to be passed and their interpretations continue to evolve, additional laws and regulations may become relevant to us.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Dodd-Frank Wall Street Reform and Consumer Protection Act</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July 2010, the Dodd-Frank Act was signed into law. The Dodd-Frank Act is extensive and significant legislation that includes consumer protection provisions. Among other things, the Dodd-Frank Act created the CFPB, which commenced operations in July 2011 and has significant authority to implement and enforce federal consumer financial laws, such as the TILA and ECOA. The CFPB is authorized to prevent “unfair, deceptive or abusive acts or practices” through its regulatory, supervisory and enforcement authority. The CFPB also engages in consumer financial education, requests data and promotes the availability of financial services to underserved customers and communities. The CFPB has regulatory and enforcement powers over most providers of consumer financial products and services, including us. It also has supervisory and examination powers over certain providers of consumer financial products and services, including large banks, payday lenders, “larger participants” in certain financial services markets defined by CFPB regulation, and non-bank entities determined to present a risk to consumers after notice and an opportunity to respond.</w:t>
      </w:r>
    </w:p>
    <w:p>
      <w:pPr>
        <w:spacing w:after="0" w:line="17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CFPB has imposed, and will continue to impose, restrictions on lending practices, including with respect to the terms of certain loans. We and our bank partners are subject to the CFPB’s enforcement authority and, although the number of public enforcement actions has decreased under the new CFPB leadership, it has not fully ceased, and could increase under different leadership. The CFPB may request reports concerning our organization, business conduct, markets and activities. In addition, the CFPB may, in connection with its supervisory authority, also conduct on-site examinations of our and our bank partners’ businesses on a periodic basis, subject to whether the applicable bank partner satisfies the assets threshold for CFPB supervision. If the CFPB were to conclude that our loan origination assistance or servicing activities, or any loans originated by our bank partners on our platform, violate applicable laws or regulations, we could be subject to a formal or informal inquiry, investigation and/or enforcement action. Formal enforcement actions are generally made public, which carries reputational risk. In addition, the market price of our common stock could decline as a result of the initiation of a CFPB investigation of Upstart or even the perception that such an investigation could occur, even in the absence of any finding by the CFPB that we have violated any state or federal law. We are not currently subject to any enforcement actions by the CFPB.</w:t>
      </w:r>
    </w:p>
    <w:p>
      <w:pPr>
        <w:spacing w:after="0" w:line="174"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For more information regarding the CFPB and the CFPB rules to which we are subject or may become subject, see “Risk Factors” included elsewhere in this prospectus.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Federal Trade Commission Act</w:t>
      </w:r>
    </w:p>
    <w:p>
      <w:pPr>
        <w:spacing w:after="0" w:line="10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Under Section 5 of the Federal Trade Commission Act, we and our bank partners are prohibited from engaging in unfair and deceptive acts and practices. For nonbank financial institutions, the FTC is the primary regulator enforcing this prohibition, and in recent years the FTC has been focused on practices of financial technology companies. Based on publicly available actions, the FTC’s primary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00"/>
          </w:cols>
          <w:pgMar w:left="320" w:top="407" w:right="137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The FTC also is currently engaged in litigation with LendingClub regarding, among other things, the adequacy of its disclosures of an origination fee associated with the product. Based upon recent statements by FTC officials, we believe this scrutiny will continue in the near future.</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Electronic Fund Transfer Act and NACHA Rules</w:t>
      </w:r>
    </w:p>
    <w:p>
      <w:pPr>
        <w:spacing w:after="0" w:line="105"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our bank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While NACHA guidelines are not laws, failure to comply with them may nevertheless result in commercial harm to our business. All transfers of funds related to our operations conform to the EFTA, its regulations and NACHA guidelines. As part of our servicing activities, we obtain necessary electronic authorization from borrowers and investors for such transfers in compliance with such rules. The loans offered on our platform by our bank partners must also comply with the requirement that a loan cannot be conditioned on the borrower’s agreement to repay the loan through recurring electronic fund transfers.</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Electronic Signatures in Global and National Commerce Act</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and provide disclosures to consumers (otherwise required to be “in writing” in electronic form), to obtain the consumer’s consent to receive information electronically. When a consumer registers on our platform, we obtain his or her consent to transact business electronically, receive electronic disclosures and maintain electronic records in compliance with ESIGN and UETA requirements, and we maintain electronic signatures and records in a manner intended to support enforceability of relevant consumer agreements and consents.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Federal Marketing Regulations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Telephone Consumer Protection Act, or TCPA,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Upstart’s policies address the requirements of the TCPA as well as FTC Telemarketing Sales Rule and other laws limiting telephone outreach. Furthermore, Upstart does not engage in certain activities covered by the TCPA, such as using an automated dialer.</w:t>
      </w:r>
    </w:p>
    <w:p>
      <w:pPr>
        <w:spacing w:after="0" w:line="172"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Federal Controlling the Assault of Non-Solicited Pornography and Marketing, or CAN-SPAM, Act makes it unlawful to send certain electronic mail messages that contain false or deceptive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20"/>
          </w:cols>
          <w:pgMar w:left="320" w:top="407" w:right="135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rPr>
          <w:sz w:val="20"/>
          <w:szCs w:val="20"/>
          <w:color w:val="auto"/>
        </w:rPr>
      </w:pPr>
      <w:r>
        <w:rPr>
          <w:rFonts w:ascii="Arial" w:cs="Arial" w:eastAsia="Arial" w:hAnsi="Arial"/>
          <w:sz w:val="15"/>
          <w:szCs w:val="15"/>
          <w:color w:val="auto"/>
        </w:rPr>
        <w:t>information and provide other protections for email users. CAN-SPAM also requires the need to provide a functioning mechanism that allows the recipient to opt-out of receiving future commercial e-mail messages from the sender of such messages. Upstart’s email communications with all consumers are formulated to comply with the CAN-SPAM Act.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Servicemembers Civil Relief Act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Under the Servicemembers Civil Relief Act, or SCRA, there are limits on interest rates chargeable to military personnel and civil judicial proceedings against them, and there are limitations on our ability to collect on a loan to servicemembers on active duty originated prior to the servicemember entering active duty status and, in certain cases, for a period of time thereafter. The SCRA allows military members to suspend or postpone certain civil obligations so that the military member can devote his or her full attention to military duties. The SCRA requires us to adjust the interest rate charged on loans to borrowers who qualify for and request relief. If a borrower with an outstanding loan qualifies for SCRA protection the interest rate on their loan (including certain fees) will be reduced to 6% for the duration of the borrower’s active duty. During this period, any interest holder in the loan will not receive the difference between 6% and the loan’s original interest rate. As part of the services we provide, we require the borrower to send us a written request and a copy of the borrower’s mobilization orders to obtain an interest rate reduction on a loan due to military service. Other protections offered to servicemembers under the SCRA, including protections related to the collection of loans, do not require the servicemember to take any particular action, such as submitting military orders, to claim benefits.</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Military Lending Act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Under the Military Lending Act, certain members of the armed forces serving on active duty and their dependents must be identified and be provided with certain protections when becoming obligated on a consumer credit transaction. These protections include: a limit on the Military Annual Percentage Rate (an all-in cost-of-credit measure which is the same as the APR for loans facilitated on our platform) of 36%, certain required disclosures before origination, a prohibition on charging prepayment penalties and a prohibition on arbitration agreements and certain other loan agreement terms. As part of the services we provide, we ensure compliance with the requirements of the Military Lending Act.</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Bank Secrecy Act, USA PATRIOT Act, and U.S. Sanctions Laws</w:t>
      </w:r>
    </w:p>
    <w:p>
      <w:pPr>
        <w:spacing w:after="0" w:line="105"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Under the Bank Secrecy Act, the Uniting and Strengthening America by Providing Appropriate Tools Required to Intercept and Obstruct Terrorism Act, or USA PATRIOT ACT, and certain U.S. sanctions laws, our bank partners are required to maintain anti-money laundering, customer due diligence and record-keeping policies and procedures, which we perform on behalf of our bank partners, and to avoid doing business with certain sanctioned persons or entities or certain types of sanctioned activity in certain countries. We have implemented an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the U.S. Department of the Treasury and OFAC pursuant to the USA PATRIOT Act amendments to the Bank Secrecy Act and its implementing regulation.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00"/>
          </w:cols>
          <w:pgMar w:left="320" w:top="407" w:right="137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Bankruptcy Code</w:t>
      </w:r>
    </w:p>
    <w:p>
      <w:pPr>
        <w:spacing w:after="0" w:line="105"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Under the Bankruptcy Code, we are regulated and in certain circumstances prohibited by the automatic stay, reorganization plan and discharge provisions, among others, in seeking enforcement of debts against parties who have filed for bankruptcy protection. Our policies are designed to support compliance with the Bankruptcy Code as we service and collect loans.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State Lending Regulations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Usury Limitations</w:t>
      </w:r>
    </w:p>
    <w:p>
      <w:pPr>
        <w:spacing w:after="0" w:line="10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 xml:space="preserve">With respect to bank partners that are subject to Section 521 of the Depository Institution Deregulation and Monetary Control Act of 1980, or DIDMCA, (for FDIC-insured, state banks originating loans on our platform, which represent the vast majority of loans originated) or Section 85 of the National Bank Act, or NBA, (for national banks originating loans on our platform), federal case law interpreting such provisions (including interpretations of the NBA under </w:t>
      </w:r>
      <w:r>
        <w:rPr>
          <w:rFonts w:ascii="Arial" w:cs="Arial" w:eastAsia="Arial" w:hAnsi="Arial"/>
          <w:sz w:val="15"/>
          <w:szCs w:val="15"/>
          <w:i w:val="1"/>
          <w:iCs w:val="1"/>
          <w:color w:val="auto"/>
        </w:rPr>
        <w:t>Tiffany v. National Bank of Missouri</w:t>
      </w:r>
      <w:r>
        <w:rPr>
          <w:rFonts w:ascii="Arial" w:cs="Arial" w:eastAsia="Arial" w:hAnsi="Arial"/>
          <w:sz w:val="15"/>
          <w:szCs w:val="15"/>
          <w:color w:val="auto"/>
        </w:rPr>
        <w:t xml:space="preserve"> and </w:t>
      </w:r>
      <w:r>
        <w:rPr>
          <w:rFonts w:ascii="Arial" w:cs="Arial" w:eastAsia="Arial" w:hAnsi="Arial"/>
          <w:sz w:val="15"/>
          <w:szCs w:val="15"/>
          <w:i w:val="1"/>
          <w:iCs w:val="1"/>
          <w:color w:val="auto"/>
        </w:rPr>
        <w:t>Marquette National Bank of Minneapolis v.</w:t>
      </w:r>
      <w:r>
        <w:rPr>
          <w:rFonts w:ascii="Arial" w:cs="Arial" w:eastAsia="Arial" w:hAnsi="Arial"/>
          <w:sz w:val="15"/>
          <w:szCs w:val="15"/>
          <w:color w:val="auto"/>
        </w:rPr>
        <w:t xml:space="preserve"> </w:t>
      </w:r>
      <w:r>
        <w:rPr>
          <w:rFonts w:ascii="Arial" w:cs="Arial" w:eastAsia="Arial" w:hAnsi="Arial"/>
          <w:sz w:val="15"/>
          <w:szCs w:val="15"/>
          <w:i w:val="1"/>
          <w:iCs w:val="1"/>
          <w:color w:val="auto"/>
        </w:rPr>
        <w:t>First Omaha Service Corporation</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 relevant regulatory guidance (including FDIC advisory opinion 92-47) permit certain depository</w:t>
      </w:r>
      <w:r>
        <w:rPr>
          <w:rFonts w:ascii="Arial" w:cs="Arial" w:eastAsia="Arial" w:hAnsi="Arial"/>
          <w:sz w:val="15"/>
          <w:szCs w:val="15"/>
          <w:i w:val="1"/>
          <w:iCs w:val="1"/>
          <w:color w:val="auto"/>
        </w:rPr>
        <w:t xml:space="preserve"> </w:t>
      </w:r>
      <w:r>
        <w:rPr>
          <w:rFonts w:ascii="Arial" w:cs="Arial" w:eastAsia="Arial" w:hAnsi="Arial"/>
          <w:sz w:val="15"/>
          <w:szCs w:val="15"/>
          <w:color w:val="auto"/>
        </w:rPr>
        <w:t>institutions to “export” requirements regarding interest rates and certain fees considered to be “interest” under federal law from the state or U.S. territory where the bank is located for all loans originated from such state, regardless of the usury limitations imposed by the state law of the borrower’s residence or other states with which the loan may have a geographic nexus, unless the state has chosen to opt out of the exportation regime. We believe, however, if a state or U.S. territory in which we operate opted out of rate exportation, judicial interpretations support the view that such opt outs would apply only to loans “made” in those states. We believe that the “opt-out” of any state would not affect the ability of our platform to benefit from the exportation of rates. If a loan made through our platform by a bank partner were deemed to be subject to the usury laws of a state or U.S. territory that had opted-out of the exportation regime, if the loan were not originated in a manner that permitted exportation of interest rate requirements from the state we and our bank partners believed applied at the time of origination, if the loan bore interest or certain fees in excess of the amounts permitted by the state in which the loan was “made” for exportation purposes (or was otherwise in violation of such state’s relevant usury and fee laws) or if the interest exportation authority were determined not to apply to a loan under any particular circumstances, we, our bank partners, or subsequent holders of such loans could become subject to fines, penalties and possible forfeiture of amounts charged to borrowers, and we could decide not to permit bank partners to originate loans in that jurisdiction through our platform or our bank partners or loan investors could choose not to continue doing business with us in such jurisdiction or more broadly, which could adversely impact our growth.</w:t>
      </w:r>
    </w:p>
    <w:p>
      <w:pPr>
        <w:spacing w:after="0" w:line="183"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There have also been recent judicial decisions that could affect the collectability of loans sold by our bank partners after origination and the exposure of loan purchasers to potential fines or other penalties for usury violations. See the section titled “Risk Factors</w:t>
      </w:r>
      <w:r>
        <w:rPr>
          <w:rFonts w:ascii="Arial" w:cs="Arial" w:eastAsia="Arial" w:hAnsi="Arial"/>
          <w:sz w:val="15"/>
          <w:szCs w:val="15"/>
          <w:i w:val="1"/>
          <w:iCs w:val="1"/>
          <w:color w:val="auto"/>
        </w:rPr>
        <w:t>”</w:t>
      </w:r>
      <w:r>
        <w:rPr>
          <w:rFonts w:ascii="Arial" w:cs="Arial" w:eastAsia="Arial" w:hAnsi="Arial"/>
          <w:sz w:val="15"/>
          <w:szCs w:val="15"/>
          <w:color w:val="auto"/>
        </w:rPr>
        <w:t xml:space="preserve"> for more information about recent case law developments</w:t>
      </w:r>
      <w:r>
        <w:rPr>
          <w:rFonts w:ascii="Arial" w:cs="Arial" w:eastAsia="Arial" w:hAnsi="Arial"/>
          <w:sz w:val="15"/>
          <w:szCs w:val="15"/>
          <w:i w:val="1"/>
          <w:iCs w:val="1"/>
          <w:color w:val="auto"/>
        </w:rPr>
        <w: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Disclosure and Lending Practice Requirements</w:t>
      </w:r>
    </w:p>
    <w:p>
      <w:pPr>
        <w:spacing w:after="0" w:line="105"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The loans originated on our platform by our bank partners may be subject to state laws and regulations that impose requirements related to loan disclosures and terms, credit discrimination, credit reporting, debt collection, and unfair or deceptive business practices. Our ongoing compliance program seeks to comply with these requirements.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Licensing/Registration</w:t>
      </w:r>
    </w:p>
    <w:p>
      <w:pPr>
        <w:spacing w:after="0" w:line="10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hold licenses, registrations, and similar filings so that we can conduct business, including providing referral services and origination assistance to lenders on our platform and servicing and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200"/>
          </w:cols>
          <w:pgMar w:left="320" w:top="407" w:right="137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collecting loans, in all states and the District of Columbia where our activities require such licensure, registration or filing. With respect to our securitization trusts, we have a national bank that serves as our owner trustee and is itself exempt from licensure. Although we are not aware of a state taking the position that the trust itself needs licensure, it is possible that a state or states could take such position in the future. Licenses granted by the regulatory agencies in various states are subject to periodic renewal and may be revoked or suspended for failure to comply with applicable state and federal laws and regulations. In addition, as the product offerings of Upstart or our bank partners change, as states enact new licensing requirements or amend existing licensing laws or regulations, or as states regulators or courts adjust their interpretations of licensing statutes and regulations, we may be required to obtain additional licenses. To that end, we have a small number of applications submitted and pending to obtain additional licenses, particularly with respect to obtaining additional authorization to engage in student loan servicing and collection activities. We are also typically required to complete an annual report (or its equivalent) to each state’s regulator. The statutes also typically subject us to the supervisory and examination authority of state regulators.</w:t>
      </w:r>
    </w:p>
    <w:p>
      <w:pPr>
        <w:spacing w:after="0" w:line="17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State licensing statutes impose a variety of requirements and restrictions, including:</w:t>
      </w:r>
    </w:p>
    <w:p>
      <w:pPr>
        <w:spacing w:after="0" w:line="98" w:lineRule="exact"/>
        <w:rPr>
          <w:sz w:val="20"/>
          <w:szCs w:val="20"/>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record-keeping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collection and servicing practices;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requirements governing electronic payments, transactions, signatures and disclosures;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examination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surety bond and minimum net worth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financial reporting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notification requirements for changes in principal officers, stock ownership or corporate control;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restrictions on advertising and other loan solicitation activity, as well as restrictions on loan referral or similar practices.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Federal Securities Regulations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Securities Act</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have relied upon the availability of Rule 506 of Regulation D to exempt our prior offerings of equity securities from registration under the Securities Act. Upstart and certain of our subsidiaries have also relied on Section 4(a)(2) of the Securities Act for placement of asset-backed securities, or ABS directly to investors or to investment bank initial purchasers, which have relied on Rule 144A and Regulation S exemptions from registration to place such ABS to qualified institutional buyers and non-U.S. investors, respectively.</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Investment Company Act</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220"/>
          </w:cols>
          <w:pgMar w:left="320" w:top="407" w:right="135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Investment Advisers Act</w:t>
      </w:r>
    </w:p>
    <w:p>
      <w:pPr>
        <w:spacing w:after="0" w:line="10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Broker-Dealer Regulations under the Exchange Act</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ABS Risk Retention Rules</w:t>
      </w:r>
    </w:p>
    <w:p>
      <w:pPr>
        <w:spacing w:after="0" w:line="10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of assets that the securitizer transfers or sells to an issuing entity and that collateralize asset-backed securities that are sold to a third party. We believe we have structured our organization such that we are in compliance with Regulation RR and will continue to conduct our business in a manner that allows us to remain in compliance with this regulation.</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Compliance</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review our policies and procedures to ensure compliance with applicable regulatory laws and regulations applicable to us and our bank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00"/>
          </w:cols>
          <w:pgMar w:left="320" w:top="407" w:right="137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protect our intellectual property through a combination of trademarks, domain names, copyrights and trade secrets, as well as through contractual provisions, our information security infrastructure and restrictions on access to or use of our proprietary technology. As of September 30, 2020, we had 2 patent applications in the United States related to our proprietary risk model. We may file additional patent applications or pursue additional patent protection in the future to the extent we believe it will be beneficial.</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We have trademark rights in our name, our logo and other brand indicia, and have trademark registrations for select marks in the United States. We will pursue additional trademark registrations to the extent we believe it will be beneficial. We also have registered domain names for websites that we use in our business. We may be subject to third party claims from time to time with respect to our intellectual property.</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For additional information about our intellectual property and associated risks, see the section titled “Risk Factors—Risks Related to Our Business and Industry.”</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Employees and Human Capital</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built something very special at Upstart in terms of our company culture. Building a great place to work for the best talent was a priority for us from day one. It is not an accident that we have received best place to work awards in both our San Mateo and Columbus locations. Our employee engagement results are seven points higher than our technology peers and have even increased over the past year during the COVID-19 pandemic.</w:t>
      </w:r>
      <w:r>
        <w:rPr>
          <w:rFonts w:ascii="Arial" w:cs="Arial" w:eastAsia="Arial" w:hAnsi="Arial"/>
          <w:sz w:val="12"/>
          <w:szCs w:val="12"/>
          <w:color w:val="auto"/>
        </w:rPr>
        <w:t>111</w:t>
      </w:r>
    </w:p>
    <w:p>
      <w:pPr>
        <w:spacing w:after="0" w:line="172"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We have brought together a remarkable diversity of thinkers. The members of our management team come from diverse backgrounds with varying ethnicities, education backgrounds, genders and ages. As the focal point of our human capital strategy, we attract and recruit diverse, exceptionally talented, highly educated, experienced and motivated employees.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an extremely rigorous recruiting and employee candidate screening process. For example, since August 2015, we considered, on average, close to 1,000 data science candidates for every hire we made in our machine learning team. Our machine learning team, responsible for the development and constant improvement of our AI models, is unlike any other in consumer lending. The majority of the members of our machine learning team have doctorate degrees in statistics, mathematics, computer science, economics or physics and many have extensive past experience in quantitative finance.</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Beyond delivering on business results, our employees are engaged in a culture of collaboration and community—they have founded more than 20 clubs and special interest groups, created seven employee resource groups and hosted countless lunch and learns on topics ranging from startup financing to salsa classes taught by our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80" w:hanging="453"/>
        <w:spacing w:after="0" w:line="182" w:lineRule="auto"/>
        <w:tabs>
          <w:tab w:leader="none" w:pos="1480" w:val="left"/>
        </w:tabs>
        <w:numPr>
          <w:ilvl w:val="0"/>
          <w:numId w:val="98"/>
        </w:numPr>
        <w:rPr>
          <w:rFonts w:ascii="Arial" w:cs="Arial" w:eastAsia="Arial" w:hAnsi="Arial"/>
          <w:sz w:val="20"/>
          <w:szCs w:val="20"/>
          <w:color w:val="auto"/>
          <w:vertAlign w:val="superscript"/>
        </w:rPr>
      </w:pPr>
      <w:r>
        <w:rPr>
          <w:rFonts w:ascii="Arial" w:cs="Arial" w:eastAsia="Arial" w:hAnsi="Arial"/>
          <w:sz w:val="12"/>
          <w:szCs w:val="12"/>
          <w:color w:val="auto"/>
        </w:rPr>
        <w:t>Based on internal survey results obtained using a third-party service as compared to an industry benchmark for technology companies of a similar size provided by such third-party.</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00"/>
          </w:cols>
          <w:pgMar w:left="320" w:top="407" w:right="137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As of September 30, 2020, we had 429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corporate headquarters are located in San Mateo, California and Columbus, Ohio and consist of approximately 48,000 square feet and 13,000 square feet of space, respectively, under leases that expire in March 2024 and December 2026, respectively. We also lease and license facilities in New York, New York. We believe that our facilities are adequate for our current needs and that, if necessary, additional facilities will be available to accommodate the expansion of our business.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From time to time, we and certain of our subsidiaries may be subject to legal proceedings and claims that arise in the ordinary course of business, as well as governmental and other regulatory investigations and proceedings. In addition, third parties may from time to time assert claims against us in the form of letters and other communications. We are not currently subject to any legal proceedings that, if determined adversely to us, would, in our opinion, have a material adverse effect on our business, results of operations or financial condition. Future litigation may be necessary to defend ourselves or our partners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200"/>
          </w:cols>
          <w:pgMar w:left="320" w:top="407" w:right="137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jc w:val="center"/>
              <w:ind w:right="3225"/>
              <w:spacing w:after="0"/>
              <w:rPr>
                <w:sz w:val="20"/>
                <w:szCs w:val="20"/>
                <w:color w:val="auto"/>
              </w:rPr>
            </w:pPr>
            <w:r>
              <w:rPr>
                <w:rFonts w:ascii="Arial" w:cs="Arial" w:eastAsia="Arial" w:hAnsi="Arial"/>
                <w:sz w:val="15"/>
                <w:szCs w:val="15"/>
                <w:b w:val="1"/>
                <w:bCs w:val="1"/>
                <w:color w:val="auto"/>
              </w:rPr>
              <w:t>MANAGEMENT</w:t>
            </w:r>
          </w:p>
        </w:tc>
      </w:tr>
      <w:tr>
        <w:trPr>
          <w:trHeight w:val="439"/>
        </w:trPr>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tcPr>
          <w:p>
            <w:pPr>
              <w:jc w:val="center"/>
              <w:ind w:right="3245"/>
              <w:spacing w:after="0"/>
              <w:rPr>
                <w:sz w:val="20"/>
                <w:szCs w:val="20"/>
                <w:color w:val="auto"/>
              </w:rPr>
            </w:pPr>
            <w:r>
              <w:rPr>
                <w:rFonts w:ascii="Arial" w:cs="Arial" w:eastAsia="Arial" w:hAnsi="Arial"/>
                <w:sz w:val="15"/>
                <w:szCs w:val="15"/>
                <w:b w:val="1"/>
                <w:bCs w:val="1"/>
                <w:color w:val="auto"/>
              </w:rPr>
              <w:t>Executive Officers and Directors</w:t>
            </w:r>
          </w:p>
        </w:tc>
      </w:tr>
      <w:tr>
        <w:trPr>
          <w:trHeight w:val="349"/>
        </w:trPr>
        <w:tc>
          <w:tcPr>
            <w:tcW w:w="9200" w:type="dxa"/>
            <w:vAlign w:val="bottom"/>
            <w:gridSpan w:val="6"/>
          </w:tcPr>
          <w:p>
            <w:pPr>
              <w:ind w:left="460"/>
              <w:spacing w:after="0"/>
              <w:rPr>
                <w:sz w:val="20"/>
                <w:szCs w:val="20"/>
                <w:color w:val="auto"/>
              </w:rPr>
            </w:pPr>
            <w:r>
              <w:rPr>
                <w:rFonts w:ascii="Arial" w:cs="Arial" w:eastAsia="Arial" w:hAnsi="Arial"/>
                <w:sz w:val="15"/>
                <w:szCs w:val="15"/>
                <w:color w:val="auto"/>
              </w:rPr>
              <w:t>The following table provides information regarding our executive officers and directors as of September 30, 2020:</w:t>
            </w:r>
          </w:p>
        </w:tc>
      </w:tr>
      <w:tr>
        <w:trPr>
          <w:trHeight w:val="339"/>
        </w:trPr>
        <w:tc>
          <w:tcPr>
            <w:tcW w:w="26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480" w:type="dxa"/>
            <w:vAlign w:val="bottom"/>
            <w:gridSpan w:val="2"/>
          </w:tcPr>
          <w:p>
            <w:pPr>
              <w:ind w:left="40"/>
              <w:spacing w:after="0"/>
              <w:rPr>
                <w:sz w:val="20"/>
                <w:szCs w:val="20"/>
                <w:color w:val="auto"/>
              </w:rPr>
            </w:pPr>
            <w:r>
              <w:rPr>
                <w:rFonts w:ascii="Arial" w:cs="Arial" w:eastAsia="Arial" w:hAnsi="Arial"/>
                <w:sz w:val="12"/>
                <w:szCs w:val="12"/>
                <w:b w:val="1"/>
                <w:bCs w:val="1"/>
                <w:color w:val="auto"/>
              </w:rPr>
              <w:t>Age</w:t>
            </w:r>
          </w:p>
        </w:tc>
        <w:tc>
          <w:tcPr>
            <w:tcW w:w="6060" w:type="dxa"/>
            <w:vAlign w:val="bottom"/>
            <w:gridSpan w:val="2"/>
          </w:tcPr>
          <w:p>
            <w:pPr>
              <w:ind w:left="180"/>
              <w:spacing w:after="0"/>
              <w:rPr>
                <w:sz w:val="20"/>
                <w:szCs w:val="20"/>
                <w:color w:val="auto"/>
              </w:rPr>
            </w:pPr>
            <w:r>
              <w:rPr>
                <w:rFonts w:ascii="Arial" w:cs="Arial" w:eastAsia="Arial" w:hAnsi="Arial"/>
                <w:sz w:val="12"/>
                <w:szCs w:val="12"/>
                <w:b w:val="1"/>
                <w:bCs w:val="1"/>
                <w:color w:val="auto"/>
              </w:rPr>
              <w:t>Position(s)</w:t>
            </w:r>
          </w:p>
        </w:tc>
      </w:tr>
      <w:tr>
        <w:trPr>
          <w:trHeight w:val="160"/>
        </w:trPr>
        <w:tc>
          <w:tcPr>
            <w:tcW w:w="24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i w:val="1"/>
                <w:iCs w:val="1"/>
                <w:color w:val="auto"/>
              </w:rPr>
              <w:t>Executive Officers:</w:t>
            </w:r>
          </w:p>
        </w:tc>
        <w:tc>
          <w:tcPr>
            <w:tcW w:w="1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880" w:type="dxa"/>
            <w:vAlign w:val="bottom"/>
            <w:tcBorders>
              <w:top w:val="single" w:sz="8" w:color="auto"/>
            </w:tcBorders>
            <w:shd w:val="clear" w:color="auto" w:fill="CCEEFF"/>
          </w:tcPr>
          <w:p>
            <w:pPr>
              <w:spacing w:after="0"/>
              <w:rPr>
                <w:sz w:val="13"/>
                <w:szCs w:val="13"/>
                <w:color w:val="auto"/>
              </w:rPr>
            </w:pP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Dave Girouard</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54</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Co-Founder, Chief Executive Officer, Chairperson of the Board</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Sanjay Datta</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46</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Chief Financial Officer</w:t>
            </w: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Anna M. Counselman</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39</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Co-Founder, SVP, People and Operations</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Paul Gu</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29</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Co-Founder, SVP, Product and Data Science, Director</w:t>
            </w:r>
          </w:p>
        </w:tc>
      </w:tr>
      <w:tr>
        <w:trPr>
          <w:trHeight w:val="180"/>
        </w:trPr>
        <w:tc>
          <w:tcPr>
            <w:tcW w:w="2660" w:type="dxa"/>
            <w:vAlign w:val="bottom"/>
            <w:gridSpan w:val="2"/>
          </w:tcPr>
          <w:p>
            <w:pPr>
              <w:spacing w:after="0"/>
              <w:rPr>
                <w:sz w:val="20"/>
                <w:szCs w:val="20"/>
                <w:color w:val="auto"/>
              </w:rPr>
            </w:pPr>
            <w:r>
              <w:rPr>
                <w:rFonts w:ascii="Arial" w:cs="Arial" w:eastAsia="Arial" w:hAnsi="Arial"/>
                <w:sz w:val="15"/>
                <w:szCs w:val="15"/>
                <w:color w:val="auto"/>
              </w:rPr>
              <w:t>Alison Nicoll</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48</w:t>
            </w:r>
          </w:p>
        </w:tc>
        <w:tc>
          <w:tcPr>
            <w:tcW w:w="6060" w:type="dxa"/>
            <w:vAlign w:val="bottom"/>
            <w:gridSpan w:val="2"/>
          </w:tcPr>
          <w:p>
            <w:pPr>
              <w:ind w:left="180"/>
              <w:spacing w:after="0"/>
              <w:rPr>
                <w:sz w:val="20"/>
                <w:szCs w:val="20"/>
                <w:color w:val="auto"/>
              </w:rPr>
            </w:pPr>
            <w:r>
              <w:rPr>
                <w:rFonts w:ascii="Arial" w:cs="Arial" w:eastAsia="Arial" w:hAnsi="Arial"/>
                <w:sz w:val="15"/>
                <w:szCs w:val="15"/>
                <w:color w:val="auto"/>
              </w:rPr>
              <w:t>General Counsel</w:t>
            </w:r>
          </w:p>
        </w:tc>
      </w:tr>
      <w:tr>
        <w:trPr>
          <w:trHeight w:val="169"/>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80" w:type="dxa"/>
            <w:vAlign w:val="bottom"/>
          </w:tcPr>
          <w:p>
            <w:pPr>
              <w:spacing w:after="0"/>
              <w:rPr>
                <w:sz w:val="14"/>
                <w:szCs w:val="14"/>
                <w:color w:val="auto"/>
              </w:rPr>
            </w:pP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Non-Employee Directors:</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80" w:type="dxa"/>
            <w:vAlign w:val="bottom"/>
            <w:shd w:val="clear" w:color="auto" w:fill="CCEEFF"/>
          </w:tcPr>
          <w:p>
            <w:pPr>
              <w:spacing w:after="0"/>
              <w:rPr>
                <w:sz w:val="14"/>
                <w:szCs w:val="14"/>
                <w:color w:val="auto"/>
              </w:rPr>
            </w:pP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Mary Hentges</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61</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Oskar Mielczarek de la Miel</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47</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Ciaran O’Kelly</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52</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Robert Schwartz</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58</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Sukhinder Singh Cassidy</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50</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Hilliard C. Terry III</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50</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Director</w:t>
            </w:r>
          </w:p>
        </w:tc>
      </w:tr>
    </w:tbl>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8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b w:val="1"/>
          <w:bCs w:val="1"/>
          <w:i w:val="1"/>
          <w:iCs w:val="1"/>
          <w:color w:val="auto"/>
        </w:rPr>
        <w:t xml:space="preserve">Dave Girouard. </w:t>
      </w:r>
      <w:r>
        <w:rPr>
          <w:rFonts w:ascii="Arial" w:cs="Arial" w:eastAsia="Arial" w:hAnsi="Arial"/>
          <w:sz w:val="15"/>
          <w:szCs w:val="15"/>
          <w:color w:val="auto"/>
        </w:rPr>
        <w:t>Mr. Girouard is one of our co-founders and has served as our Chief Executive Officer and a member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of directors since our incorporation. From February 2004 to April 2012, Mr. Girouard served in various roles at Google, a technology company, most recently as President of Google Enterprise, where he helped build Google’s cloud applications business worldwide, including product development, sales, marketing, and customer support. He started his career in Silicon Valley as a Product Manager at Apple, a technology company, and previously served as an associate in the consulting firm Booz Allen’s Information Technology practice. Mr. Girouard’s career began in software development with the Boston office of Accenture, a consulting firm. He graduated from Dartmouth College with a B.A. in Engineering Sciences and a B.E. in Computer Engineering. Mr. Girouard also holds an M.B.A. from the University of Michigan with High Distinction.</w:t>
      </w:r>
    </w:p>
    <w:p>
      <w:pPr>
        <w:spacing w:after="0" w:line="171"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Mr. Girouard was selected to serve on our board of directors because of the perspective and experience he brings as our Chief Executive Officer and as one of our co-founders, as well as his extensive experience with technology companies.</w:t>
      </w:r>
    </w:p>
    <w:p>
      <w:pPr>
        <w:spacing w:after="0" w:line="148" w:lineRule="exact"/>
        <w:rPr>
          <w:sz w:val="20"/>
          <w:szCs w:val="20"/>
          <w:color w:val="auto"/>
        </w:rPr>
      </w:pPr>
    </w:p>
    <w:p>
      <w:pPr>
        <w:ind w:left="1020" w:right="4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Sanjay Datta. </w:t>
      </w:r>
      <w:r>
        <w:rPr>
          <w:rFonts w:ascii="Arial" w:cs="Arial" w:eastAsia="Arial" w:hAnsi="Arial"/>
          <w:sz w:val="15"/>
          <w:szCs w:val="15"/>
          <w:color w:val="auto"/>
        </w:rPr>
        <w:t>Mr. Datta has served as our Chief Financial Officer since December 2016. From June 2005 to December 2016,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in various roles at Google, including as Vice President of Finance for Global Advertising, Finance Director of Corporate Revenue and Product Profitability, and in various international finance leadership positions based in Asia and Europe. Prior to Google, Mr. Datta worked at Artisan Capital, a private investment group, from November 2002 to May 2005, sourcing and reviewing prospective private equity investments, and worked at Deloitte Consulting, a consulting firm, from June 1996 to July 2000. Mr. Datta has a joint honors degree in Economics and Finance from McGill University in Montreal and an M.B.A. from Stanford University.</w:t>
      </w:r>
    </w:p>
    <w:p>
      <w:pPr>
        <w:spacing w:after="0" w:line="151"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 xml:space="preserve">Anna M. Counselman. </w:t>
      </w:r>
      <w:r>
        <w:rPr>
          <w:rFonts w:ascii="Arial" w:cs="Arial" w:eastAsia="Arial" w:hAnsi="Arial"/>
          <w:sz w:val="15"/>
          <w:szCs w:val="15"/>
          <w:color w:val="auto"/>
        </w:rPr>
        <w:t>Ms. Counselman is one of our co-founders and has served in various roles since May 2012,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most recently as Senior Vice President, People and Operations. From February 2007 to May 2012, she served in various roles at Google, including most recently as Head of Premium Services &amp; Customer Programs. Ms. Counselman began her career in industrial operations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20"/>
          </w:cols>
          <w:pgMar w:left="320" w:top="407" w:right="135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45" w:lineRule="auto"/>
        <w:rPr>
          <w:sz w:val="20"/>
          <w:szCs w:val="20"/>
          <w:color w:val="auto"/>
        </w:rPr>
      </w:pPr>
      <w:r>
        <w:rPr>
          <w:rFonts w:ascii="Arial" w:cs="Arial" w:eastAsia="Arial" w:hAnsi="Arial"/>
          <w:sz w:val="15"/>
          <w:szCs w:val="15"/>
          <w:color w:val="auto"/>
        </w:rPr>
        <w:t>at a management development program at McMaster-Carr, a supplier of hardware, tools, raw materials, and maintenance equipment industrial materials. Ms. Counselman graduated Summa Cum Laude from Boston University with a B.A. in Finance and Entrepreneurship.</w:t>
      </w:r>
    </w:p>
    <w:p>
      <w:pPr>
        <w:spacing w:after="0" w:line="148"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Paul Gu. </w:t>
      </w:r>
      <w:r>
        <w:rPr>
          <w:rFonts w:ascii="Arial" w:cs="Arial" w:eastAsia="Arial" w:hAnsi="Arial"/>
          <w:sz w:val="15"/>
          <w:szCs w:val="15"/>
          <w:color w:val="auto"/>
        </w:rPr>
        <w:t>Mr. Gu is one of our co-founders and has served in various roles since April 2012, including most recently as our Senior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Vice President, Product and Data Science. He has also served as a member of our board of directors since April 2015. Mr. Gu has a background in quantitative finance, built his first algorithmic trading strategies on the Interactive Brokers API at the age of 20 and previously worked in risk analysis at the D.E. Shaw Group, a hedge fund, in 2011. During college, Mr. Gu led underwriting for two non-profit microlenders in the United States. Mr. Gu studied economics and computer science at Yale University and then joined the Thiel Fellowship.</w:t>
      </w:r>
    </w:p>
    <w:p>
      <w:pPr>
        <w:spacing w:after="0" w:line="169"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Mr. Gu was selected to serve on our board of directors because of the perspective and experience he brings as our Senior Vice President, Product and Data Science and as one of our co-founders, as well as his expertise in data science.</w:t>
      </w:r>
    </w:p>
    <w:p>
      <w:pPr>
        <w:spacing w:after="0" w:line="148"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Alison Nicoll. </w:t>
      </w:r>
      <w:r>
        <w:rPr>
          <w:rFonts w:ascii="Arial" w:cs="Arial" w:eastAsia="Arial" w:hAnsi="Arial"/>
          <w:sz w:val="15"/>
          <w:szCs w:val="15"/>
          <w:color w:val="auto"/>
        </w:rPr>
        <w:t>Ms. Nicoll has served as our General Counsel since May 2012. From July 2006 to May 2012, Ms. Nicoll worked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legal team at PayPal, Inc., a financial services technology company, where she ultimately served as Associate General Counsel and managed the North America legal team responsible for supporting multiple business units on issues ranging from corporate strategy, general commercial matters, regulatory developments and compliance, consumer protection, online and mobile payments and merchant payment acceptance. From 2003 to 2006, she also served as the General Counsel of TSYS Prepaid, a prepaid payments processing company. Ms. Nicoll holds a law degree from the University of Glasgow in Scotland and a Masters of Law from Columbia Law School.</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Non-Employee Directors</w:t>
      </w:r>
    </w:p>
    <w:p>
      <w:pPr>
        <w:spacing w:after="0" w:line="87"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Mary Hentges. </w:t>
      </w:r>
      <w:r>
        <w:rPr>
          <w:rFonts w:ascii="Arial" w:cs="Arial" w:eastAsia="Arial" w:hAnsi="Arial"/>
          <w:sz w:val="15"/>
          <w:szCs w:val="15"/>
          <w:color w:val="auto"/>
        </w:rPr>
        <w:t>Ms. Hentges has served as a member of our board of directors since December 2019. Ms. Hentges currently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serves as the Interim Chief Financial Officer for ShotSpotter, a precision-policing solutions company. Ms. Hentges previously served as the Chief Financial Officer of Yapstone, Inc., a financial services company, from 2012 to 2014, the Chief Financial Officer of CBS Interactive, a media company, from 2010 to 2012, and the Chief Financial Officer of PayPal, Inc. from 2003 to 2010. She is also a Certified Public Accountant (inactive). Ms. Hentges holds a B.S. in Accounting from Arizona State University.</w:t>
      </w:r>
    </w:p>
    <w:p>
      <w:pPr>
        <w:spacing w:after="0" w:line="167"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Ms. Hentges was selected to serve on our board of directors because of her financial expertise and extensive experience as an executive in the technology industry.</w:t>
      </w:r>
    </w:p>
    <w:p>
      <w:pPr>
        <w:spacing w:after="0" w:line="148" w:lineRule="exact"/>
        <w:rPr>
          <w:sz w:val="20"/>
          <w:szCs w:val="20"/>
          <w:color w:val="auto"/>
        </w:rPr>
      </w:pPr>
    </w:p>
    <w:p>
      <w:pPr>
        <w:ind w:left="1020" w:right="60" w:firstLine="460"/>
        <w:spacing w:after="0" w:line="241" w:lineRule="auto"/>
        <w:rPr>
          <w:sz w:val="20"/>
          <w:szCs w:val="20"/>
          <w:color w:val="auto"/>
        </w:rPr>
      </w:pPr>
      <w:r>
        <w:rPr>
          <w:rFonts w:ascii="Arial" w:cs="Arial" w:eastAsia="Arial" w:hAnsi="Arial"/>
          <w:sz w:val="15"/>
          <w:szCs w:val="15"/>
          <w:b w:val="1"/>
          <w:bCs w:val="1"/>
          <w:i w:val="1"/>
          <w:iCs w:val="1"/>
          <w:color w:val="auto"/>
        </w:rPr>
        <w:t xml:space="preserve">Oskar Mielczarek de la Miel. </w:t>
      </w:r>
      <w:r>
        <w:rPr>
          <w:rFonts w:ascii="Arial" w:cs="Arial" w:eastAsia="Arial" w:hAnsi="Arial"/>
          <w:sz w:val="15"/>
          <w:szCs w:val="15"/>
          <w:color w:val="auto"/>
        </w:rPr>
        <w:t>Mr. Mielczarek de la Miel has served as a member of our board of directors since November 2016.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Mielczarek de la Miel is an executive officer of Rakuten, Inc. a technology company, and is Managing Partner at Rakuten Capital, the corporate venture capital arm of Rakuten, Inc., where he manages fintech, mobility, digital media and other investments. He also serves on the board of directors for Rakuten Europe S.a.r.l., IXL PremFina, Ltd, Cyndx Holdco, Inc., Glovapp23, S.L., FeverLabs, Inc. and Contenidos y Marcas, S.L. Prior to joining Rakuten, Mr. Mielczarek de la Miel served in various roles in the financial industry, including in investment banking at J.P. Morgan and Merrill Lynch, financial services firms. Mr. Mielczarek de la Miel holds a B.A. from ICADE in Spain and an M.B.A. from Harvard Business School.</w:t>
      </w:r>
    </w:p>
    <w:p>
      <w:pPr>
        <w:spacing w:after="0" w:line="169"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Mr. Mielczarek de la Miel was selected to serve on our board of directors because of his experience in the venture capital industry and his international market knowledge and experience serving as a director of various private companies.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7" w:right="135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Ciaran O’Kelly. </w:t>
      </w:r>
      <w:r>
        <w:rPr>
          <w:rFonts w:ascii="Arial" w:cs="Arial" w:eastAsia="Arial" w:hAnsi="Arial"/>
          <w:sz w:val="15"/>
          <w:szCs w:val="15"/>
          <w:color w:val="auto"/>
        </w:rPr>
        <w:t>Ciaran O’Kelly has served as a member of our board of directors since April 2018. Mr. O’Kelly has been a full-time employee of Square, Inc. since August 2020. From 2009 to 2013, Mr. O’Kelly served in various roles at Nomura Securities, a financial services firm, most recently as Senior Managing Director and Head of Equities, Americas. Prior to 2009, Mr. O’Kelly served in various roles at two financial services firms, Bank of America, including Head of Global Equities and Head of Equity Capital Markets, and Salomon Smith Barney, including Head of Equity Trading. He previously served on the board of Square Financial Services, Inc., a technology company, Bank of America Securities and Nomura Securities International. Mr. O’Kelly holds a B.B.S. in Business Studies from Dublin City University.</w:t>
      </w:r>
    </w:p>
    <w:p>
      <w:pPr>
        <w:spacing w:after="0" w:line="169"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Mr. O’Kelly was selected to serve on our board of directors because of the perspective and extensive experience he brings from his background in financial services.</w:t>
      </w:r>
    </w:p>
    <w:p>
      <w:pPr>
        <w:spacing w:after="0" w:line="145" w:lineRule="exact"/>
        <w:rPr>
          <w:sz w:val="20"/>
          <w:szCs w:val="20"/>
          <w:color w:val="auto"/>
        </w:rPr>
      </w:pPr>
    </w:p>
    <w:p>
      <w:pPr>
        <w:jc w:val="center"/>
        <w:ind w:right="-719"/>
        <w:spacing w:after="0"/>
        <w:tabs>
          <w:tab w:leader="none" w:pos="140" w:val="left"/>
        </w:tabs>
        <w:rPr>
          <w:sz w:val="20"/>
          <w:szCs w:val="20"/>
          <w:color w:val="auto"/>
        </w:rPr>
      </w:pPr>
      <w:r>
        <w:rPr>
          <w:rFonts w:ascii="Arial" w:cs="Arial" w:eastAsia="Arial" w:hAnsi="Arial"/>
          <w:sz w:val="15"/>
          <w:szCs w:val="15"/>
          <w:b w:val="1"/>
          <w:bCs w:val="1"/>
          <w:i w:val="1"/>
          <w:iCs w:val="1"/>
          <w:color w:val="auto"/>
        </w:rPr>
        <w:t>Robert Schwartz.</w:t>
      </w:r>
      <w:r>
        <w:rPr>
          <w:sz w:val="20"/>
          <w:szCs w:val="20"/>
          <w:color w:val="auto"/>
        </w:rPr>
        <w:tab/>
      </w:r>
      <w:r>
        <w:rPr>
          <w:rFonts w:ascii="Arial" w:cs="Arial" w:eastAsia="Arial" w:hAnsi="Arial"/>
          <w:sz w:val="15"/>
          <w:szCs w:val="15"/>
          <w:color w:val="auto"/>
        </w:rPr>
        <w:t>Mr. Schwartz has served as a member of our board of directors since June 2015. Since June 2000,</w:t>
      </w:r>
    </w:p>
    <w:p>
      <w:pPr>
        <w:spacing w:after="0" w:line="15" w:lineRule="exact"/>
        <w:rPr>
          <w:sz w:val="20"/>
          <w:szCs w:val="20"/>
          <w:color w:val="auto"/>
        </w:rPr>
      </w:pPr>
    </w:p>
    <w:p>
      <w:pPr>
        <w:ind w:left="1020" w:right="200"/>
        <w:spacing w:after="0" w:line="238" w:lineRule="auto"/>
        <w:rPr>
          <w:sz w:val="20"/>
          <w:szCs w:val="20"/>
          <w:color w:val="auto"/>
        </w:rPr>
      </w:pPr>
      <w:r>
        <w:rPr>
          <w:rFonts w:ascii="Arial" w:cs="Arial" w:eastAsia="Arial" w:hAnsi="Arial"/>
          <w:sz w:val="15"/>
          <w:szCs w:val="15"/>
          <w:color w:val="auto"/>
        </w:rPr>
        <w:t>Mr. Schwartz has been Managing Partner of Third Point Ventures, the Menlo Park, California based venture capital arm of Third Point LLC, which is a registered investment adviser based in New York and the investment manager of the Third Point Funds. He previously served on the board of Apigee and the board of Enphase Energy until 2016. Previously, for 23 years, Mr. Schwartz was the President of RF Associates North, a privately held communications semiconductor manufacturer’s representative firm. Mr. Schwartz holds a multi-discipline engineering degree from the University of California, Berkeley.</w:t>
      </w:r>
    </w:p>
    <w:p>
      <w:pPr>
        <w:spacing w:after="0" w:line="170"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Mr. Schwartz was selected to serve on our board of directors because of his experience in the venture capital industry and his market knowledge and experience serving as a director of various private and public companies.</w:t>
      </w:r>
    </w:p>
    <w:p>
      <w:pPr>
        <w:spacing w:after="0" w:line="148"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b w:val="1"/>
          <w:bCs w:val="1"/>
          <w:i w:val="1"/>
          <w:iCs w:val="1"/>
          <w:color w:val="auto"/>
        </w:rPr>
        <w:t xml:space="preserve">Sukhinder Singh Cassidy. </w:t>
      </w:r>
      <w:r>
        <w:rPr>
          <w:rFonts w:ascii="Arial" w:cs="Arial" w:eastAsia="Arial" w:hAnsi="Arial"/>
          <w:sz w:val="15"/>
          <w:szCs w:val="15"/>
          <w:color w:val="auto"/>
        </w:rPr>
        <w:t>Ms. Singh Cassidy has served as a member of our board of directors since February 2020.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2015, Ms. Singh Cassidy has served as the founder and chairman of theBoardlist, and most recently served as the President of StubHub Inc., a technology company, from May 2018 to May 2020. From 2011 to September 2017, Ms. Singh Cassidy served in various roles at Joyus, Inc., an internet video shopping network, most recently as Founder and Chairman. From 2003 to 2009, she served in various senior executive roles at Google, Inc., a technology company, most recently as President of Asia Pacific and Latin America Operations. She is currently a director of Urban Outfitters, Inc. Ms. Singh Cassidy previously served on the board of Tripadvisor, Inc. and the board of Ericsson until 2018. Ms. Singh Cassidy holds a B.A. in Business Administration from the Ivey Business School at Western University.</w:t>
      </w:r>
    </w:p>
    <w:p>
      <w:pPr>
        <w:spacing w:after="0" w:line="171"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Ms. Singh Cassidy was selected to serve on our board of directors because of her extensive experience as an executive in the technology industry and her experience serving as a director of a publicly traded company.</w:t>
      </w:r>
    </w:p>
    <w:p>
      <w:pPr>
        <w:spacing w:after="0" w:line="148"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Hilliard C. Terry, III. </w:t>
      </w:r>
      <w:r>
        <w:rPr>
          <w:rFonts w:ascii="Arial" w:cs="Arial" w:eastAsia="Arial" w:hAnsi="Arial"/>
          <w:sz w:val="15"/>
          <w:szCs w:val="15"/>
          <w:color w:val="auto"/>
        </w:rPr>
        <w:t>Mr. Terry has served as a member of our board of directors since February 2019. Currently, Mr. Terry is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advisor and interim CEO to a private equity-backed portfolio company. From January 2012 to October 2018, he served as Executive Vice President and Chief Financial Officer of Textainer Group Holdings Limited, an intermodal marine container management and leasing company. Before joining Textainer, Mr. Terry was Vice President and Treasurer of Agilent Technologies, Inc., which he joined in 1999, prior to the company’s initial public offering and spinoff from Hewlett-Packard Company. He previously held positions in investor relations and/or investment banking with Kenetech Corporation, an alternative energy company, VeriFone, Inc., a payments company, and Goldman Sachs &amp; Co., a financial services firm. He is currently a director of Umpqua Holdings Corporation, a bank holding company, where he chairs the Audit and Compliance Committee and serves on the Finance and Capital, Nominating &amp; Governance and Strategy Committees. Mr. Terry holds a B.A. in Economics from the University of California, Berkeley and an M.B.A. from Golden Gate University.</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220"/>
          </w:cols>
          <w:pgMar w:left="320" w:top="407" w:right="135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Mr. Terry was selected to serve on our board of directors because of his financial expertise and experience in the banking industry.</w:t>
      </w:r>
    </w:p>
    <w:p>
      <w:pPr>
        <w:spacing w:after="0" w:line="249"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Family Relationships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are no family relationships among any of our executive officers or directors.</w:t>
      </w:r>
    </w:p>
    <w:p>
      <w:pPr>
        <w:spacing w:after="0" w:line="249"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Code of Ethics</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Board of Directors</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business and affairs are managed under the direction of our board of directors. Our board of directors currently consists of eight directors. Pursuant to our current certificate of incorporation and amended and restated voting agreement, our current directors were elected as follows:</w:t>
      </w:r>
    </w:p>
    <w:p>
      <w:pPr>
        <w:spacing w:after="0" w:line="91" w:lineRule="exact"/>
        <w:rPr>
          <w:sz w:val="20"/>
          <w:szCs w:val="20"/>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Messrs. Girouard, Gu and O’Kelly and Ms. Hentges were elected as the designees nominated by holders of our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Mr. Terry was elected as the designee nominated by holders of our preferred stock and common stock;</w:t>
      </w:r>
    </w:p>
    <w:p>
      <w:pPr>
        <w:spacing w:after="0" w:line="97"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Ms. Singh Cassidy was elected as the designee nominated by holders of our Series Seed preferred stock, Series A preferred stock and Series B preferred stock;</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Mr. Schwartz was elected as the designee nominated by holders of our Series C preferred stock;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Mr. Mielczarek de la Miel was elected as the designee nominated by holders of our Series C-1 preferred stock; and</w:t>
      </w:r>
    </w:p>
    <w:p>
      <w:pPr>
        <w:spacing w:after="0" w:line="97" w:lineRule="exact"/>
        <w:rPr>
          <w:rFonts w:ascii="Arial" w:cs="Arial" w:eastAsia="Arial" w:hAnsi="Arial"/>
          <w:sz w:val="15"/>
          <w:szCs w:val="15"/>
          <w:color w:val="auto"/>
        </w:rPr>
      </w:pPr>
    </w:p>
    <w:p>
      <w:pPr>
        <w:ind w:left="1660" w:right="500" w:hanging="183"/>
        <w:spacing w:after="0" w:line="24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holders of our Series D preferred stock have the right to elect a member of our board of directors, but such position is currently vacant.</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intend to adopt an amended and restated certificate of incorporation that will become effective immediately prior to the completion of this offering. Our amended and restated certificate of incorporation will provide that, immediately after the completion of this offering, our board of directors will be divided into three classes with staggered three-year terms. Only one class of directors will be elected at each annual meeting of stockholders, with the other classes continuing for the remainder of</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180"/>
          </w:cols>
          <w:pgMar w:left="320" w:top="407" w:right="139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their respective three-year terms. Our current directors will be divided among the three classes as follows:</w:t>
      </w:r>
    </w:p>
    <w:p>
      <w:pPr>
        <w:spacing w:after="0" w:line="98" w:lineRule="exact"/>
        <w:rPr>
          <w:sz w:val="20"/>
          <w:szCs w:val="20"/>
          <w:color w:val="auto"/>
        </w:rPr>
      </w:pPr>
    </w:p>
    <w:p>
      <w:pPr>
        <w:ind w:left="1660" w:right="60" w:hanging="183"/>
        <w:spacing w:after="0" w:line="245"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Class I directors will be Dave Girouard, Oskar Mielczarek de la Miel and Hilliard C. Terry III, and their terms will expire at the annual meeting of stockholders to be held in 2021;</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Class II directors will be Paul Gu, Sukhinder Singh Cassidy and Robert Schwartz, and their terms will expire at the annual meeting of stockholders to be held in 2022; and</w:t>
      </w:r>
    </w:p>
    <w:p>
      <w:pPr>
        <w:spacing w:after="0" w:line="8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Class III directors will be Ciaran O’Kelly and Mary Hentges, and their terms will expire at the annual meeting of stockholders to be held in 2023.</w:t>
      </w:r>
    </w:p>
    <w:p>
      <w:pPr>
        <w:spacing w:after="0" w:line="166"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our directors.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classification of our board of directors may have the effect of delaying or preventing changes in control of our company.</w:t>
      </w:r>
    </w:p>
    <w:p>
      <w:pPr>
        <w:spacing w:after="0" w:line="249"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board of directors has undertaken a review of the independence of each director. Based on information provided by each director concerning his or her background, employment, and affiliations, our board of directors has determined that Mary Hentges, Oskar Mielczarek de la Miel, Ciaran O’Kelly, Robert Schwartz, Sukhinder Singh Cassidy and Hilliard C. Terry III do not have a relationship that would interfere with the exercise of independent judgment in carrying out the responsibilities of a director and that each of these directors is “independent” as that term is defined under the listing standards of the Nasdaq Global Select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4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Lead Independent Director</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board of directors intends to adopt corporate governance guidelines that will provide that one of our independent directors should serve as our Lead Independent Director at any time when our Chief Executive Officer serves as the Chairperson of our board of directors or if the Chairperson is not otherwise independent. Because Mr. Girouard is our Chairperson and is not an “independent” director as defined in the listing standards of the Nasdaq Global Select Market, our board of directors has appointed Sukhinder Singh Cassidy to serve as our Lead Independent Director. As Lead Independent Director, Ms. Singh Cassidy will preside over periodic meetings of our independent directors, serve as a liaison between our Chairperson and our independent directors, and perform such additional duties as our board of directors may otherwise determine and delegate.</w:t>
      </w:r>
    </w:p>
    <w:p>
      <w:pPr>
        <w:spacing w:after="0" w:line="243"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95"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180"/>
          </w:cols>
          <w:pgMar w:left="320" w:top="407" w:right="139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audit committee consists of Hilliard C. Terry III, Mary Hentges, and Ciaran O’Kelly with Mr. Terry serving as Chairperson, each of whom meets the requirements for independence under the listing standards of the Nasdaq Global Select Market and SEC rules and regulations. Each member of our audit committee also meets the financial literacy and sophistication requirements of the listing standards of the Nasdaq Global Select Market. In addition, our board of directors has determined that Ms. Hentges and Mr. Terry are both audit committee financial experts within the meaning of Item 407(d) of Regulation S-K under the Securities Act. Following the completion of this offering, our audit committee will, among other things:</w:t>
      </w:r>
    </w:p>
    <w:p>
      <w:pPr>
        <w:spacing w:after="0" w:line="94" w:lineRule="exact"/>
        <w:rPr>
          <w:sz w:val="20"/>
          <w:szCs w:val="20"/>
          <w:color w:val="auto"/>
        </w:rPr>
      </w:pPr>
    </w:p>
    <w:p>
      <w:pPr>
        <w:ind w:left="1660" w:hanging="183"/>
        <w:spacing w:after="0"/>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select a qualified firm to serve as the independent registered public accounting firm to audit our financial statements;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help to ensure the independence and performance of the independent registered public accounting firm;</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discuss the scope and results of the audit with the independent registered public accounting firm, and review, with management and the independent registered public accounting firm, our interim and year-end results of operation;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develop procedures for employees to submit concerns anonymously about questionable accounting or audit matters;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 our policies on risk assessment and risk management;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 related party transactions; and</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approve or, as required, pre-approve, all audit and all permissible non-audit services, other than de minimis non-audit services, to be performed by the independent registered public accounting firm.</w:t>
      </w:r>
    </w:p>
    <w:p>
      <w:pPr>
        <w:spacing w:after="0" w:line="166"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Our audit committee will operate under a written charter, to be effective prior to the completion of this offering, that satisfies the applicable rules and regulations of the SEC and the listing standards of the Nasdaq Global Select Market.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compensation committee consists of Sukhinder Singh Cassidy, and Robert Schwartz, with Ms. Singh Cassidy serving as Chairperson, each of whom meets the requirements for independence under the listing standards of the Nasdaq Global Select Market and SEC rules and regulations. Each member of our compensation committee is also a non-employee director, as defined pursuant to Rule 16b-3 promulgated under the Exchange Act, or Rule 16b-3. Following the completion of this offering, our compensation committee will, among other things:</w:t>
      </w:r>
    </w:p>
    <w:p>
      <w:pPr>
        <w:spacing w:after="0" w:line="91" w:lineRule="exact"/>
        <w:rPr>
          <w:sz w:val="20"/>
          <w:szCs w:val="20"/>
          <w:color w:val="auto"/>
        </w:rPr>
      </w:pPr>
    </w:p>
    <w:p>
      <w:pPr>
        <w:ind w:left="1660" w:right="580" w:hanging="183"/>
        <w:spacing w:after="0" w:line="245"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review, approve, and determine, or make recommendations to our board of directors regarding, the compensation of our executive officers;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administer our equity compensation plans;</w:t>
      </w:r>
    </w:p>
    <w:p>
      <w:pPr>
        <w:spacing w:after="0" w:line="97" w:lineRule="exact"/>
        <w:rPr>
          <w:rFonts w:ascii="Arial" w:cs="Arial" w:eastAsia="Arial" w:hAnsi="Arial"/>
          <w:sz w:val="15"/>
          <w:szCs w:val="15"/>
          <w:color w:val="auto"/>
        </w:rPr>
      </w:pPr>
    </w:p>
    <w:p>
      <w:pPr>
        <w:ind w:left="1660" w:right="640" w:hanging="183"/>
        <w:spacing w:after="0" w:line="245"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review and approve and make recommendations to our board of directors regarding incentive compensation and equity compensation plans;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establish and periodically review policies and programs relating to compensation and benefits of our employees and executives.</w:t>
      </w:r>
    </w:p>
    <w:p>
      <w:pPr>
        <w:spacing w:after="0" w:line="177"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Our compensation committee will operate under a written charter, to be effective prior to the completion of this offering, that satisfies the applicable rules and regulations of the SEC and the listing standards of the Nasdaq Global Select Market.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00"/>
          </w:cols>
          <w:pgMar w:left="320" w:top="407" w:right="137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nominating and corporate governance committee consists of Ciaran O’Kelly, Oskar Mielczarek de la Miel and Robert Schwartz, with Mr. O’Kelly serving as Chairperson, each of whom meets the requirements for independence under the listing standards of the Nasdaq Global Select Market and SEC rules and regulations. Following the completion of this offering, our nominating and corporate governance committee will, among other things:</w:t>
      </w:r>
    </w:p>
    <w:p>
      <w:pPr>
        <w:spacing w:after="0" w:line="93" w:lineRule="exact"/>
        <w:rPr>
          <w:sz w:val="20"/>
          <w:szCs w:val="20"/>
          <w:color w:val="auto"/>
        </w:rPr>
      </w:pPr>
    </w:p>
    <w:p>
      <w:pPr>
        <w:ind w:left="1660" w:right="140" w:hanging="183"/>
        <w:spacing w:after="0" w:line="245" w:lineRule="auto"/>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identify, evaluate, and select, or make recommendations to our board of directors regarding, nominees for election to our board of directors and its committees;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evaluate the performance of our board of directors and of individual directors;</w:t>
      </w:r>
    </w:p>
    <w:p>
      <w:pPr>
        <w:spacing w:after="0" w:line="97" w:lineRule="exact"/>
        <w:rPr>
          <w:rFonts w:ascii="Arial" w:cs="Arial" w:eastAsia="Arial" w:hAnsi="Arial"/>
          <w:sz w:val="15"/>
          <w:szCs w:val="15"/>
          <w:color w:val="auto"/>
        </w:rPr>
      </w:pPr>
    </w:p>
    <w:p>
      <w:pPr>
        <w:ind w:left="1660" w:right="540" w:hanging="183"/>
        <w:spacing w:after="0" w:line="245" w:lineRule="auto"/>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consider and make recommendations to our board of directors regarding the composition of our board of directors and its committees;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review developments in corporate governance practices;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evaluate the adequacy of our corporate governance practices and reporting;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develop and make recommendations to our board of directors regarding corporate governance guidelines and matters.</w:t>
      </w:r>
    </w:p>
    <w:p>
      <w:pPr>
        <w:spacing w:after="0" w:line="17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nominating and corporate governance committee will operate under a written charter, to be effective prior to the completion of this offering, that satisfies the applicable listing standards of the Nasdaq Global Select Market.</w:t>
      </w:r>
    </w:p>
    <w:p>
      <w:pPr>
        <w:spacing w:after="0" w:line="238"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None of the members of our compensation committee is or has been an executive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on our compensation committee.</w:t>
      </w:r>
    </w:p>
    <w:p>
      <w:pPr>
        <w:spacing w:after="0" w:line="24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Non-Employee Director Compensation</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table set forth below provides information regarding the compensation of our non-executive officer directors for service as directors during the year ended December 31, 2019. In 2019, we did not pay any compensation to any person who served as a non-employee member of our Board of Directors. Our employee directors, Messrs. Girouard and Gu, did not receive any compensation for their services as directors and therefore are not included in the table below. The compensation received by Messrs. Girouard and Gu as employees is set forth in the section titled “Executive Compensation—Summary Compensation Table.”</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Option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7360" w:type="dxa"/>
            <w:vAlign w:val="bottom"/>
            <w:vMerge w:val="restart"/>
          </w:tcPr>
          <w:p>
            <w:pPr>
              <w:spacing w:after="0"/>
              <w:rPr>
                <w:sz w:val="12"/>
                <w:szCs w:val="12"/>
                <w:color w:val="auto"/>
              </w:rPr>
            </w:pP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6"/>
                <w:szCs w:val="16"/>
                <w:b w:val="1"/>
                <w:bCs w:val="1"/>
                <w:color w:val="auto"/>
                <w:vertAlign w:val="subscript"/>
              </w:rPr>
              <w:t>Awards</w:t>
            </w:r>
            <w:r>
              <w:rPr>
                <w:rFonts w:ascii="Arial" w:cs="Arial" w:eastAsia="Arial" w:hAnsi="Arial"/>
                <w:sz w:val="8"/>
                <w:szCs w:val="8"/>
                <w:b w:val="1"/>
                <w:bCs w:val="1"/>
                <w:color w:val="auto"/>
              </w:rPr>
              <w:t>(1)(2)</w:t>
            </w:r>
          </w:p>
        </w:tc>
        <w:tc>
          <w:tcPr>
            <w:tcW w:w="5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7360" w:type="dxa"/>
            <w:vAlign w:val="bottom"/>
            <w:vMerge w:val="continue"/>
          </w:tcPr>
          <w:p>
            <w:pPr>
              <w:spacing w:after="0"/>
              <w:rPr>
                <w:sz w:val="13"/>
                <w:szCs w:val="13"/>
                <w:color w:val="auto"/>
              </w:rPr>
            </w:pPr>
          </w:p>
        </w:tc>
        <w:tc>
          <w:tcPr>
            <w:tcW w:w="68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540" w:type="dxa"/>
            <w:vAlign w:val="bottom"/>
          </w:tcPr>
          <w:p>
            <w:pPr>
              <w:jc w:val="right"/>
              <w:ind w:right="134"/>
              <w:spacing w:after="0" w:line="134"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70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1"/>
                <w:szCs w:val="11"/>
                <w:color w:val="auto"/>
              </w:rPr>
              <w:t>Mary Hentges</w:t>
            </w:r>
            <w:r>
              <w:rPr>
                <w:rFonts w:ascii="Arial" w:cs="Arial" w:eastAsia="Arial" w:hAnsi="Arial"/>
                <w:sz w:val="16"/>
                <w:szCs w:val="16"/>
                <w:color w:val="auto"/>
                <w:vertAlign w:val="superscript"/>
              </w:rPr>
              <w:t>(3)</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771,091</w:t>
            </w: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771,091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700" w:type="dxa"/>
            <w:vAlign w:val="bottom"/>
            <w:gridSpan w:val="2"/>
          </w:tcPr>
          <w:p>
            <w:pPr>
              <w:spacing w:after="0" w:line="158" w:lineRule="exact"/>
              <w:rPr>
                <w:sz w:val="20"/>
                <w:szCs w:val="20"/>
                <w:color w:val="auto"/>
              </w:rPr>
            </w:pPr>
            <w:r>
              <w:rPr>
                <w:rFonts w:ascii="Arial" w:cs="Arial" w:eastAsia="Arial" w:hAnsi="Arial"/>
                <w:sz w:val="14"/>
                <w:szCs w:val="14"/>
                <w:color w:val="auto"/>
              </w:rPr>
              <w:t>Oskar Mielczarek de la Miel</w:t>
            </w:r>
          </w:p>
        </w:tc>
        <w:tc>
          <w:tcPr>
            <w:tcW w:w="920" w:type="dxa"/>
            <w:vAlign w:val="bottom"/>
            <w:gridSpan w:val="2"/>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Ciaran O’Kelly</w:t>
            </w:r>
          </w:p>
        </w:tc>
        <w:tc>
          <w:tcPr>
            <w:tcW w:w="92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tcPr>
          <w:p>
            <w:pPr>
              <w:spacing w:after="0" w:line="157" w:lineRule="exact"/>
              <w:rPr>
                <w:sz w:val="20"/>
                <w:szCs w:val="20"/>
                <w:color w:val="auto"/>
              </w:rPr>
            </w:pPr>
            <w:r>
              <w:rPr>
                <w:rFonts w:ascii="Arial" w:cs="Arial" w:eastAsia="Arial" w:hAnsi="Arial"/>
                <w:sz w:val="12"/>
                <w:szCs w:val="12"/>
                <w:color w:val="auto"/>
              </w:rPr>
              <w:t>Andrew Palmer</w:t>
            </w:r>
            <w:r>
              <w:rPr>
                <w:rFonts w:ascii="Arial" w:cs="Arial" w:eastAsia="Arial" w:hAnsi="Arial"/>
                <w:sz w:val="18"/>
                <w:szCs w:val="18"/>
                <w:color w:val="auto"/>
                <w:vertAlign w:val="superscript"/>
              </w:rPr>
              <w:t>(4)</w:t>
            </w:r>
          </w:p>
        </w:tc>
        <w:tc>
          <w:tcPr>
            <w:tcW w:w="920" w:type="dxa"/>
            <w:vAlign w:val="bottom"/>
            <w:gridSpan w:val="2"/>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Andrew Quigg</w:t>
            </w:r>
            <w:r>
              <w:rPr>
                <w:rFonts w:ascii="Arial" w:cs="Arial" w:eastAsia="Arial" w:hAnsi="Arial"/>
                <w:sz w:val="18"/>
                <w:szCs w:val="18"/>
                <w:color w:val="auto"/>
                <w:vertAlign w:val="superscript"/>
              </w:rPr>
              <w:t>(5)</w:t>
            </w:r>
          </w:p>
        </w:tc>
        <w:tc>
          <w:tcPr>
            <w:tcW w:w="92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tcPr>
          <w:p>
            <w:pPr>
              <w:spacing w:after="0" w:line="158" w:lineRule="exact"/>
              <w:rPr>
                <w:sz w:val="20"/>
                <w:szCs w:val="20"/>
                <w:color w:val="auto"/>
              </w:rPr>
            </w:pPr>
            <w:r>
              <w:rPr>
                <w:rFonts w:ascii="Arial" w:cs="Arial" w:eastAsia="Arial" w:hAnsi="Arial"/>
                <w:sz w:val="14"/>
                <w:szCs w:val="14"/>
                <w:color w:val="auto"/>
              </w:rPr>
              <w:t>Robert Schwartz</w:t>
            </w:r>
          </w:p>
        </w:tc>
        <w:tc>
          <w:tcPr>
            <w:tcW w:w="920" w:type="dxa"/>
            <w:vAlign w:val="bottom"/>
            <w:gridSpan w:val="2"/>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Sukhinder Singh Cassidy</w:t>
            </w:r>
            <w:r>
              <w:rPr>
                <w:rFonts w:ascii="Arial" w:cs="Arial" w:eastAsia="Arial" w:hAnsi="Arial"/>
                <w:sz w:val="18"/>
                <w:szCs w:val="18"/>
                <w:color w:val="auto"/>
                <w:vertAlign w:val="superscript"/>
              </w:rPr>
              <w:t>(6)</w:t>
            </w:r>
          </w:p>
        </w:tc>
        <w:tc>
          <w:tcPr>
            <w:tcW w:w="92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81"/>
        </w:trPr>
        <w:tc>
          <w:tcPr>
            <w:tcW w:w="7700" w:type="dxa"/>
            <w:vAlign w:val="bottom"/>
            <w:gridSpan w:val="2"/>
          </w:tcPr>
          <w:p>
            <w:pPr>
              <w:spacing w:after="0"/>
              <w:rPr>
                <w:sz w:val="20"/>
                <w:szCs w:val="20"/>
                <w:color w:val="auto"/>
              </w:rPr>
            </w:pPr>
            <w:r>
              <w:rPr>
                <w:rFonts w:ascii="Arial" w:cs="Arial" w:eastAsia="Arial" w:hAnsi="Arial"/>
                <w:sz w:val="14"/>
                <w:szCs w:val="14"/>
                <w:color w:val="auto"/>
              </w:rPr>
              <w:t>Hilliard C. Terry, III</w:t>
            </w:r>
            <w:r>
              <w:rPr>
                <w:rFonts w:ascii="Arial" w:cs="Arial" w:eastAsia="Arial" w:hAnsi="Arial"/>
                <w:sz w:val="22"/>
                <w:szCs w:val="22"/>
                <w:color w:val="auto"/>
                <w:vertAlign w:val="superscript"/>
              </w:rPr>
              <w:t>(7)</w:t>
            </w:r>
          </w:p>
        </w:tc>
        <w:tc>
          <w:tcPr>
            <w:tcW w:w="680" w:type="dxa"/>
            <w:vAlign w:val="bottom"/>
          </w:tcPr>
          <w:p>
            <w:pPr>
              <w:jc w:val="right"/>
              <w:spacing w:after="0"/>
              <w:rPr>
                <w:sz w:val="20"/>
                <w:szCs w:val="20"/>
                <w:color w:val="auto"/>
              </w:rPr>
            </w:pPr>
            <w:r>
              <w:rPr>
                <w:rFonts w:ascii="Arial" w:cs="Arial" w:eastAsia="Arial" w:hAnsi="Arial"/>
                <w:sz w:val="14"/>
                <w:szCs w:val="14"/>
                <w:color w:val="auto"/>
              </w:rPr>
              <w:t>328,871</w:t>
            </w:r>
          </w:p>
        </w:tc>
        <w:tc>
          <w:tcPr>
            <w:tcW w:w="2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8"/>
              </w:rPr>
              <w:t>328,871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5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20"/>
          </w:cols>
          <w:pgMar w:left="320" w:top="407" w:right="135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480" w:right="180" w:hanging="453"/>
        <w:spacing w:after="0" w:line="235" w:lineRule="auto"/>
        <w:tabs>
          <w:tab w:leader="none" w:pos="14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amount reported represents the aggregate grant-date fair value of the stock options awarded to the director in 2019, calculated in accordance with Topic 718, “Compensation—Stock Compensation.” Such grant-date fair value does not take into account any estimated forfeitures related to vesting conditions. The assumptions used in calculating the grant-date fair value of the stock options reported in this column are set forth in Note 11 to our Consolidated Financial Statements. These amounts do not reflect the actual economic value that may be realized by the non-employee director.</w:t>
      </w:r>
    </w:p>
    <w:p>
      <w:pPr>
        <w:ind w:left="1480" w:hanging="453"/>
        <w:spacing w:after="0"/>
        <w:tabs>
          <w:tab w:leader="none" w:pos="14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following table lists all outstanding equity awards held by non-executive officer directors as of December 31, 2019:</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289"/>
              <w:spacing w:after="0"/>
              <w:rPr>
                <w:sz w:val="20"/>
                <w:szCs w:val="20"/>
                <w:color w:val="auto"/>
              </w:rPr>
            </w:pPr>
            <w:r>
              <w:rPr>
                <w:rFonts w:ascii="Arial" w:cs="Arial" w:eastAsia="Arial" w:hAnsi="Arial"/>
                <w:sz w:val="12"/>
                <w:szCs w:val="12"/>
                <w:b w:val="1"/>
                <w:bCs w:val="1"/>
                <w:color w:val="auto"/>
                <w:w w:val="98"/>
              </w:rPr>
              <w:t>Number 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3440" w:type="dxa"/>
            <w:vAlign w:val="bottom"/>
            <w:vMerge w:val="restart"/>
          </w:tcPr>
          <w:p>
            <w:pPr>
              <w:spacing w:after="0"/>
              <w:rPr>
                <w:sz w:val="11"/>
                <w:szCs w:val="11"/>
                <w:color w:val="auto"/>
              </w:rPr>
            </w:pPr>
          </w:p>
        </w:tc>
        <w:tc>
          <w:tcPr>
            <w:tcW w:w="1440" w:type="dxa"/>
            <w:vAlign w:val="bottom"/>
            <w:gridSpan w:val="2"/>
          </w:tcPr>
          <w:p>
            <w:pPr>
              <w:jc w:val="center"/>
              <w:ind w:right="440"/>
              <w:spacing w:after="0" w:line="131" w:lineRule="exact"/>
              <w:rPr>
                <w:sz w:val="20"/>
                <w:szCs w:val="20"/>
                <w:color w:val="auto"/>
              </w:rPr>
            </w:pPr>
            <w:r>
              <w:rPr>
                <w:rFonts w:ascii="Arial" w:cs="Arial" w:eastAsia="Arial" w:hAnsi="Arial"/>
                <w:sz w:val="12"/>
                <w:szCs w:val="12"/>
                <w:b w:val="1"/>
                <w:bCs w:val="1"/>
                <w:color w:val="auto"/>
                <w:w w:val="99"/>
              </w:rPr>
              <w:t>Grant</w:t>
            </w:r>
          </w:p>
        </w:tc>
        <w:tc>
          <w:tcPr>
            <w:tcW w:w="1360" w:type="dxa"/>
            <w:vAlign w:val="bottom"/>
            <w:gridSpan w:val="2"/>
          </w:tcPr>
          <w:p>
            <w:pPr>
              <w:jc w:val="center"/>
              <w:ind w:right="289"/>
              <w:spacing w:after="0" w:line="131"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3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Option Exercise</w:t>
            </w:r>
          </w:p>
        </w:tc>
        <w:tc>
          <w:tcPr>
            <w:tcW w:w="10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Option Expiration</w:t>
            </w:r>
          </w:p>
        </w:tc>
        <w:tc>
          <w:tcPr>
            <w:tcW w:w="0" w:type="dxa"/>
            <w:vAlign w:val="bottom"/>
          </w:tcPr>
          <w:p>
            <w:pPr>
              <w:spacing w:after="0"/>
              <w:rPr>
                <w:sz w:val="1"/>
                <w:szCs w:val="1"/>
                <w:color w:val="auto"/>
              </w:rPr>
            </w:pPr>
          </w:p>
        </w:tc>
      </w:tr>
      <w:tr>
        <w:trPr>
          <w:trHeight w:val="143"/>
        </w:trPr>
        <w:tc>
          <w:tcPr>
            <w:tcW w:w="340" w:type="dxa"/>
            <w:vAlign w:val="bottom"/>
            <w:tcBorders>
              <w:bottom w:val="single" w:sz="8" w:color="auto"/>
            </w:tcBorders>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Date</w:t>
            </w:r>
          </w:p>
        </w:tc>
        <w:tc>
          <w:tcPr>
            <w:tcW w:w="1360" w:type="dxa"/>
            <w:vAlign w:val="bottom"/>
            <w:gridSpan w:val="2"/>
          </w:tcPr>
          <w:p>
            <w:pPr>
              <w:jc w:val="center"/>
              <w:ind w:right="289"/>
              <w:spacing w:after="0" w:line="138" w:lineRule="exact"/>
              <w:rPr>
                <w:sz w:val="20"/>
                <w:szCs w:val="20"/>
                <w:color w:val="auto"/>
              </w:rPr>
            </w:pPr>
            <w:r>
              <w:rPr>
                <w:rFonts w:ascii="Arial" w:cs="Arial" w:eastAsia="Arial" w:hAnsi="Arial"/>
                <w:sz w:val="10"/>
                <w:szCs w:val="10"/>
                <w:b w:val="1"/>
                <w:bCs w:val="1"/>
                <w:color w:val="auto"/>
              </w:rPr>
              <w:t>Option Awards</w:t>
            </w:r>
            <w:r>
              <w:rPr>
                <w:rFonts w:ascii="Arial" w:cs="Arial" w:eastAsia="Arial" w:hAnsi="Arial"/>
                <w:sz w:val="16"/>
                <w:szCs w:val="16"/>
                <w:b w:val="1"/>
                <w:bCs w:val="1"/>
                <w:color w:val="auto"/>
                <w:vertAlign w:val="superscript"/>
              </w:rPr>
              <w:t>(a)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Mary Hentges</w:t>
            </w: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(b)</w:t>
            </w: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780" w:type="dxa"/>
            <w:vAlign w:val="bottom"/>
            <w:gridSpan w:val="2"/>
            <w:vMerge w:val="continue"/>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December 6, 2019</w:t>
            </w: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ind w:left="600"/>
              <w:spacing w:after="0" w:line="118" w:lineRule="exact"/>
              <w:rPr>
                <w:sz w:val="20"/>
                <w:szCs w:val="20"/>
                <w:color w:val="auto"/>
              </w:rPr>
            </w:pPr>
            <w:r>
              <w:rPr>
                <w:rFonts w:ascii="Arial" w:cs="Arial" w:eastAsia="Arial" w:hAnsi="Arial"/>
                <w:sz w:val="12"/>
                <w:szCs w:val="12"/>
                <w:color w:val="auto"/>
                <w:w w:val="92"/>
              </w:rPr>
              <w:t>128,295</w:t>
            </w:r>
          </w:p>
        </w:tc>
        <w:tc>
          <w:tcPr>
            <w:tcW w:w="34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ind w:left="500"/>
              <w:spacing w:after="0" w:line="118" w:lineRule="exact"/>
              <w:rPr>
                <w:sz w:val="20"/>
                <w:szCs w:val="20"/>
                <w:color w:val="auto"/>
              </w:rPr>
            </w:pPr>
            <w:r>
              <w:rPr>
                <w:rFonts w:ascii="Arial" w:cs="Arial" w:eastAsia="Arial" w:hAnsi="Arial"/>
                <w:sz w:val="12"/>
                <w:szCs w:val="12"/>
                <w:color w:val="auto"/>
              </w:rPr>
              <w:t>3.89</w:t>
            </w:r>
          </w:p>
        </w:tc>
        <w:tc>
          <w:tcPr>
            <w:tcW w:w="106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December 6, 2029</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Oskar Mielczarek de la Miel</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Ciaran O’Kelly</w:t>
            </w:r>
          </w:p>
        </w:tc>
        <w:tc>
          <w:tcPr>
            <w:tcW w:w="144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March 31, 2018</w:t>
            </w:r>
          </w:p>
        </w:tc>
        <w:tc>
          <w:tcPr>
            <w:tcW w:w="1360" w:type="dxa"/>
            <w:vAlign w:val="bottom"/>
            <w:gridSpan w:val="2"/>
            <w:shd w:val="clear" w:color="auto" w:fill="CCEEFF"/>
          </w:tcPr>
          <w:p>
            <w:pPr>
              <w:ind w:left="600"/>
              <w:spacing w:after="0" w:line="136" w:lineRule="exact"/>
              <w:rPr>
                <w:sz w:val="20"/>
                <w:szCs w:val="20"/>
                <w:color w:val="auto"/>
              </w:rPr>
            </w:pPr>
            <w:r>
              <w:rPr>
                <w:rFonts w:ascii="Arial" w:cs="Arial" w:eastAsia="Arial" w:hAnsi="Arial"/>
                <w:sz w:val="10"/>
                <w:szCs w:val="10"/>
                <w:color w:val="auto"/>
              </w:rPr>
              <w:t>128,295</w:t>
            </w:r>
            <w:r>
              <w:rPr>
                <w:rFonts w:ascii="Arial" w:cs="Arial" w:eastAsia="Arial" w:hAnsi="Arial"/>
                <w:sz w:val="15"/>
                <w:szCs w:val="15"/>
                <w:color w:val="auto"/>
                <w:vertAlign w:val="superscript"/>
              </w:rPr>
              <w:t>(c)</w:t>
            </w:r>
          </w:p>
        </w:tc>
        <w:tc>
          <w:tcPr>
            <w:tcW w:w="42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ind w:left="500"/>
              <w:spacing w:after="0" w:line="136" w:lineRule="exact"/>
              <w:rPr>
                <w:sz w:val="20"/>
                <w:szCs w:val="20"/>
                <w:color w:val="auto"/>
              </w:rPr>
            </w:pPr>
            <w:r>
              <w:rPr>
                <w:rFonts w:ascii="Arial" w:cs="Arial" w:eastAsia="Arial" w:hAnsi="Arial"/>
                <w:sz w:val="12"/>
                <w:szCs w:val="12"/>
                <w:color w:val="auto"/>
              </w:rPr>
              <w:t>2.15</w:t>
            </w:r>
          </w:p>
        </w:tc>
        <w:tc>
          <w:tcPr>
            <w:tcW w:w="106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March 31, 2028</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Andrew Palmer</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Andrew Quigg</w:t>
            </w:r>
          </w:p>
        </w:tc>
        <w:tc>
          <w:tcPr>
            <w:tcW w:w="1440" w:type="dxa"/>
            <w:vAlign w:val="bottom"/>
            <w:gridSpan w:val="2"/>
            <w:shd w:val="clear" w:color="auto" w:fill="CCEEFF"/>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tcBorders>
              <w:right w:val="single" w:sz="8" w:color="CCEEFF"/>
            </w:tcBorders>
            <w:shd w:val="clear" w:color="auto" w:fill="CCEEFF"/>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Robert Schwartz</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Sukhinder Singh Cassidy</w:t>
            </w:r>
          </w:p>
        </w:tc>
        <w:tc>
          <w:tcPr>
            <w:tcW w:w="10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3780" w:type="dxa"/>
            <w:vAlign w:val="bottom"/>
            <w:gridSpan w:val="2"/>
          </w:tcPr>
          <w:p>
            <w:pPr>
              <w:spacing w:after="0"/>
              <w:rPr>
                <w:sz w:val="20"/>
                <w:szCs w:val="20"/>
                <w:color w:val="auto"/>
              </w:rPr>
            </w:pPr>
            <w:r>
              <w:rPr>
                <w:rFonts w:ascii="Arial" w:cs="Arial" w:eastAsia="Arial" w:hAnsi="Arial"/>
                <w:sz w:val="12"/>
                <w:szCs w:val="12"/>
                <w:color w:val="auto"/>
              </w:rPr>
              <w:t>Hilliard C. Terry, III</w:t>
            </w:r>
          </w:p>
        </w:tc>
        <w:tc>
          <w:tcPr>
            <w:tcW w:w="1440" w:type="dxa"/>
            <w:vAlign w:val="bottom"/>
            <w:gridSpan w:val="2"/>
          </w:tcPr>
          <w:p>
            <w:pPr>
              <w:jc w:val="right"/>
              <w:ind w:right="420"/>
              <w:spacing w:after="0"/>
              <w:rPr>
                <w:sz w:val="20"/>
                <w:szCs w:val="20"/>
                <w:color w:val="auto"/>
              </w:rPr>
            </w:pPr>
            <w:r>
              <w:rPr>
                <w:rFonts w:ascii="Arial" w:cs="Arial" w:eastAsia="Arial" w:hAnsi="Arial"/>
                <w:sz w:val="12"/>
                <w:szCs w:val="12"/>
                <w:color w:val="auto"/>
              </w:rPr>
              <w:t>March 29, 2019</w:t>
            </w:r>
          </w:p>
        </w:tc>
        <w:tc>
          <w:tcPr>
            <w:tcW w:w="1360" w:type="dxa"/>
            <w:vAlign w:val="bottom"/>
            <w:gridSpan w:val="2"/>
          </w:tcPr>
          <w:p>
            <w:pPr>
              <w:ind w:left="600"/>
              <w:spacing w:after="0"/>
              <w:rPr>
                <w:sz w:val="20"/>
                <w:szCs w:val="20"/>
                <w:color w:val="auto"/>
              </w:rPr>
            </w:pPr>
            <w:r>
              <w:rPr>
                <w:rFonts w:ascii="Arial" w:cs="Arial" w:eastAsia="Arial" w:hAnsi="Arial"/>
                <w:sz w:val="12"/>
                <w:szCs w:val="12"/>
                <w:color w:val="auto"/>
              </w:rPr>
              <w:t>128,295</w:t>
            </w:r>
            <w:r>
              <w:rPr>
                <w:rFonts w:ascii="Arial" w:cs="Arial" w:eastAsia="Arial" w:hAnsi="Arial"/>
                <w:sz w:val="20"/>
                <w:szCs w:val="20"/>
                <w:color w:val="auto"/>
                <w:vertAlign w:val="superscript"/>
              </w:rPr>
              <w:t>(d)</w:t>
            </w:r>
          </w:p>
        </w:tc>
        <w:tc>
          <w:tcPr>
            <w:tcW w:w="4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ind w:left="500"/>
              <w:spacing w:after="0"/>
              <w:rPr>
                <w:sz w:val="20"/>
                <w:szCs w:val="20"/>
                <w:color w:val="auto"/>
              </w:rPr>
            </w:pPr>
            <w:r>
              <w:rPr>
                <w:rFonts w:ascii="Arial" w:cs="Arial" w:eastAsia="Arial" w:hAnsi="Arial"/>
                <w:sz w:val="12"/>
                <w:szCs w:val="12"/>
                <w:color w:val="auto"/>
              </w:rPr>
              <w:t>3.80</w:t>
            </w:r>
          </w:p>
        </w:tc>
        <w:tc>
          <w:tcPr>
            <w:tcW w:w="1060" w:type="dxa"/>
            <w:vAlign w:val="bottom"/>
          </w:tcPr>
          <w:p>
            <w:pPr>
              <w:jc w:val="right"/>
              <w:spacing w:after="0"/>
              <w:rPr>
                <w:sz w:val="20"/>
                <w:szCs w:val="20"/>
                <w:color w:val="auto"/>
              </w:rPr>
            </w:pPr>
            <w:r>
              <w:rPr>
                <w:rFonts w:ascii="Arial" w:cs="Arial" w:eastAsia="Arial" w:hAnsi="Arial"/>
                <w:sz w:val="12"/>
                <w:szCs w:val="12"/>
                <w:color w:val="auto"/>
              </w:rPr>
              <w:t>March 29,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-7620</wp:posOffset>
            </wp:positionV>
            <wp:extent cx="64389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 w:lineRule="exact"/>
        <w:rPr>
          <w:sz w:val="20"/>
          <w:szCs w:val="20"/>
          <w:color w:val="auto"/>
        </w:rPr>
      </w:pPr>
    </w:p>
    <w:p>
      <w:pPr>
        <w:ind w:left="2020" w:hanging="543"/>
        <w:spacing w:after="0"/>
        <w:tabs>
          <w:tab w:leader="none" w:pos="202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Each of the outstanding equity awards listed in the table above was granted pursuant to our 2012 Plan.</w:t>
      </w:r>
    </w:p>
    <w:p>
      <w:pPr>
        <w:ind w:left="2020" w:right="140" w:hanging="543"/>
        <w:spacing w:after="0" w:line="235" w:lineRule="auto"/>
        <w:tabs>
          <w:tab w:leader="none" w:pos="202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Ms. Hentges’ continued role as a service provider to us, in 24 equal monthly installments beginning on January 1, 2020.</w:t>
      </w:r>
    </w:p>
    <w:p>
      <w:pPr>
        <w:ind w:left="2020" w:right="80" w:hanging="543"/>
        <w:spacing w:after="0" w:line="235" w:lineRule="auto"/>
        <w:tabs>
          <w:tab w:leader="none" w:pos="202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O’Kelly’s continued role as a service provider, in 24 equal monthly installments beginning on April 1, 2018.</w:t>
      </w:r>
    </w:p>
    <w:p>
      <w:pPr>
        <w:ind w:left="2020" w:right="300" w:hanging="543"/>
        <w:spacing w:after="0" w:line="246" w:lineRule="auto"/>
        <w:tabs>
          <w:tab w:leader="none" w:pos="202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Terry’s continued role as a service provider to us, in 24 equal monthly installments beginning on March 1, 2019.</w:t>
      </w:r>
    </w:p>
    <w:p>
      <w:pPr>
        <w:spacing w:after="0" w:line="86" w:lineRule="exact"/>
        <w:rPr>
          <w:rFonts w:ascii="Arial" w:cs="Arial" w:eastAsia="Arial" w:hAnsi="Arial"/>
          <w:sz w:val="12"/>
          <w:szCs w:val="12"/>
          <w:color w:val="auto"/>
        </w:rPr>
      </w:pPr>
    </w:p>
    <w:p>
      <w:pPr>
        <w:ind w:left="1480" w:hanging="453"/>
        <w:spacing w:after="0"/>
        <w:tabs>
          <w:tab w:leader="none" w:pos="14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Ms. Hentges became a member of our board of directors in December 2019.</w:t>
      </w:r>
    </w:p>
    <w:p>
      <w:pPr>
        <w:ind w:left="1480" w:hanging="453"/>
        <w:spacing w:after="0" w:line="235" w:lineRule="auto"/>
        <w:tabs>
          <w:tab w:leader="none" w:pos="14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Mr. Palmer resigned from our board of directors in December 2019.</w:t>
      </w:r>
    </w:p>
    <w:p>
      <w:pPr>
        <w:ind w:left="1480" w:hanging="453"/>
        <w:spacing w:after="0" w:line="235" w:lineRule="auto"/>
        <w:tabs>
          <w:tab w:leader="none" w:pos="14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Mr. Quigg resigned from our board of directors in February 2020.</w:t>
      </w:r>
    </w:p>
    <w:p>
      <w:pPr>
        <w:ind w:left="1480" w:hanging="453"/>
        <w:spacing w:after="0" w:line="235" w:lineRule="auto"/>
        <w:tabs>
          <w:tab w:leader="none" w:pos="14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Ms. Singh Cassidy became a member of our board of directors in February 2020.</w:t>
      </w:r>
    </w:p>
    <w:p>
      <w:pPr>
        <w:ind w:left="1480" w:hanging="453"/>
        <w:spacing w:after="0"/>
        <w:tabs>
          <w:tab w:leader="none" w:pos="14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Mr. Terry became a member of our board of directors in February 2019.</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April 2020 Option Grants</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April 2020, our board of directors approved option grants under our 2012 Plan to each of Ms. Singh Cassidy and Mr. O’Kelly. In connection with Ms. Singh Cassidy’s appointment as a member of the board of directors in February 2020, Ms. Singh Cassidy received an option to purchase 128,295 shares of our common stock, which vests in 24 equal monthly installments beginning on March 1, 2020, subject to Ms. Singh Cassidy’s continued role as a service provider to us. Mr. O’Kelly received an option to purchase 64,148 shares of our common stock, which vests in 12 equal monthly installments beginning on May 1, 2020, subject to Mr. O’Kelly’s continued role as a service provider to us.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Outside Director Compensation Policy</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reimburse our directors for necessary and reasonable expenses associated with attending meetings of our board of directors or its committees.</w:t>
      </w:r>
    </w:p>
    <w:p>
      <w:pPr>
        <w:spacing w:after="0" w:line="172"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In October 2020, our board of directors adopted, and in November 2020 our board of directors amended and our stockholders approved, a new compensation policy for our non-employee directors that will be effective as of the date of the effectiveness of the registration statement of which this prospectus forms a part. This policy was developed with input from our independent compensation consultant regarding practices and compensation levels at comparable companies. It is designed to attract, retain, and reward non-employee directors.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20"/>
          </w:cols>
          <w:pgMar w:left="320" w:top="407" w:right="135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firstLine="460"/>
        <w:spacing w:after="0"/>
        <w:rPr>
          <w:sz w:val="20"/>
          <w:szCs w:val="20"/>
          <w:color w:val="auto"/>
        </w:rPr>
      </w:pPr>
      <w:r>
        <w:rPr>
          <w:rFonts w:ascii="Arial" w:cs="Arial" w:eastAsia="Arial" w:hAnsi="Arial"/>
          <w:sz w:val="15"/>
          <w:szCs w:val="15"/>
          <w:color w:val="auto"/>
        </w:rPr>
        <w:t>Under this compensation policy, each non-employee director will receive the cash and equity compensation for board services described below. We also will continue to reimburse our non-employee directors for reasonable, customary and documented travel expenses to board of directors or committee meetings.</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compensation policy includes a maximum annual limit of $ 1,000,000 of cash compensation and equity awards that may be paid, issued, or granted to a non-employee director in any fiscal year, increased to $2,000,000 in an individual’s first year of service as a non-employee director. For 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our non-employee directors.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Following the completion of this offering, non-employee directors will be entitled to receive the following cash compensation for their services under the outside director compensation policy:</w:t>
      </w:r>
    </w:p>
    <w:p>
      <w:pPr>
        <w:spacing w:after="0" w:line="87" w:lineRule="exact"/>
        <w:rPr>
          <w:sz w:val="20"/>
          <w:szCs w:val="20"/>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$30,000 per year for service as a board member;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$40,000 per year for service as non-employee chair of the board;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$25,000 per year for service as a lead independent director;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$20,000 per year for service as chair of the audit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$10,000 per year for service as a member of the audit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$14,000 per year for service as chair of the compensation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$7,000 per year for service as a member of the compensation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$8,000 per year for service as chair of the nominating and corporate governance committee;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$4,000 per year for service as a member of the nominating and corporate governance committee.</w:t>
      </w:r>
    </w:p>
    <w:p>
      <w:pPr>
        <w:spacing w:after="0" w:line="17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Each non-employee director who serves as the chair of a committee will receive only the additional annual cash fee as the chair of the committee, and not the annual fee as a member of the committee, provided that each non-employee director who serves as the non-employee chair or the lead independent director will receive the annual fee for service as a board member and an additional annual fee as the non-employee chair or lead independent director. All cash payments to non-employee directors are paid annually in arrears on a pro-rated basis.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Election to receive Restricted Stock Units in lieu of Cash Compensation</w:t>
      </w:r>
    </w:p>
    <w:p>
      <w:pPr>
        <w:spacing w:after="0" w:line="10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Each non-employee director may elect to convert all or a portion of his or her annual cash retainer payments into an award covering a number of restricted stock units, or a Retainer Award, with a grant date fair value (determined in accordance with GAAP) equal to the amount of the applicable annual cash retainer payment to which the Retainer Award relates.</w:t>
      </w:r>
    </w:p>
    <w:p>
      <w:pPr>
        <w:spacing w:after="0" w:line="170"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Each individual who first becomes a non-employee director must make an election to receive Retainer Awards in lieu of cash payments, or a Retainer RSU Election, with respect to annual cash retainer payments relating to services to be performed in the same calendar year as such individual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220"/>
          </w:cols>
          <w:pgMar w:left="320" w:top="407" w:right="135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first becomes a non-employee director on or prior to the date that the individual first becomes a non-employee director. Each non-employee director must make a Retainer RSU Election with respect to annual cash retainer payments relating to services to be performed in the following calendar year by no later than December 31 of each calendar year, or such earlier deadline as established by our board of directors or the compensation committee of our board of directors.</w:t>
      </w:r>
    </w:p>
    <w:p>
      <w:pPr>
        <w:spacing w:after="0" w:line="172"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If a non-employee director who has made a valid Retainer RSU election ceases to be a non-employee director prior to the applicable grant date of a Retainer Award to which the Retainer RSU Election relates, the Retainer RSU Election will be treated as cancelled and the non-employee director will be eligible to receive a prorated payment of the annual payment of the non-employee director’s applicable annual cash retainer, calculated based on the number of days during the applicable calendar year the non-employee director served in the relevant capacities, in accordance with the terms and conditions of the policy.</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Retainer Awards will be granted on January 10 immediately following the end of the calendar year for which the corresponding annual cash retainer payment was earned, except that if such date is not a trading day, the associated grant of the applicable Retainer Award shall occur on the next trading day following such date. Each Retainer Award will be fully vested on the date of grant.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Initial Award: Each person who first becomes a non-employee director after the date of the effective date of the policy will receive, on the first trading date on or after the date on which the person first becomes a non-employee director, an initial award of restricted stock units, or the Initial Award, covering a number of shares of our common stock having a grant date fair value (determined in accordance with GAAP) equal to $165,000; provided that any resulting fraction will be rounded down to the nearest whole share. The Initial Award will vest in its entirety on the one (1) year anniversary of the non-employee director’s initial start date, subject to the non-employee director continuing to be a non-employee director through the applicable vesting date. If the person was a member of our board of directors and also an employee, becoming a non-employee director due to termination of employment will not entitle them to an Initial Award.</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Annual Award: Each non-employee director automatically will receive, on the date of each annual meeting of our stockholders following the effective date of the policy, an annual award of restricted stock units, or an Annual Award, covering a number of shares of our common stock having a grant date fair value (determined in accordance with GAAP) of $165,000; provided that the first annual award granted to an individual who first becomes a non-employee director following the effective date of the policy will have a grant date fair value equal to the product of (A) $165,000 multiplied by (B) a fraction, (i) the numerator of which is equal to the number of fully completed days between the non-employee director’s initial start date and the date of the first annual meeting of our stockholders to occur after such individual first becomes a non-employee director, and (ii) the denominator of which is 365; and provided further that any resulting fraction will be rounded down to the nearest whole share. Each Annual Award will vest in its entirety on the earlier of (x) the 1-year anniversary of the Annual Award’s grant date, or (y) the day immediately before the date of the next annual meeting of our stockholders that follows the grant date of the Annual Award, subject to the non-employee director’s continued service through the applicable vesting date.</w:t>
      </w:r>
    </w:p>
    <w:p>
      <w:pPr>
        <w:spacing w:after="0" w:line="174"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Pursuant to the policy, for purposes of determining the grant date fair value of Initial Awards, Annual Awards and Retainer Awards, the grant date fair value per share will equal the average closing price of one share of our common stock for the 30 trading days immediately prior to the applicable date of grant.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200"/>
          </w:cols>
          <w:pgMar w:left="320" w:top="407" w:right="137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the event of a “change in control” (as defined in our 2020 Plan), each non-employee director will fully vest in their outstanding company equity awards issued under the director compensation policy, including any Initial Award or Annual Award, immediately prior to the consummation of the change in control provided that the non-employee director continues to be a non-employee director through such date.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180"/>
          </w:cols>
          <w:pgMar w:left="320" w:top="407" w:right="139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Our named executive officers, consisting of our principal executive officer and the next two most highly compensated executive officers, as of December 31, 2019, were:</w:t>
      </w:r>
    </w:p>
    <w:p>
      <w:pPr>
        <w:spacing w:after="0" w:line="87" w:lineRule="exact"/>
        <w:rPr>
          <w:sz w:val="20"/>
          <w:szCs w:val="20"/>
          <w:color w:val="auto"/>
        </w:rPr>
      </w:pPr>
    </w:p>
    <w:p>
      <w:pPr>
        <w:ind w:left="1660" w:hanging="183"/>
        <w:spacing w:after="0"/>
        <w:tabs>
          <w:tab w:leader="none" w:pos="16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Dave Girouard, our Chief Executive Officer and member of our board of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Sanjay Datta, our Chief Financial Officer;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Paul Gu, our Senior Vice President of Product and Data Science and member of our board of directors.</w:t>
      </w: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Compensation Table</w:t>
      </w:r>
    </w:p>
    <w:p>
      <w:pPr>
        <w:spacing w:after="0" w:line="195"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The amounts below represent the compensation awarded to or earned by or paid to our named executive officers for the year ended December 31, 2019:</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Non-Equity</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8"/>
              </w:rPr>
              <w:t>Option</w:t>
            </w:r>
          </w:p>
        </w:tc>
        <w:tc>
          <w:tcPr>
            <w:tcW w:w="106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9"/>
              </w:rPr>
              <w:t>Incentive Plan</w:t>
            </w:r>
          </w:p>
        </w:tc>
        <w:tc>
          <w:tcPr>
            <w:tcW w:w="10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All Other</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540" w:type="dxa"/>
            <w:vAlign w:val="bottom"/>
            <w:gridSpan w:val="2"/>
          </w:tcPr>
          <w:p>
            <w:pPr>
              <w:jc w:val="right"/>
              <w:ind w:right="200"/>
              <w:spacing w:after="0" w:line="131" w:lineRule="exact"/>
              <w:rPr>
                <w:sz w:val="20"/>
                <w:szCs w:val="20"/>
                <w:color w:val="auto"/>
              </w:rPr>
            </w:pPr>
            <w:r>
              <w:rPr>
                <w:rFonts w:ascii="Arial" w:cs="Arial" w:eastAsia="Arial" w:hAnsi="Arial"/>
                <w:sz w:val="12"/>
                <w:szCs w:val="12"/>
                <w:b w:val="1"/>
                <w:bCs w:val="1"/>
                <w:color w:val="auto"/>
                <w:w w:val="93"/>
              </w:rPr>
              <w:t>Fiscal</w:t>
            </w:r>
          </w:p>
        </w:tc>
        <w:tc>
          <w:tcPr>
            <w:tcW w:w="7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Salary</w:t>
            </w:r>
          </w:p>
        </w:tc>
        <w:tc>
          <w:tcPr>
            <w:tcW w:w="58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96"/>
              </w:rPr>
              <w:t>Bonus</w:t>
            </w: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w w:val="96"/>
              </w:rPr>
              <w:t>Awards</w:t>
            </w: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rPr>
              <w:t>Compensation</w:t>
            </w:r>
          </w:p>
        </w:tc>
        <w:tc>
          <w:tcPr>
            <w:tcW w:w="1060" w:type="dxa"/>
            <w:vAlign w:val="bottom"/>
            <w:gridSpan w:val="2"/>
          </w:tcPr>
          <w:p>
            <w:pPr>
              <w:jc w:val="right"/>
              <w:ind w:right="220"/>
              <w:spacing w:after="0" w:line="131" w:lineRule="exact"/>
              <w:rPr>
                <w:sz w:val="20"/>
                <w:szCs w:val="20"/>
                <w:color w:val="auto"/>
              </w:rPr>
            </w:pPr>
            <w:r>
              <w:rPr>
                <w:rFonts w:ascii="Arial" w:cs="Arial" w:eastAsia="Arial" w:hAnsi="Arial"/>
                <w:sz w:val="12"/>
                <w:szCs w:val="12"/>
                <w:b w:val="1"/>
                <w:bCs w:val="1"/>
                <w:color w:val="auto"/>
                <w:w w:val="98"/>
              </w:rPr>
              <w:t>Compensation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880" w:type="dxa"/>
            <w:vAlign w:val="bottom"/>
            <w:gridSpan w:val="2"/>
            <w:vMerge w:val="continue"/>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Year</w:t>
            </w:r>
          </w:p>
        </w:tc>
        <w:tc>
          <w:tcPr>
            <w:tcW w:w="540" w:type="dxa"/>
            <w:vAlign w:val="bottom"/>
          </w:tcPr>
          <w:p>
            <w:pPr>
              <w:jc w:val="right"/>
              <w:ind w:right="135"/>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(1)</w:t>
            </w:r>
          </w:p>
        </w:tc>
        <w:tc>
          <w:tcPr>
            <w:tcW w:w="220" w:type="dxa"/>
            <w:vAlign w:val="bottom"/>
          </w:tcPr>
          <w:p>
            <w:pPr>
              <w:spacing w:after="0"/>
              <w:rPr>
                <w:sz w:val="13"/>
                <w:szCs w:val="13"/>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(2)</w:t>
            </w:r>
          </w:p>
        </w:tc>
        <w:tc>
          <w:tcPr>
            <w:tcW w:w="220" w:type="dxa"/>
            <w:vAlign w:val="bottom"/>
          </w:tcPr>
          <w:p>
            <w:pPr>
              <w:spacing w:after="0"/>
              <w:rPr>
                <w:sz w:val="13"/>
                <w:szCs w:val="13"/>
                <w:color w:val="auto"/>
              </w:rPr>
            </w:pPr>
          </w:p>
        </w:tc>
        <w:tc>
          <w:tcPr>
            <w:tcW w:w="840" w:type="dxa"/>
            <w:vAlign w:val="bottom"/>
          </w:tcPr>
          <w:p>
            <w:pPr>
              <w:jc w:val="right"/>
              <w:ind w:right="276"/>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17"/>
        </w:trPr>
        <w:tc>
          <w:tcPr>
            <w:tcW w:w="162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9"/>
                <w:szCs w:val="9"/>
                <w:color w:val="auto"/>
              </w:rPr>
              <w:t>Dave Girouard</w:t>
            </w:r>
            <w:r>
              <w:rPr>
                <w:rFonts w:ascii="Arial" w:cs="Arial" w:eastAsia="Arial" w:hAnsi="Arial"/>
                <w:sz w:val="13"/>
                <w:szCs w:val="13"/>
                <w:color w:val="auto"/>
                <w:vertAlign w:val="superscript"/>
              </w:rPr>
              <w:t>(3)</w:t>
            </w:r>
          </w:p>
        </w:tc>
        <w:tc>
          <w:tcPr>
            <w:tcW w:w="22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Executive Officer</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360,000</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360,000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80" w:type="dxa"/>
            <w:vAlign w:val="bottom"/>
            <w:gridSpan w:val="2"/>
          </w:tcPr>
          <w:p>
            <w:pPr>
              <w:spacing w:after="0"/>
              <w:rPr>
                <w:sz w:val="20"/>
                <w:szCs w:val="20"/>
                <w:color w:val="auto"/>
              </w:rPr>
            </w:pPr>
            <w:r>
              <w:rPr>
                <w:rFonts w:ascii="Arial" w:cs="Arial" w:eastAsia="Arial" w:hAnsi="Arial"/>
                <w:sz w:val="14"/>
                <w:szCs w:val="14"/>
                <w:color w:val="auto"/>
              </w:rPr>
              <w:t>Sanjay Datta</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80" w:type="dxa"/>
            <w:vAlign w:val="bottom"/>
            <w:gridSpan w:val="2"/>
          </w:tcPr>
          <w:p>
            <w:pPr>
              <w:spacing w:after="0"/>
              <w:rPr>
                <w:sz w:val="20"/>
                <w:szCs w:val="20"/>
                <w:color w:val="auto"/>
              </w:rPr>
            </w:pPr>
            <w:r>
              <w:rPr>
                <w:rFonts w:ascii="Arial" w:cs="Arial" w:eastAsia="Arial" w:hAnsi="Arial"/>
                <w:sz w:val="14"/>
                <w:szCs w:val="14"/>
                <w:i w:val="1"/>
                <w:iCs w:val="1"/>
                <w:color w:val="auto"/>
              </w:rPr>
              <w:t>Chief Financial Officer</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tcPr>
          <w:p>
            <w:pPr>
              <w:jc w:val="right"/>
              <w:spacing w:after="0"/>
              <w:rPr>
                <w:sz w:val="20"/>
                <w:szCs w:val="20"/>
                <w:color w:val="auto"/>
              </w:rPr>
            </w:pPr>
            <w:r>
              <w:rPr>
                <w:rFonts w:ascii="Arial" w:cs="Arial" w:eastAsia="Arial" w:hAnsi="Arial"/>
                <w:sz w:val="14"/>
                <w:szCs w:val="14"/>
                <w:color w:val="auto"/>
              </w:rPr>
              <w:t>375,000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4"/>
              </w:rPr>
              <w:t>384,525</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189,000</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ind w:left="40"/>
              <w:spacing w:after="0"/>
              <w:rPr>
                <w:sz w:val="20"/>
                <w:szCs w:val="20"/>
                <w:color w:val="auto"/>
              </w:rPr>
            </w:pPr>
            <w:r>
              <w:rPr>
                <w:rFonts w:ascii="Arial" w:cs="Arial" w:eastAsia="Arial" w:hAnsi="Arial"/>
                <w:sz w:val="14"/>
                <w:szCs w:val="14"/>
                <w:color w:val="auto"/>
                <w:w w:val="94"/>
              </w:rPr>
              <w:t>948,525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CEEFF"/>
          </w:tcPr>
          <w:p>
            <w:pPr>
              <w:spacing w:after="0" w:line="154" w:lineRule="exact"/>
              <w:rPr>
                <w:sz w:val="20"/>
                <w:szCs w:val="20"/>
                <w:color w:val="auto"/>
              </w:rPr>
            </w:pPr>
            <w:r>
              <w:rPr>
                <w:rFonts w:ascii="Arial" w:cs="Arial" w:eastAsia="Arial" w:hAnsi="Arial"/>
                <w:sz w:val="11"/>
                <w:szCs w:val="11"/>
                <w:color w:val="auto"/>
              </w:rPr>
              <w:t>Paul Gu</w:t>
            </w:r>
            <w:r>
              <w:rPr>
                <w:rFonts w:ascii="Arial" w:cs="Arial" w:eastAsia="Arial" w:hAnsi="Arial"/>
                <w:sz w:val="17"/>
                <w:szCs w:val="17"/>
                <w:color w:val="auto"/>
                <w:vertAlign w:val="superscript"/>
              </w:rPr>
              <w:t>(3)</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SVP, Product and Data Science</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269,773</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384,525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145,677</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799,975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480" w:right="6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amount reported represents the aggregate grant-date fair value of the stock options awarded to the named executive officer in 2019, calculated in accordance with Topic 718, “Compensation—Stock Compensation.” Such grant-date fair value does not take into account any estimated forfeitures related to vesting conditions. The assumptions used in calculating the grant-date fair value of the stock options reported in this column are set forth in Note 11 to our Consolidated Financial Statements. These amounts do not reflect the actual economic value that may be realized by the named executive officer.</w:t>
      </w:r>
    </w:p>
    <w:p>
      <w:pPr>
        <w:ind w:left="1480" w:right="4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amounts reported represent the amounts earned by the named executive officers in calendar year 2019 under Upstart’s 2019 Bonus Plan, as described in more detail below under “Employee Benefit and Stock Plans—2019 Bonus Plan.” The amounts reported were paid out, less applicable withholdings, on February 14, 2020.</w:t>
      </w:r>
    </w:p>
    <w:p>
      <w:pPr>
        <w:ind w:left="1480" w:hanging="453"/>
        <w:spacing w:after="0"/>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Mr. Girouard and Mr. Gu serve on our board of directors but are not paid additional compensation for such service.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20"/>
          </w:cols>
          <w:pgMar w:left="320" w:top="407" w:right="135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Outstanding Equity Awards at Year-End</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regarding outstanding equity awards held by our named executive officers as of</w:t>
      </w:r>
    </w:p>
    <w:p>
      <w:pPr>
        <w:ind w:left="1020"/>
        <w:spacing w:after="0"/>
        <w:rPr>
          <w:sz w:val="20"/>
          <w:szCs w:val="20"/>
          <w:color w:val="auto"/>
        </w:rPr>
      </w:pPr>
      <w:r>
        <w:rPr>
          <w:rFonts w:ascii="Arial" w:cs="Arial" w:eastAsia="Arial" w:hAnsi="Arial"/>
          <w:sz w:val="15"/>
          <w:szCs w:val="15"/>
          <w:color w:val="auto"/>
        </w:rPr>
        <w:t>December 31, 2019:</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2"/>
                <w:szCs w:val="12"/>
                <w:b w:val="1"/>
                <w:bCs w:val="1"/>
                <w:color w:val="auto"/>
              </w:rPr>
              <w:t>Option Awards</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9"/>
              </w:rPr>
              <w:t>Number of</w:t>
            </w:r>
          </w:p>
        </w:tc>
        <w:tc>
          <w:tcPr>
            <w:tcW w:w="400" w:type="dxa"/>
            <w:vAlign w:val="bottom"/>
          </w:tcPr>
          <w:p>
            <w:pPr>
              <w:spacing w:after="0"/>
              <w:rPr>
                <w:sz w:val="10"/>
                <w:szCs w:val="10"/>
                <w:color w:val="auto"/>
              </w:rPr>
            </w:pPr>
          </w:p>
        </w:tc>
        <w:tc>
          <w:tcPr>
            <w:tcW w:w="1180" w:type="dxa"/>
            <w:vAlign w:val="bottom"/>
            <w:gridSpan w:val="2"/>
          </w:tcPr>
          <w:p>
            <w:pPr>
              <w:jc w:val="center"/>
              <w:ind w:right="300"/>
              <w:spacing w:after="0" w:line="117" w:lineRule="exact"/>
              <w:rPr>
                <w:sz w:val="20"/>
                <w:szCs w:val="20"/>
                <w:color w:val="auto"/>
              </w:rPr>
            </w:pPr>
            <w:r>
              <w:rPr>
                <w:rFonts w:ascii="Arial" w:cs="Arial" w:eastAsia="Arial" w:hAnsi="Arial"/>
                <w:sz w:val="12"/>
                <w:szCs w:val="12"/>
                <w:b w:val="1"/>
                <w:bCs w:val="1"/>
                <w:color w:val="auto"/>
                <w:w w:val="99"/>
              </w:rPr>
              <w:t>Number of</w:t>
            </w: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7"/>
              </w:rPr>
              <w:t>Securities</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Unexercised</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Unexercised</w:t>
            </w:r>
          </w:p>
        </w:tc>
        <w:tc>
          <w:tcPr>
            <w:tcW w:w="9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rPr>
              <w:t>Option</w:t>
            </w:r>
          </w:p>
        </w:tc>
        <w:tc>
          <w:tcPr>
            <w:tcW w:w="13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2600" w:type="dxa"/>
            <w:vAlign w:val="bottom"/>
            <w:vMerge w:val="restart"/>
          </w:tcPr>
          <w:p>
            <w:pPr>
              <w:spacing w:after="0"/>
              <w:rPr>
                <w:sz w:val="11"/>
                <w:szCs w:val="11"/>
                <w:color w:val="auto"/>
              </w:rPr>
            </w:pPr>
          </w:p>
        </w:tc>
        <w:tc>
          <w:tcPr>
            <w:tcW w:w="1720" w:type="dxa"/>
            <w:vAlign w:val="bottom"/>
            <w:gridSpan w:val="2"/>
          </w:tcPr>
          <w:p>
            <w:pPr>
              <w:jc w:val="center"/>
              <w:ind w:right="280"/>
              <w:spacing w:after="0" w:line="131" w:lineRule="exact"/>
              <w:rPr>
                <w:sz w:val="20"/>
                <w:szCs w:val="20"/>
                <w:color w:val="auto"/>
              </w:rPr>
            </w:pPr>
            <w:r>
              <w:rPr>
                <w:rFonts w:ascii="Arial" w:cs="Arial" w:eastAsia="Arial" w:hAnsi="Arial"/>
                <w:sz w:val="12"/>
                <w:szCs w:val="12"/>
                <w:b w:val="1"/>
                <w:bCs w:val="1"/>
                <w:color w:val="auto"/>
                <w:w w:val="99"/>
              </w:rPr>
              <w:t>Grant</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Options (#)</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1" w:lineRule="exact"/>
              <w:rPr>
                <w:sz w:val="20"/>
                <w:szCs w:val="20"/>
                <w:color w:val="auto"/>
              </w:rPr>
            </w:pPr>
            <w:r>
              <w:rPr>
                <w:rFonts w:ascii="Arial" w:cs="Arial" w:eastAsia="Arial" w:hAnsi="Arial"/>
                <w:sz w:val="12"/>
                <w:szCs w:val="12"/>
                <w:b w:val="1"/>
                <w:bCs w:val="1"/>
                <w:color w:val="auto"/>
              </w:rPr>
              <w:t>Options (#)</w:t>
            </w:r>
          </w:p>
        </w:tc>
        <w:tc>
          <w:tcPr>
            <w:tcW w:w="920" w:type="dxa"/>
            <w:vAlign w:val="bottom"/>
            <w:gridSpan w:val="2"/>
          </w:tcPr>
          <w:p>
            <w:pPr>
              <w:jc w:val="center"/>
              <w:ind w:right="280"/>
              <w:spacing w:after="0" w:line="131" w:lineRule="exact"/>
              <w:rPr>
                <w:sz w:val="20"/>
                <w:szCs w:val="20"/>
                <w:color w:val="auto"/>
              </w:rPr>
            </w:pPr>
            <w:r>
              <w:rPr>
                <w:rFonts w:ascii="Arial" w:cs="Arial" w:eastAsia="Arial" w:hAnsi="Arial"/>
                <w:sz w:val="12"/>
                <w:szCs w:val="12"/>
                <w:b w:val="1"/>
                <w:bCs w:val="1"/>
                <w:color w:val="auto"/>
                <w:w w:val="97"/>
              </w:rPr>
              <w:t>Exercise</w:t>
            </w:r>
          </w:p>
        </w:tc>
        <w:tc>
          <w:tcPr>
            <w:tcW w:w="13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0" w:type="dxa"/>
            <w:vAlign w:val="bottom"/>
          </w:tcPr>
          <w:p>
            <w:pPr>
              <w:spacing w:after="0"/>
              <w:rPr>
                <w:sz w:val="1"/>
                <w:szCs w:val="1"/>
                <w:color w:val="auto"/>
              </w:rPr>
            </w:pPr>
          </w:p>
        </w:tc>
      </w:tr>
      <w:tr>
        <w:trPr>
          <w:trHeight w:val="143"/>
        </w:trPr>
        <w:tc>
          <w:tcPr>
            <w:tcW w:w="340" w:type="dxa"/>
            <w:vAlign w:val="bottom"/>
            <w:tcBorders>
              <w:bottom w:val="single" w:sz="8" w:color="auto"/>
            </w:tcBorders>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1720" w:type="dxa"/>
            <w:vAlign w:val="bottom"/>
            <w:gridSpan w:val="2"/>
          </w:tcPr>
          <w:p>
            <w:pPr>
              <w:jc w:val="center"/>
              <w:ind w:right="260"/>
              <w:spacing w:after="0" w:line="138" w:lineRule="exact"/>
              <w:rPr>
                <w:sz w:val="20"/>
                <w:szCs w:val="20"/>
                <w:color w:val="auto"/>
              </w:rPr>
            </w:pPr>
            <w:r>
              <w:rPr>
                <w:rFonts w:ascii="Arial" w:cs="Arial" w:eastAsia="Arial" w:hAnsi="Arial"/>
                <w:sz w:val="10"/>
                <w:szCs w:val="10"/>
                <w:b w:val="1"/>
                <w:bCs w:val="1"/>
                <w:color w:val="auto"/>
              </w:rPr>
              <w:t>Date</w:t>
            </w:r>
            <w:r>
              <w:rPr>
                <w:rFonts w:ascii="Arial" w:cs="Arial" w:eastAsia="Arial" w:hAnsi="Arial"/>
                <w:sz w:val="16"/>
                <w:szCs w:val="16"/>
                <w:b w:val="1"/>
                <w:bCs w:val="1"/>
                <w:color w:val="auto"/>
                <w:vertAlign w:val="superscript"/>
              </w:rPr>
              <w:t>(1)</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40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Unexercisable</w:t>
            </w:r>
          </w:p>
        </w:tc>
        <w:tc>
          <w:tcPr>
            <w:tcW w:w="920" w:type="dxa"/>
            <w:vAlign w:val="bottom"/>
            <w:gridSpan w:val="2"/>
          </w:tcPr>
          <w:p>
            <w:pPr>
              <w:jc w:val="center"/>
              <w:ind w:right="280"/>
              <w:spacing w:after="0" w:line="138" w:lineRule="exact"/>
              <w:rPr>
                <w:sz w:val="20"/>
                <w:szCs w:val="20"/>
                <w:color w:val="auto"/>
              </w:rPr>
            </w:pPr>
            <w:r>
              <w:rPr>
                <w:rFonts w:ascii="Arial" w:cs="Arial" w:eastAsia="Arial" w:hAnsi="Arial"/>
                <w:sz w:val="10"/>
                <w:szCs w:val="10"/>
                <w:b w:val="1"/>
                <w:bCs w:val="1"/>
                <w:color w:val="auto"/>
              </w:rPr>
              <w:t xml:space="preserve">Price </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20"/>
        </w:trPr>
        <w:tc>
          <w:tcPr>
            <w:tcW w:w="29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Dave Girouard</w:t>
            </w:r>
          </w:p>
        </w:tc>
        <w:tc>
          <w:tcPr>
            <w:tcW w:w="1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gridSpan w:val="2"/>
            <w:vMerge w:val="continue"/>
            <w:shd w:val="clear" w:color="auto" w:fill="CCEEFF"/>
          </w:tcPr>
          <w:p>
            <w:pPr>
              <w:spacing w:after="0"/>
              <w:rPr>
                <w:sz w:val="12"/>
                <w:szCs w:val="12"/>
                <w:color w:val="auto"/>
              </w:rPr>
            </w:pPr>
          </w:p>
        </w:tc>
        <w:tc>
          <w:tcPr>
            <w:tcW w:w="1440" w:type="dxa"/>
            <w:vAlign w:val="bottom"/>
            <w:shd w:val="clear" w:color="auto" w:fill="CCEEFF"/>
          </w:tcPr>
          <w:p>
            <w:pPr>
              <w:jc w:val="center"/>
              <w:spacing w:after="0" w:line="140" w:lineRule="exact"/>
              <w:rPr>
                <w:sz w:val="20"/>
                <w:szCs w:val="20"/>
                <w:color w:val="auto"/>
              </w:rPr>
            </w:pPr>
            <w:r>
              <w:rPr>
                <w:rFonts w:ascii="Arial" w:cs="Arial" w:eastAsia="Arial" w:hAnsi="Arial"/>
                <w:sz w:val="11"/>
                <w:szCs w:val="11"/>
                <w:color w:val="auto"/>
              </w:rPr>
              <w:t>September 20, 2016</w:t>
            </w:r>
            <w:r>
              <w:rPr>
                <w:rFonts w:ascii="Arial" w:cs="Arial" w:eastAsia="Arial" w:hAnsi="Arial"/>
                <w:sz w:val="16"/>
                <w:szCs w:val="16"/>
                <w:color w:val="auto"/>
                <w:vertAlign w:val="superscript"/>
              </w:rPr>
              <w:t>(3)</w:t>
            </w:r>
          </w:p>
        </w:tc>
        <w:tc>
          <w:tcPr>
            <w:tcW w:w="28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1,017,042</w:t>
            </w:r>
          </w:p>
        </w:tc>
        <w:tc>
          <w:tcPr>
            <w:tcW w:w="4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20"/>
              <w:spacing w:after="0" w:line="141" w:lineRule="exact"/>
              <w:rPr>
                <w:sz w:val="20"/>
                <w:szCs w:val="20"/>
                <w:color w:val="auto"/>
              </w:rPr>
            </w:pPr>
            <w:r>
              <w:rPr>
                <w:rFonts w:ascii="Arial" w:cs="Arial" w:eastAsia="Arial" w:hAnsi="Arial"/>
                <w:sz w:val="14"/>
                <w:szCs w:val="14"/>
                <w:color w:val="auto"/>
              </w:rPr>
              <w:t>234,703</w:t>
            </w:r>
          </w:p>
        </w:tc>
        <w:tc>
          <w:tcPr>
            <w:tcW w:w="6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$0.83</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September 20, 2026</w:t>
            </w: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Arial" w:cs="Arial" w:eastAsia="Arial" w:hAnsi="Arial"/>
                <w:sz w:val="14"/>
                <w:szCs w:val="14"/>
                <w:color w:val="auto"/>
              </w:rPr>
              <w:t>Sanjay Datta</w:t>
            </w:r>
          </w:p>
        </w:tc>
        <w:tc>
          <w:tcPr>
            <w:tcW w:w="1720" w:type="dxa"/>
            <w:vAlign w:val="bottom"/>
            <w:gridSpan w:val="2"/>
          </w:tcPr>
          <w:p>
            <w:pPr>
              <w:jc w:val="center"/>
              <w:ind w:right="280"/>
              <w:spacing w:after="0" w:line="203" w:lineRule="exact"/>
              <w:rPr>
                <w:sz w:val="20"/>
                <w:szCs w:val="20"/>
                <w:color w:val="auto"/>
              </w:rPr>
            </w:pPr>
            <w:r>
              <w:rPr>
                <w:rFonts w:ascii="Arial" w:cs="Arial" w:eastAsia="Arial" w:hAnsi="Arial"/>
                <w:sz w:val="14"/>
                <w:szCs w:val="14"/>
                <w:color w:val="auto"/>
                <w:w w:val="93"/>
              </w:rPr>
              <w:t>December 28, 2016</w:t>
            </w:r>
            <w:r>
              <w:rPr>
                <w:rFonts w:ascii="Arial" w:cs="Arial" w:eastAsia="Arial" w:hAnsi="Arial"/>
                <w:sz w:val="22"/>
                <w:szCs w:val="22"/>
                <w:color w:val="auto"/>
                <w:w w:val="93"/>
                <w:vertAlign w:val="superscript"/>
              </w:rPr>
              <w:t>(4)</w:t>
            </w:r>
          </w:p>
        </w:tc>
        <w:tc>
          <w:tcPr>
            <w:tcW w:w="740" w:type="dxa"/>
            <w:vAlign w:val="bottom"/>
          </w:tcPr>
          <w:p>
            <w:pPr>
              <w:jc w:val="right"/>
              <w:spacing w:after="0"/>
              <w:rPr>
                <w:sz w:val="20"/>
                <w:szCs w:val="20"/>
                <w:color w:val="auto"/>
              </w:rPr>
            </w:pPr>
            <w:r>
              <w:rPr>
                <w:rFonts w:ascii="Arial" w:cs="Arial" w:eastAsia="Arial" w:hAnsi="Arial"/>
                <w:sz w:val="14"/>
                <w:szCs w:val="14"/>
                <w:color w:val="auto"/>
              </w:rPr>
              <w:t>474,619</w:t>
            </w:r>
          </w:p>
        </w:tc>
        <w:tc>
          <w:tcPr>
            <w:tcW w:w="1580" w:type="dxa"/>
            <w:vAlign w:val="bottom"/>
            <w:gridSpan w:val="3"/>
          </w:tcPr>
          <w:p>
            <w:pPr>
              <w:jc w:val="right"/>
              <w:ind w:right="320"/>
              <w:spacing w:after="0"/>
              <w:rPr>
                <w:sz w:val="20"/>
                <w:szCs w:val="20"/>
                <w:color w:val="auto"/>
              </w:rPr>
            </w:pPr>
            <w:r>
              <w:rPr>
                <w:rFonts w:ascii="Arial" w:cs="Arial" w:eastAsia="Arial" w:hAnsi="Arial"/>
                <w:sz w:val="14"/>
                <w:szCs w:val="14"/>
                <w:color w:val="auto"/>
              </w:rPr>
              <w:t>176,288</w:t>
            </w: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$1.35</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December 28, 2026</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December 28, 2016</w:t>
            </w:r>
            <w:r>
              <w:rPr>
                <w:rFonts w:ascii="Arial" w:cs="Arial" w:eastAsia="Arial" w:hAnsi="Arial"/>
                <w:sz w:val="18"/>
                <w:szCs w:val="18"/>
                <w:color w:val="auto"/>
                <w:vertAlign w:val="superscript"/>
              </w:rPr>
              <w:t>(5)</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60,500</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39,639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$1.35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December 28, 2026</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December 18, 2017</w:t>
            </w:r>
            <w:r>
              <w:rPr>
                <w:rFonts w:ascii="Arial" w:cs="Arial" w:eastAsia="Arial" w:hAnsi="Arial"/>
                <w:sz w:val="18"/>
                <w:szCs w:val="18"/>
                <w:color w:val="auto"/>
                <w:vertAlign w:val="superscript"/>
              </w:rPr>
              <w:t>(6)</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47,916</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52,084</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$2.15</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5"/>
              </w:rPr>
              <w:t>December 18, 2027</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March 29, 2019</w:t>
            </w:r>
            <w:r>
              <w:rPr>
                <w:rFonts w:ascii="Arial" w:cs="Arial" w:eastAsia="Arial" w:hAnsi="Arial"/>
                <w:sz w:val="18"/>
                <w:szCs w:val="18"/>
                <w:color w:val="auto"/>
                <w:vertAlign w:val="superscript"/>
              </w:rPr>
              <w:t>(7)</w:t>
            </w:r>
          </w:p>
        </w:tc>
        <w:tc>
          <w:tcPr>
            <w:tcW w:w="740" w:type="dxa"/>
            <w:vAlign w:val="bottom"/>
            <w:shd w:val="clear" w:color="auto" w:fill="CCEEFF"/>
          </w:tcPr>
          <w:p>
            <w:pPr>
              <w:jc w:val="right"/>
              <w:ind w:right="215"/>
              <w:spacing w:after="0" w:line="158"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150,000</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$3.80</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March 29, 2029</w:t>
            </w: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Arial" w:cs="Arial" w:eastAsia="Arial" w:hAnsi="Arial"/>
                <w:sz w:val="14"/>
                <w:szCs w:val="14"/>
                <w:color w:val="auto"/>
              </w:rPr>
              <w:t>Paul Gu</w:t>
            </w:r>
          </w:p>
        </w:tc>
        <w:tc>
          <w:tcPr>
            <w:tcW w:w="1720" w:type="dxa"/>
            <w:vAlign w:val="bottom"/>
            <w:gridSpan w:val="2"/>
          </w:tcPr>
          <w:p>
            <w:pPr>
              <w:jc w:val="center"/>
              <w:ind w:right="280"/>
              <w:spacing w:after="0" w:line="203" w:lineRule="exact"/>
              <w:rPr>
                <w:sz w:val="20"/>
                <w:szCs w:val="20"/>
                <w:color w:val="auto"/>
              </w:rPr>
            </w:pPr>
            <w:r>
              <w:rPr>
                <w:rFonts w:ascii="Arial" w:cs="Arial" w:eastAsia="Arial" w:hAnsi="Arial"/>
                <w:sz w:val="14"/>
                <w:szCs w:val="14"/>
                <w:color w:val="auto"/>
                <w:w w:val="93"/>
              </w:rPr>
              <w:t>May 11, 2012</w:t>
            </w:r>
            <w:r>
              <w:rPr>
                <w:rFonts w:ascii="Arial" w:cs="Arial" w:eastAsia="Arial" w:hAnsi="Arial"/>
                <w:sz w:val="22"/>
                <w:szCs w:val="22"/>
                <w:color w:val="auto"/>
                <w:w w:val="93"/>
                <w:vertAlign w:val="superscript"/>
              </w:rPr>
              <w:t>(8)</w:t>
            </w:r>
          </w:p>
        </w:tc>
        <w:tc>
          <w:tcPr>
            <w:tcW w:w="740" w:type="dxa"/>
            <w:vAlign w:val="bottom"/>
          </w:tcPr>
          <w:p>
            <w:pPr>
              <w:jc w:val="right"/>
              <w:spacing w:after="0"/>
              <w:rPr>
                <w:sz w:val="20"/>
                <w:szCs w:val="20"/>
                <w:color w:val="auto"/>
              </w:rPr>
            </w:pPr>
            <w:r>
              <w:rPr>
                <w:rFonts w:ascii="Arial" w:cs="Arial" w:eastAsia="Arial" w:hAnsi="Arial"/>
                <w:sz w:val="14"/>
                <w:szCs w:val="14"/>
                <w:color w:val="auto"/>
              </w:rPr>
              <w:t>210,000</w:t>
            </w:r>
          </w:p>
        </w:tc>
        <w:tc>
          <w:tcPr>
            <w:tcW w:w="400" w:type="dxa"/>
            <w:vAlign w:val="bottom"/>
          </w:tcPr>
          <w:p>
            <w:pPr>
              <w:spacing w:after="0"/>
              <w:rPr>
                <w:sz w:val="17"/>
                <w:szCs w:val="17"/>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$0.15</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May 11, 2022</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August 21, 2012</w:t>
            </w:r>
            <w:r>
              <w:rPr>
                <w:rFonts w:ascii="Arial" w:cs="Arial" w:eastAsia="Arial" w:hAnsi="Arial"/>
                <w:sz w:val="18"/>
                <w:szCs w:val="18"/>
                <w:color w:val="auto"/>
                <w:vertAlign w:val="superscript"/>
              </w:rPr>
              <w:t>(9)</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120,000</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$0.15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August 21, 2022</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60"/>
              <w:spacing w:after="0" w:line="157" w:lineRule="exact"/>
              <w:rPr>
                <w:sz w:val="20"/>
                <w:szCs w:val="20"/>
                <w:color w:val="auto"/>
              </w:rPr>
            </w:pPr>
            <w:r>
              <w:rPr>
                <w:rFonts w:ascii="Arial" w:cs="Arial" w:eastAsia="Arial" w:hAnsi="Arial"/>
                <w:sz w:val="12"/>
                <w:szCs w:val="12"/>
                <w:color w:val="auto"/>
              </w:rPr>
              <w:t>May 23, 2013</w:t>
            </w:r>
            <w:r>
              <w:rPr>
                <w:rFonts w:ascii="Arial" w:cs="Arial" w:eastAsia="Arial" w:hAnsi="Arial"/>
                <w:sz w:val="18"/>
                <w:szCs w:val="18"/>
                <w:color w:val="auto"/>
                <w:vertAlign w:val="superscript"/>
              </w:rPr>
              <w:t>(10)</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300,000</w:t>
            </w:r>
          </w:p>
        </w:tc>
        <w:tc>
          <w:tcPr>
            <w:tcW w:w="400" w:type="dxa"/>
            <w:vAlign w:val="bottom"/>
          </w:tcPr>
          <w:p>
            <w:pPr>
              <w:spacing w:after="0"/>
              <w:rPr>
                <w:sz w:val="13"/>
                <w:szCs w:val="13"/>
                <w:color w:val="auto"/>
              </w:rPr>
            </w:pPr>
          </w:p>
        </w:tc>
        <w:tc>
          <w:tcPr>
            <w:tcW w:w="118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$0.23</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6"/>
              </w:rPr>
              <w:t>May 23, 2023</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2"/>
                <w:szCs w:val="12"/>
                <w:color w:val="auto"/>
              </w:rPr>
              <w:t>June 19, 2014</w:t>
            </w:r>
            <w:r>
              <w:rPr>
                <w:rFonts w:ascii="Arial" w:cs="Arial" w:eastAsia="Arial" w:hAnsi="Arial"/>
                <w:sz w:val="18"/>
                <w:szCs w:val="18"/>
                <w:color w:val="auto"/>
                <w:vertAlign w:val="superscript"/>
              </w:rPr>
              <w:t>(11)</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270,000</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$0.43</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June 19, 2024</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January 14, 2015</w:t>
            </w:r>
            <w:r>
              <w:rPr>
                <w:rFonts w:ascii="Arial" w:cs="Arial" w:eastAsia="Arial" w:hAnsi="Arial"/>
                <w:sz w:val="18"/>
                <w:szCs w:val="18"/>
                <w:color w:val="auto"/>
                <w:vertAlign w:val="superscript"/>
              </w:rPr>
              <w:t>(12)</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200,000</w:t>
            </w:r>
          </w:p>
        </w:tc>
        <w:tc>
          <w:tcPr>
            <w:tcW w:w="400" w:type="dxa"/>
            <w:vAlign w:val="bottom"/>
          </w:tcPr>
          <w:p>
            <w:pPr>
              <w:spacing w:after="0"/>
              <w:rPr>
                <w:sz w:val="13"/>
                <w:szCs w:val="13"/>
                <w:color w:val="auto"/>
              </w:rPr>
            </w:pPr>
          </w:p>
        </w:tc>
        <w:tc>
          <w:tcPr>
            <w:tcW w:w="118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$0.60</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7"/>
              </w:rPr>
              <w:t>January 14, 2025</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December 18, 2015</w:t>
            </w:r>
            <w:r>
              <w:rPr>
                <w:rFonts w:ascii="Arial" w:cs="Arial" w:eastAsia="Arial" w:hAnsi="Arial"/>
                <w:sz w:val="18"/>
                <w:szCs w:val="18"/>
                <w:color w:val="auto"/>
                <w:vertAlign w:val="superscript"/>
              </w:rPr>
              <w:t>(13)</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244,791</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5,209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$1.17</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December 18, 2025</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60"/>
              <w:spacing w:after="0" w:line="157" w:lineRule="exact"/>
              <w:rPr>
                <w:sz w:val="20"/>
                <w:szCs w:val="20"/>
                <w:color w:val="auto"/>
              </w:rPr>
            </w:pPr>
            <w:r>
              <w:rPr>
                <w:rFonts w:ascii="Arial" w:cs="Arial" w:eastAsia="Arial" w:hAnsi="Arial"/>
                <w:sz w:val="12"/>
                <w:szCs w:val="12"/>
                <w:color w:val="auto"/>
              </w:rPr>
              <w:t>June 24, 2016</w:t>
            </w:r>
            <w:r>
              <w:rPr>
                <w:rFonts w:ascii="Arial" w:cs="Arial" w:eastAsia="Arial" w:hAnsi="Arial"/>
                <w:sz w:val="18"/>
                <w:szCs w:val="18"/>
                <w:color w:val="auto"/>
                <w:vertAlign w:val="superscript"/>
              </w:rPr>
              <w:t>(14)</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256,249</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43,751</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$1.17</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6"/>
              </w:rPr>
              <w:t>June 24, 2026</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2"/>
                <w:szCs w:val="12"/>
                <w:color w:val="auto"/>
              </w:rPr>
              <w:t>January 9, 2017</w:t>
            </w:r>
            <w:r>
              <w:rPr>
                <w:rFonts w:ascii="Arial" w:cs="Arial" w:eastAsia="Arial" w:hAnsi="Arial"/>
                <w:sz w:val="18"/>
                <w:szCs w:val="18"/>
                <w:color w:val="auto"/>
                <w:vertAlign w:val="superscript"/>
              </w:rPr>
              <w:t>(15)</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182,291</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67,709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$1.35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7"/>
              </w:rPr>
              <w:t>January 9, 2027</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December 18, 2017</w:t>
            </w:r>
            <w:r>
              <w:rPr>
                <w:rFonts w:ascii="Arial" w:cs="Arial" w:eastAsia="Arial" w:hAnsi="Arial"/>
                <w:sz w:val="18"/>
                <w:szCs w:val="18"/>
                <w:color w:val="auto"/>
                <w:vertAlign w:val="superscript"/>
              </w:rPr>
              <w:t>(16)</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95,833</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104,167</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$2.15</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5"/>
              </w:rPr>
              <w:t>December 18, 2027</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2"/>
                <w:szCs w:val="12"/>
                <w:color w:val="auto"/>
              </w:rPr>
              <w:t>March 29, 2019</w:t>
            </w:r>
            <w:r>
              <w:rPr>
                <w:rFonts w:ascii="Arial" w:cs="Arial" w:eastAsia="Arial" w:hAnsi="Arial"/>
                <w:sz w:val="18"/>
                <w:szCs w:val="18"/>
                <w:color w:val="auto"/>
                <w:vertAlign w:val="superscript"/>
              </w:rPr>
              <w:t>(17)</w:t>
            </w:r>
          </w:p>
        </w:tc>
        <w:tc>
          <w:tcPr>
            <w:tcW w:w="740" w:type="dxa"/>
            <w:vAlign w:val="bottom"/>
            <w:shd w:val="clear" w:color="auto" w:fill="CCEEFF"/>
          </w:tcPr>
          <w:p>
            <w:pPr>
              <w:jc w:val="right"/>
              <w:ind w:right="215"/>
              <w:spacing w:after="0" w:line="158"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150,000</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$3.80</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March 29,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Each of the outstanding equity awards listed in the table above was granted pursuant to our 2012 Plan.</w:t>
      </w:r>
    </w:p>
    <w:p>
      <w:pPr>
        <w:ind w:left="148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This column represents the fair value of a share of our common stock on the grant date, as determined by our board of directors.</w:t>
      </w:r>
    </w:p>
    <w:p>
      <w:pPr>
        <w:ind w:left="1480" w:right="4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Girouard’s continued role as a service provider to us, in 48 equal monthly installments beginning on October 1, 2016.</w:t>
      </w:r>
    </w:p>
    <w:p>
      <w:pPr>
        <w:ind w:left="1480" w:right="2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as to 1/4th of the total shares on January 1, 2018 with 1/48th of the total shares vesting monthly thereafter.</w:t>
      </w:r>
    </w:p>
    <w:p>
      <w:pPr>
        <w:ind w:left="1480" w:right="10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as to 1/4th of the total shares on July 1, 2018 with 1/48th of the total shares vesting monthly thereafter.</w:t>
      </w:r>
    </w:p>
    <w:p>
      <w:pPr>
        <w:ind w:left="1480" w:right="16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in 48 equal monthly installments beginning on February 1, 2018.</w:t>
      </w:r>
    </w:p>
    <w:p>
      <w:pPr>
        <w:ind w:left="1480" w:right="16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in 12 equal monthly installments beginning on February 1, 2021.</w:t>
      </w:r>
    </w:p>
    <w:p>
      <w:pPr>
        <w:ind w:left="1480" w:right="2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May 1, 2013 with 1/48th of the total shares vesting monthly thereafter.</w:t>
      </w:r>
    </w:p>
    <w:p>
      <w:pPr>
        <w:ind w:left="1480" w:right="36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September 1, 2013 with 1/48th of the total shares vesting monthly thereafter.</w:t>
      </w:r>
    </w:p>
    <w:p>
      <w:pPr>
        <w:ind w:left="1480" w:right="2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May 1, 2014 with 1/48th of the total shares vesting monthly thereafter.</w:t>
      </w:r>
    </w:p>
    <w:p>
      <w:pPr>
        <w:ind w:left="148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April 1, 2015 with 1/48th of the total shares vesting monthly thereafter.</w:t>
      </w:r>
    </w:p>
    <w:p>
      <w:pPr>
        <w:ind w:left="1480" w:right="30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2015.</w:t>
      </w:r>
    </w:p>
    <w:p>
      <w:pPr>
        <w:ind w:left="1480" w:right="30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2016.</w:t>
      </w:r>
    </w:p>
    <w:p>
      <w:pPr>
        <w:ind w:left="148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August 1, 2016.</w:t>
      </w:r>
    </w:p>
    <w:p>
      <w:pPr>
        <w:ind w:left="1480" w:right="30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2017.</w:t>
      </w:r>
    </w:p>
    <w:p>
      <w:pPr>
        <w:ind w:left="1480" w:right="300" w:hanging="453"/>
        <w:spacing w:after="0" w:line="235"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2018.</w:t>
      </w:r>
    </w:p>
    <w:p>
      <w:pPr>
        <w:ind w:left="1480" w:right="300" w:hanging="453"/>
        <w:spacing w:after="0" w:line="246" w:lineRule="auto"/>
        <w:tabs>
          <w:tab w:leader="none" w:pos="1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12 equal monthly installments beginning on February 1, 2021.</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220"/>
          </w:cols>
          <w:pgMar w:left="320" w:top="407" w:right="135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Fiscal Year 2020 Option Grants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January 2020, our board of directors approved option grants under our 2012 Plan to each of Mr. Datta and Mr. Gu. Mr. Datta received an option to purchase 200,000 shares of our common stock, which vests in 12 equal monthly installments beginning on January 1, 2022, subject to Mr. Datta’s continued role as a service provider to us. Mr. Gu received an option to purchase 200,000 shares of our common stock, which vests in 12 equal monthly installments beginning on January 1, 2022, subject to Mr. Gu’s continued role as a service provider to us.</w:t>
      </w:r>
    </w:p>
    <w:p>
      <w:pPr>
        <w:spacing w:after="0" w:line="170" w:lineRule="exact"/>
        <w:rPr>
          <w:sz w:val="20"/>
          <w:szCs w:val="20"/>
          <w:color w:val="auto"/>
        </w:rPr>
      </w:pPr>
    </w:p>
    <w:p>
      <w:pPr>
        <w:jc w:val="both"/>
        <w:ind w:left="1020" w:right="80" w:firstLine="460"/>
        <w:spacing w:after="0"/>
        <w:rPr>
          <w:sz w:val="20"/>
          <w:szCs w:val="20"/>
          <w:color w:val="auto"/>
        </w:rPr>
      </w:pPr>
      <w:r>
        <w:rPr>
          <w:rFonts w:ascii="Arial" w:cs="Arial" w:eastAsia="Arial" w:hAnsi="Arial"/>
          <w:sz w:val="15"/>
          <w:szCs w:val="15"/>
          <w:color w:val="auto"/>
        </w:rPr>
        <w:t>In November 2020, our board of directors approved an option grant under our 2012 Plan to Mr. Girouard. Mr. Girouard received an option to purchase 550,000 shares of our common stock, which vests in 28 equal monthly installments beginning on September 1, 2020, subject to Mr. Girouard’s continued role as a service provider to us.</w:t>
      </w:r>
    </w:p>
    <w:p>
      <w:pPr>
        <w:spacing w:after="0" w:line="242"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05"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In October 2020, our board of directors approved our Executive Change in Control and Severance Policy, or the Severance Policy, which will become effective as of the date of the effectiveness of the registration statement of which this prospectus forms a part. Each of our named executive officers participates in the Severance Policy. Pursuant to our Severance Policy, if, within the 3 month period prior to or the 12 month period following a “change in control” (as defined in the Severance Policy), we terminate the employment of an executive without “cause” (excluding death or disability) or the executive resigns for “good reason” (as such terms are defined in the applicable agreement), and within 60 days following such termination, the executive executes a waiver and release of claims in our favor that becomes effective and irrevocable, the executive will be entitled to receive (i) a lump sum payment equal to 12 months of the executive’s then current annual base salary, (ii) a lump sum payment equal to 100% of the executive’s target annual bonus amount for the year of termination (provided such amount will be prorated based on days of service during the applicable bonus period with respect to Messrs. Datta and Gu), (iii) reimbursement of premiums to maintain group health insurance continuation benefits pursuant to “COBRA” for the executive and the executive’s respective eligible dependents for up to 12 months, and (iv) vesting acceleration as to 100% of the then-unvested shares subject to each of the executive’s then outstanding equity awards (and in the case of awards with performance vesting, unless the applicable award agreement governing such award provides otherwise, all performance goals and other vesting criteria will be deemed achieved at target or as earned (determined on a pro rata basis) if greater.</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Pursuant to the Severance Policy, in the event any payment to an executive would be subject to the excise tax imposed by Section 4999 of the Internal Revenue Code, as amended, or the Code (as a result of a payment being classified as a parachute payment under Section 280G of the Code), the executive will receive such payment as would entitle the executive to receive the greatest after-tax benefit, even if it means that we pay the executive a lower aggregate payment so as to minimize or eliminate the potential excise tax imposed by Section 4999 of the Code.</w:t>
      </w:r>
    </w:p>
    <w:p>
      <w:pPr>
        <w:spacing w:after="0" w:line="242"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Employee Benefit and Stock Plans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2020 Equity Incentive Plan</w:t>
      </w:r>
    </w:p>
    <w:p>
      <w:pPr>
        <w:spacing w:after="0" w:line="10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In October 2020, our board of directors adopted, and in November 2020 our board of directors amended and our stockholders approved, our 2020 Plan. Our 2020 Plan will become effective on the business day immediately prior to the effective date of the registration statement of which this prospectus forms a part. Our 2020 Plan provides for the grant of incentive stock options, within the meaning of Section 422 of the Code, to our employees and any parent and subsidiary corporations’ employees, and for the grant of nonstatutory stock options, stock appreciation rights, restricted stock,</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200"/>
          </w:cols>
          <w:pgMar w:left="320" w:top="407" w:right="137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rPr>
          <w:sz w:val="20"/>
          <w:szCs w:val="20"/>
          <w:color w:val="auto"/>
        </w:rPr>
      </w:pPr>
      <w:r>
        <w:rPr>
          <w:rFonts w:ascii="Arial" w:cs="Arial" w:eastAsia="Arial" w:hAnsi="Arial"/>
          <w:sz w:val="15"/>
          <w:szCs w:val="15"/>
          <w:color w:val="auto"/>
        </w:rPr>
        <w:t>restricted stock units, or RSUs, and performance awards to our employees, directors, and consultants and our parent and subsidiary corporations’ employees and consultants. Our 2012 Plan will terminate immediately prior to effectiveness of the 2020 Plan with respect to the grant of future awards.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Authorized Shares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Subject to the adjustment provisions of and the automatic increase described in our 2020 Plan, a total of 5,520,000 shares of our common stock are reserved for issuance pursuant to our 2020 Plan. In addition, subject to the adjustment provisions of our 2020 Plan, the shares reserved for issuance under our 2020 Plan also include any shares subject to awards granted under our 2012 Plan that, on or after the effective date of the registration statement of which this prospectus forms a part, expire or otherwise terminate without having been exercised or issued in full, are tendered to or withheld by us for payment of an exercise price or for satisfying tax withholding obligations, or are forfeited to or repurchased by us due to failure to vest (provided that the maximum number of shares that may be added to our 2020 Plan pursuant to outstanding awards under the 2012 Plan is 15,000,000 shares). Subject to the adjustment provisions of our 2020 Plan, the number of shares available for issuance under our 2020 Plan will also include an annual increase on the first day of each fiscal year beginning with the 2021 fiscal year and ending on the ten year anniversary of the date our board of directors approved the 2020 Plan, in an amount equal to the least of:</w:t>
      </w:r>
    </w:p>
    <w:p>
      <w:pPr>
        <w:spacing w:after="0" w:line="95" w:lineRule="exact"/>
        <w:rPr>
          <w:sz w:val="20"/>
          <w:szCs w:val="20"/>
          <w:color w:val="auto"/>
        </w:rPr>
      </w:pPr>
    </w:p>
    <w:p>
      <w:pPr>
        <w:ind w:left="1660" w:hanging="183"/>
        <w:spacing w:after="0"/>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15,000,000 shares of our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5% of the outstanding shares of our common stock on the last day of our immediately preceding fiscal year;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such number of shares of our common stock as the administrator may determine.</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a stock option or stock appreciation right granted under the 2020 Plan expires or becomes unexercisable without having been exercised in full or is surrendered pursuant to an exchange program or, with respect to restricted stock, RSUs or stock settled performance awards, is forfeited to, or repurchased by, us due to failure to vest, then the unpurchased shares (or for awards other than stock options or stock appreciation rights, the forfeited or repurchased shares) which were subject thereto will become available for future grant or sale under the 2020 Plan (unless the 2020 Plan has terminated). With respect to stock appreciation rights, only the net shares actually issued will cease to be available under the 2020 Plan and all remaining shares under stock appreciation rights will remain available for future grant or sale under the 2020 Plan (unless the 2020 Plan has terminated). Shares that have actually been issued under the 2020 Plan under any award will not be returned to the 2020 Plan; provided, however, that if shares issued pursuant to awards of restricted stock, RSUs or performance awards are repurchased or forfeited to us due to failure to vest, such shares will become available for future grant under the 2020 Plan. Shares used to pay the exercise price of an award or to satisfy the tax withholding obligations related to an award will become available for future grant or sale under the 2020 Plan. To the extent an award is paid out in cash rather than shares, the cash payment will not result in a reduction in the number of shares available for issuance under the 2020 Plan.</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Plan Administration</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compensation committee administers our 2020 Plan and may further delegate authority to one or more subcommittees or officers to the extent such delegation complies with applicable laws. Subject to the provisions of our 2020 Plan, the administrator will have the power to administer our 2020 Plan and make all determinations deemed necessary or advisable for administering our 2020 Plan, including but not limited to: the power to determine the fair market value of our common stock; select the service providers to whom awards may be granted; determine the number of shares covered by each award; approve forms of award agreements for use under our 2020 Plan; determine the terms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220"/>
          </w:cols>
          <w:pgMar w:left="320" w:top="407" w:right="135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2020 Plan and awards granted under it, including but not limited to determining whether and when a change in control has occurred; establish, amend, and rescind rules and regulations relating to our 2020 Plan, and adopt sub-plans relating to the 2020 Plan; interpret, modify or amend each award, including but not limited to the discretionary authority to extend the post-termination exercisability period of awards; allow participants to satisfy tax withholding obligations in any manner permitted by the 2020 Plan; delegate ministerial duties to any of our employees; authorize any person to take any steps and execute, on our behalf, any documents required for an award previously granted by the administrator to be effective; temporarily suspend the exercisability of an award if the administrator deems such suspension to be necessary or appropriate for administrative purposes, provided that, unless prohibited by applicable laws, such suspension shall be lifted in all cases not less than ten trading days before the last date that the award may be exercised; allow a participant to defer the receipt of payment of cash or the delivery of shares that would otherwise be due to such participant under an award; and make any determinations necessary or appropriate under the adjustment provisions of the 2020 Plan.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will be final and binding on all participants to the full extent permitted by law.</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2020 Plan permits the grant of options. The exercise price of options granted under our 2020 Plan must be at least equal to the fair market value of our common stock on the date of grant, except that options may be granted with a lower exercise price to a service provider who is not a U.S. taxpayer, or pursuant to certain transactions. The term of an option is determined by the administrator, provided that the term of an incentive stock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determines the methods of payment of the exercise price of an option, which may include cash, check or wire transfer, cashless exercise, net exercise, promissory note, shares, or other consideration or method of payment acceptable to the administrator, to the extent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the option will remain exercisable for thirty days. These exercise periods may be tolled in certain circumstances, for example if exercise prior to the end of the applicable period is not permitted because of applicable laws. However, in no event may an option be exercised later than the expiration of its term.</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Appreciation Rights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2020 Plan permits the grant of stock appreciation rights. Stock appreciation rights allow the recipient to receive the appreciation in the fair market value of our common stock between the exercise date and the date of grant. The term of stock appreciation rights is determined by the administrator. After the termination of service of an employee, director, or consultant, he or she may exercise his or her stock appreciation right for the period of time stated in his or her stock appreciation rights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20"/>
          </w:cols>
          <w:pgMar w:left="320" w:top="407" w:right="135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thirty days following the termination of service. These exercise periods may be tolled in certain circumstances, for example if exercise prior to the end of the applicable period is not permitted because of applicable laws.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must be no less than 100% of the fair market value per share on the date of grant.</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2020 Plan permits the grant of restricted stock. Restricted stock awards are grants of shares of our common stock that vest in accordance with terms and conditions established by the administrator. The administrator determines the number of shares of restricted stock granted to any employee, director, or consultant and, subject to the provisions of our 2020 Plan, determines the terms and conditions of such awards. The administrator has the authority to impose whatever conditions to vesting it determines to be appropriate (for example, the administrator will be able to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provides otherwise. Shares of restricted stock that do not vest will be subject to our right of repurchase or forfeiture.</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2020 Plan permits the grant of RSUs. Each RSU will represent an amount equal to the fair market value of one share of our common stock. Subject to the provisions of our 2020 Plan, the administrator determines the terms and conditions of RSUs, including the vesting criteria and the form and timing of payment. The administrator has the authority to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RSUs in the form of cash, in shares, or in some combination of both. Notwithstanding the foregoing, the administrator, in its sole discretion, may accelerate the vesting, or reduce or waive the criteria that must be met for vesting, of the RSUs or the time at which any restrictions will lapse or be removed.</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Performance Awards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2020 Plan permits the grant of performance awards. Performance awards are awards that will result in a payment to a participant only if performance goals established by the administrator are achieved or the awards otherwise vest. The administrator may establish performance objectives or other vesting criteria in its discretion, which, depending on the extent to which they are met, will determine the number and/or the value of performance awards to be paid out to participants. The administrator has the authority to set performance objectives based on the achievement of company-wide, divisional, business unit, or individual goals (including, but not limited to, continued employment or service), or any other basis determined by the administrator in its discretion. Each performance award’s threshold, target, and maximum payout values are established by the administrator on or before the grant date. After the grant</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00"/>
          </w:cols>
          <w:pgMar w:left="320" w:top="407" w:right="137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80"/>
        <w:spacing w:after="0"/>
        <w:rPr>
          <w:sz w:val="20"/>
          <w:szCs w:val="20"/>
          <w:color w:val="auto"/>
        </w:rPr>
      </w:pPr>
      <w:r>
        <w:rPr>
          <w:rFonts w:ascii="Arial" w:cs="Arial" w:eastAsia="Arial" w:hAnsi="Arial"/>
          <w:sz w:val="15"/>
          <w:szCs w:val="15"/>
          <w:color w:val="auto"/>
        </w:rPr>
        <w:t>of a performance award, the administrator, in its sole discretion, may reduce or waive any performance criteria or other vesting provisions for such performance award. The administrator, in its sole discretion, may pay earned performance awards in the form of cash, in shares, or in some combination thereof.</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Non-Employee Directors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2020 Plan provides that all outside (non-employee) directors will be eligible to receive all types of awards (except for incentive stock options) under our 2020 Plan. In order to provide a maximum limit on the awards that can be made to our non-employee directors, our 2020 Plan provides that in any given fiscal year, a non-employee director will not be granted awards having a grant-date fair value greater than $1,000,000, but this limit is increased to $2,000,000 in connection with his or her initially joining our board of directors (in each case, excluding awards granted to him or her as a consultant or employee). The grant-date fair values will be determined according to GAAP. The maximum limits do not reflect the intended size of any potential grants or a commitment to make grants to our outside directors under our 2020 Plan in the future.</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Non-Transferability of Awards</w:t>
      </w:r>
    </w:p>
    <w:p>
      <w:pPr>
        <w:spacing w:after="0" w:line="10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Unless the administrator provides otherwise, our 2020 Plan generally does not allow for the 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Certain Adjustments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of our common stock or other of our securities, other change in our corporate structure affecting the shares, or any similar equity restructuring transaction affecting our shares occurs (including a change in control), the administrator, to prevent diminution or enlargement of the benefits or potential benefits intended to be provided under the 2020 Plan, will adjust the number and class of shares that may be delivered under the 2020 Plan and/or the number, class, and price of shares covered by each outstanding award, and the numerical share limits set forth in our 2020 Plan. The conversion of any of our convertible securities and ordinary course repurchases of our shares or other securities will not be treated as an event that will require adjustment under the 2020 Plan.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Dissolution or Liquidation</w:t>
      </w:r>
    </w:p>
    <w:p>
      <w:pPr>
        <w:spacing w:after="0" w:line="105"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In the event of our proposed dissolution or liquidation, the administrator will notify participants as soon as practicable prior to the effective date of such proposed transaction and all awards will terminate immediately prior to the consummation of such proposed transaction.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Merger or Change in Control</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2020 Plan provides that in the event of a merger or change in control, as defined under our 2020 Plan, each outstanding award will be treated as the administrator determines, without a requirement to obtain a participant’s consent, including, without limitation, that such award will be continued by the successor corporation or a parent or subsidiary of the successor corporation. An award generally will be considered continued if, following the transaction, (i) the award gives the right to purchase or receive the consideration received in the transaction by holders of our shares or (ii) the award is terminated in exchange for an amount of cash and/or property, if any, equal to the amount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200"/>
          </w:cols>
          <w:pgMar w:left="320" w:top="407" w:right="137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38" w:lineRule="auto"/>
        <w:rPr>
          <w:sz w:val="20"/>
          <w:szCs w:val="20"/>
          <w:color w:val="auto"/>
        </w:rPr>
      </w:pPr>
      <w:r>
        <w:rPr>
          <w:rFonts w:ascii="Arial" w:cs="Arial" w:eastAsia="Arial" w:hAnsi="Arial"/>
          <w:sz w:val="15"/>
          <w:szCs w:val="15"/>
          <w:color w:val="auto"/>
        </w:rPr>
        <w:t>that would have been received upon the exercise or realization of the award at the closing of the transaction, which payment may be subject to any escrow applicable to holders of our common stock in connection with the transaction or subjected to the award’s original vesting schedule. The administrator will not be required to treat all awards or portions thereof the vested and unvested portions of an award, or all participants similarly.</w:t>
      </w:r>
    </w:p>
    <w:p>
      <w:pPr>
        <w:spacing w:after="0" w:line="172"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In the event that a successor corporation or its parent or subsidiary does not continue an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continued,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70"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With respect to awards granted to an outside director, in the event of a change in control, all of his or her options and stock appreciation rights, if any, will vest fully and become immediately exercisable, all restrictions on his or her restricted stock and RSUs will lapse, and all performance goals or other vesting requirements for his or her performance awards will be deemed achieved at 100% of target levels, and all other terms and conditions met.</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Clawback</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Awards will be subject to any clawback policy that we are required to adopt pursuant to the listing standards of any national securities exchange or association on which our stock is listed or as otherwise required by applicable laws, and the administrator will also be able to specify in an award agreement that the participant’s rights, payments, and/or benefits with respect to an award will be subject to reduction, cancellation, forfeiture, and/or recoupment upon the occurrence of certain specified events.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administrator has the authority to amend, alter, suspend, or terminate our 2020 Plan, provided we will obtain stockholder approval of any amendment to the extent necessary or desirable to comply with applicable laws. However, no amendment, alteration, suspension or termination of our 2020 Plan or an Award under it may, taken as a whole, materially impair the existing rights of any participant without the participant’s consent. Our 2020 Plan will continue in effect until it is terminated, provided that incentive stock options may not be granted after the ten year anniversary of the date our board of directors approved the 2020 Plan, and the automatic annual share increase will end on the ten year anniversary of the date our board of directors approved the 2020 Plan.</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2012 Stock Plan</w:t>
      </w:r>
    </w:p>
    <w:p>
      <w:pPr>
        <w:spacing w:after="0" w:line="10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2012 Plan was originally adopted by the board of directors of Upstart Network, Inc. in April 2012 and was assumed by Upstart Holdings, Inc. in December 2013 pursuant to a restructuring.</w:t>
      </w:r>
    </w:p>
    <w:p>
      <w:pPr>
        <w:spacing w:after="0" w:line="166"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Our 2012 Plan provides for the grant of incentive stock options (within the meaning of Section 422 of the Code), or ISOs, to our employees and any of our parent and subsidiary corporations’ employees, and for the grant of nonstatutory stock options, or NSOs and restricted stock to our employees and consultants, and our parent, subsidiary, and affiliate corporations’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20"/>
          </w:cols>
          <w:pgMar w:left="320" w:top="407" w:right="135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00"/>
        <w:spacing w:after="0"/>
        <w:rPr>
          <w:sz w:val="20"/>
          <w:szCs w:val="20"/>
          <w:color w:val="auto"/>
        </w:rPr>
      </w:pPr>
      <w:r>
        <w:rPr>
          <w:rFonts w:ascii="Arial" w:cs="Arial" w:eastAsia="Arial" w:hAnsi="Arial"/>
          <w:sz w:val="15"/>
          <w:szCs w:val="15"/>
          <w:color w:val="auto"/>
        </w:rPr>
        <w:t>employees and consultants. One business day prior to the effectiveness of the registration statement of which this prospectus forms a part, our 2012 Plan will be terminated, and we will not grant any additional awards under our 2012 Plan thereafter. However, our 2012 Plan will continue to govern the terms and conditions of the outstanding awards previously granted under our 2012 Plan.</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2019, options to purchase 16,502,206 shares of our common stock were outstanding under our 2012 Plan.</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Plan Administration</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2012 Plan is administered by our board of directors or one or more committees appointed by our board of directors. Each committee will consist of two or more members of our board of directors and will have such authority and be responsible for such functions as our board of directors has assigned to it (the board of directors, or its designated committee, the “administrator”). Our board of directors may also authorize one or more of our officers to administer the 2012 Plan within the parameters specified by the board of directors. All decisions, interpretations, and other actions of the administrator are final and binding on all participants and all persons deriving their rights from a participant.</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provisions of our 2012 Plan, the administrator has the power to determine the fair market value of shares of stock, to select the participants to whom awards may be granted, to determine the number of shares covered by an award, to approve the form(s) of agreement(s) and other related documents used under our 2012 Plan, to determine the term and conditions of awards, to amend awards or related agreements, to determine under what circumstances an option may be settled in cash, to institute an exchange program by which outstanding awards may be surrendered in exchange for awards with a higher or lower exercise price, to grant awards to foreign nationals or participants employed outside of the United States, and to construe and interpret the terms of the 2012 Plan and agreements related to awards.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Eligibility</w:t>
      </w:r>
    </w:p>
    <w:p>
      <w:pPr>
        <w:spacing w:after="0" w:line="105"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Employees, consultants and directors of ours and employees, consultants or directors or our parent, subsidiary, and affiliate companies are eligible to receive awards. Only our employees or employees of our parent or subsidiary companies are eligible to receive incentive stock options.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Stock options have been granted under our 2012 Plan. Subject to the provisions of our 2012 Plan, the administrator determines the term of an option, the number of shares subject to an option and the time period in which an option may be exercised.</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incentive stock option granted to a person who owns more than 10% of the total combined voting power of all classes of our outstanding stock or of our parent or any subsidiary may have a term of no longer than five years from the grant date and must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those of any parent or subsidiary) exceeds $100,000, such options will be treated as nonstatutory stock options.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00"/>
          </w:cols>
          <w:pgMar w:left="320" w:top="407" w:right="137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administrator determines how a participant may pay the exercise price of an option, and the permissible methods are generally set forth in the applicable award agreement. If a participant’s “continuous service status” (as defined in our 2012 Plan) terminates, that participant may exercise the vested portion of his or her option for the period of time stated in the applicable award agreement. If the award agreement does not specify the terms and conditions upon which an option shall terminate upon termination of a participant’s continuous service status, the 2012 Plan provides that the vested portion of such option will (i) be exercisable for three months following the participant’s termination for reasons other than death, disability or cause, (ii) be exercisable for twelve months following the participant’s termination for reasons of death or disability, and (iii) terminate immediately upon the participant’s termination for “cause,” as defined in the 2012 Plan.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Restricted stock may be granted under our 2012 Plan. Restricted stock awards are grants of shares of our common stock that vest in accordance with terms and conditions established by the administrator (if any). The administrator will determine the number of shares of restricted stock granted to any employee, consultant or director and, subject to the provisions of our 2012 Plan, will determine any terms and conditions of such awards. The restricted stock will vest at such rate as the administrator may determine. Once the restricted stock is purchased or issued, the participant will have the rights equivalent to those of a holder of capital stock. No adjustment will be made for a dividend or other right for which the record date is prior to the date the restricted stock is purchased or received, except as otherwise provided in the 2012 Plan.</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Non-Transferability of Awards</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Except as set forth in the 2012 Plan, awards may not be sold, pledged, assigned, hypothecated, transferred or disposed of in any manner other than by will or by the laws of descent or distribution. The designation of a beneficiary by a participant will not constitute a transfer. An option may be exercised during the lifetime of the holder of the option, only by such holder or a transferee permitted by the 2012 Plan.</w:t>
      </w:r>
    </w:p>
    <w:p>
      <w:pPr>
        <w:spacing w:after="0" w:line="172"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administrator may in its sole discretion grant nonstatutory stock options that may be transferred by instrument to an inter vivos or testamentary trust in which the options are to be passed to beneficiaries upon the death of the trustor or by gift to family members.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Certain Adjustments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the event of a stock split, reverse stock split, stock dividend, combination, consolidation, reclassification of the shares or subdivision of the shares, proportionate adjustments will automatically be made in each of (i) the numbers and class of shares or other stock or securities: (x) available for future awards under the 2012 Plan and (y) covered by each outstanding award, (ii) the exercise price per share of each such outstanding option, and (iii) any repurchase price per share applicable to shares issued pursuant to any award. In the event of any increase or decrease in the number of issued shares effected without receipt of consideration by us, a declaration of an extraordinary dividend with respect to the shares payable in a form other than shares in an amount that has a material effect on the fair market value, a recapitalization (including a recapitalization through a large nonrecurring cash dividend), a rights offering, a reorganization, merger, a spin-off, split-up, change in corporate structure or a similar occurrence, the administrator at its sole discretion may make appropriate adjustments in one or more of the items listed in (i) through (iii) above.</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220"/>
          </w:cols>
          <w:pgMar w:left="320" w:top="407" w:right="135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Mergers and Consolidations</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In the event of (i) a transfer of all or substantially all of our assets, (ii) a merger, consolidation or other capital reorganization or business combination transaction of us with or into another corporation, entity or person, or (iii) the consummation of a transaction, or series of related transactions, in which any person becomes the beneficial owner, directly or indirectly, of more than 50% of our outstanding capital stock (each a “corporate transaction”), each outstanding award will be treated as the administrator determines. The administrator’s determination may be made without the consent of any participant and need not treat all outstanding awards in an identical manner. The administrator’s determination may provide for one or more of the following without limitation with respect to each outstanding award: (i) the continuation of outstanding awards by us; (ii) the assumption of outstanding awards by the surviving corporation or its parent; (iii) the substitution by the surviving corporation or its parent of new options or equity awards for such awards; (iv) the cancellation of awards and a payment to the participants equal to the excess of (x) the fair market value of the shares subject to awards as of the closing date of the corporate transaction over (y) the exercise price or purchase price for the shares to be issued pursuant to the exercise of awards; or (v) the cancellation of awards for no consideration.</w:t>
      </w:r>
    </w:p>
    <w:p>
      <w:pPr>
        <w:spacing w:after="0" w:line="174"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With respect to awards providing for accelerated vesting in connection with any termination of service that occurs on or after a corporate transaction, if the successor does not agree to assume the award, or to substitute an equivalent award or right for the award, then any acceleration of vesting that would otherwise occur upon such termination of service will occur immediately prior to, and contingent upon, the consummation of the corporate transaction.</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board of directors may amend or terminate our 2012 Plan at any time; provided, however no amendment or termination will be made that would materially and adversely affect the rights of any participant under any outstanding award, without his or her consent. To the extent necessary and desirable to comply with applicable laws, we will obtain the approval of holders of capital stock with respect to any amendments to our 2012 Plan as required. As noted above, one business day prior to the effectiveness of the registration statement of which this prospectus forms a part, our 2012 Plan will be terminated, and we will not grant any additional awards under our 2012 Plan thereafter.</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2020 Employee Stock Purchase Plan</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October 2020, our board of directors adopted, and in November 2020 our board of directors amended and our stockholders approved, our ESPP. Our ESPP will be effective on the business day immediately prior to the effective date of the registration statement of which this prospectus forms a part.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Authorized Shares</w:t>
      </w:r>
    </w:p>
    <w:p>
      <w:pPr>
        <w:spacing w:after="0" w:line="10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Subject to the adjustment provisions of our ESPP, a total of 1,380,000 shares of our common stock are reserved for issuance pursuant to our ESPP. The number of shares available for issuance under our ESPP also includes an annual increase on the first day of each fiscal year beginning with the 2021 fiscal year in an amount equal to the least of:</w:t>
      </w:r>
    </w:p>
    <w:p>
      <w:pPr>
        <w:spacing w:after="0" w:line="91" w:lineRule="exact"/>
        <w:rPr>
          <w:sz w:val="20"/>
          <w:szCs w:val="20"/>
          <w:color w:val="auto"/>
        </w:rPr>
      </w:pPr>
    </w:p>
    <w:p>
      <w:pPr>
        <w:ind w:left="1660" w:hanging="183"/>
        <w:spacing w:after="0"/>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2,000,000 shares of our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1% of the outstanding shares of our common stock on the last day of our immediately preceding fiscal year;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such number of shares of our common stock as the administrator may determine.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00"/>
          </w:cols>
          <w:pgMar w:left="320" w:top="407" w:right="137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ESPP Administration</w:t>
      </w:r>
    </w:p>
    <w:p>
      <w:pPr>
        <w:spacing w:after="0" w:line="105"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The compensation committee of our board of directors administers our ESPP and has full and 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Eligibility</w:t>
      </w:r>
    </w:p>
    <w:p>
      <w:pPr>
        <w:spacing w:after="0" w:line="10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Generally, all of our employees will be eligible to participate if they are 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However, an employee may not be granted rights to purchase shares of our common stock under our ESPP if such employee:</w:t>
      </w:r>
    </w:p>
    <w:p>
      <w:pPr>
        <w:spacing w:after="0" w:line="98" w:lineRule="exact"/>
        <w:rPr>
          <w:sz w:val="20"/>
          <w:szCs w:val="20"/>
          <w:color w:val="auto"/>
        </w:rPr>
      </w:pPr>
    </w:p>
    <w:p>
      <w:pPr>
        <w:jc w:val="both"/>
        <w:ind w:left="1660" w:right="120" w:hanging="183"/>
        <w:spacing w:after="0" w:line="245" w:lineRule="auto"/>
        <w:tabs>
          <w:tab w:leader="none" w:pos="16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immediately after the grant would own capital stock and/or hold outstanding options to purchase such shares possessing 5% or more of the total combined voting power or value of all classes of capital stock of ours or of any parent or subsidiary of ours; or</w:t>
      </w:r>
    </w:p>
    <w:p>
      <w:pPr>
        <w:spacing w:after="0" w:line="87" w:lineRule="exact"/>
        <w:rPr>
          <w:rFonts w:ascii="Arial" w:cs="Arial" w:eastAsia="Arial" w:hAnsi="Arial"/>
          <w:sz w:val="15"/>
          <w:szCs w:val="15"/>
          <w:color w:val="auto"/>
        </w:rPr>
      </w:pPr>
    </w:p>
    <w:p>
      <w:pPr>
        <w:ind w:left="1660" w:right="340" w:hanging="183"/>
        <w:spacing w:after="0"/>
        <w:tabs>
          <w:tab w:leader="none" w:pos="16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holds rights to purchase shares of our common stock under all employee share purchase plans of ours or any parent or subsidiary of ours that accrue at a rate that exceeds $25,000 worth of our shares of common stock for each calendar year in which such rights are outstanding at any time.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Offering Periods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ESPP includes a component that allows us to make offerings intended to qualify under Section 423 of the Code and a component that allows us to make offerings not intended to qualify under Section 423 of the Code to designated companies, as described in our ESPP. Our ESPP will provide for consecutive six-month offering periods. The offering periods will be scheduled to start on the first trading day on or after February 15 and August 15 of each year, except the first offering period will commence on the first trading day on or after the effective date of the registration statement of which this prospectus forms a part and will end on the first trading day on or before August 15, 2021, and the second offering period will commence on the last trading day on or after August 15, 2021.</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Contributions</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ESPP permits participants to purchase our shares of common stock through contributions (in the form of payroll deductions or otherwise to the extent permitted by the administrator) of up to 15%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20"/>
          </w:cols>
          <w:pgMar w:left="320" w:top="407" w:right="135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their eligible compensation, which includes a participant’s gross payments of base salary but excludes payments for incentive compensation, bonuses, payments for overtime and shift premium, equity compensation income and other similar compensation. Unless otherwise determined by the administrator, a participant may make a one-time decrease (but not increase) to the rate of his or her contributions during an offering period, provided that during the first offering period under the ESPP a participant may decrease the rate of his or her contributions two times.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Exercise of Purchase Right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Amounts contributed and accumulated by the participant will be used to purchase our shares of common stock at the end of each offering. A participant may purchase a maximum of 2,000 shares of our common stock during an offering period. The purchase price of the shares will be 85% of the lower of the fair market value of our shares of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Non-Transferability</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 participant may not transfer contributions credited to his or her account nor any rights granted under our ESPP other than by will, the laws of descent and distribution or as otherwise provided under our ESPP.</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Merger or Change in Control</w:t>
      </w:r>
    </w:p>
    <w:p>
      <w:pPr>
        <w:spacing w:after="0" w:line="10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ESPP provides that in the event of a merger or change in control, as defined under our ESPP, a successor corporation (or a parent or subsidiary of the successor corporation) 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Termination</w:t>
      </w:r>
    </w:p>
    <w:p>
      <w:pPr>
        <w:spacing w:after="0" w:line="105"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The administrator has the authority to amend, suspend or terminate our ESPP. Our ESPP automatically will terminate in 2040, unless we terminate it sooner.</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2019 Bonus Plan</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In May 2019, our board of directors adopted an annual bonus plan for calendar year 2019, which we refer to as the 2019 Bonus Plan. Mr. Datta and Mr. Gu were participants in the 2019 Bonus Plan. The 2019 Bonus Plan provided for non-equity incentive compensation based upon the combined achievement of individual and corporate performance goals over calendar year 2019. The corporate performance goals under the 2019 Bonus Plan consisted of revenue attainment and operating profit over calendar year 2019.</w:t>
      </w:r>
    </w:p>
    <w:p>
      <w:pPr>
        <w:spacing w:after="0" w:line="172"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Under the 2019 Bonus Plan, bonus payments were determined by multiplying each participant’s target bonus by (i) a factor determined by individual performance, capped at 150%, and (ii) a factor determined by the achievement of the corporate performance goals, capped at 200%. We refer to the attainment of such factors as individual and corporate multipliers, respectively.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220"/>
          </w:cols>
          <w:pgMar w:left="320" w:top="407" w:right="135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The individual multiplier was based on achievement of individual goals over calendar year 2019. The individual multiplier scaled from 0% to 150% depending on our assessment of individual performance.</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corporate multiplier was based on the product of (i) the revenue multiplier derived from the achievement of revenue attainment goals and (ii) the profitability multiplier derived from the achievement of operating profit goals over calendar year 2019. With respect to revenue attainment goals, the revenue multiplier scaled linearly from zero to 100% between 66% of the target revenue attainment goal and 100% of the target revenue attainment goal, and scaled linearly from 100% to 200% between 100% of the target revenue attainment goal and 166% of the target revenue attainment goal. With respect to operating profit goals, the profitability multiplier scaled linearly from zero to 100% between 0% of the target operating profit goal and 100% of the target operating profit goal, and scaled linearly from 100% to 200% between 100% of the target operating profit goal and 200% of the target operating profit goal.</w:t>
      </w:r>
    </w:p>
    <w:p>
      <w:pPr>
        <w:spacing w:after="0" w:line="171"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In January 2020, our compensation committee reviewed achievement of the corporate performance goals for calendar year 2019, and approved a corporate multiplier of 120%.</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2019 Bonus Plan required a participant’s continued employment through the bonus payment date in order to receive a bonus for the applicable performance period.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401(k) Plan</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maintain a 401(k) plan for employees. The 401(k) is intended to qualify under Section 401(k) of the Code, so that contributions to the 401(k) plan by employees or by us, and the investment earnings thereon, are not taxable to the employees until withdrawn, and so that contributions made by us, if any, will be deductible by us when made. Employees may elect to reduce their current compensation by up to the statutorily prescribed annual limits and to have the amount of such reduction contributed to their 401(k) plans. The 401(k) plan permits us to make contributions up to the limits allowed by law on behalf of all eligible employees.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Employee Incentive Compensation Plan</w:t>
      </w:r>
    </w:p>
    <w:p>
      <w:pPr>
        <w:spacing w:after="0" w:line="105"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In October 2020, our board of directors approved our Employee Incentive Compensation Plan, or Master Bonus Plan which became effective on the date it was approved. Messrs. Girouard, Datta and Gu are participants in the Master Bonus Plan, and 2020 annual bonuses, if any will be paid pursuant to the Master Bonus Plan.</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board of directors or a committee appointed by our board of directors administers the Master Bonus Plan, provided that unless and until our board of directors determines otherwise, our compensation committee will administer the Master Bonus Plan. The Master Bonus Plan allows the administrator to provide awards to employees selected for participation, who may include our named executive officers, which awards may be based upon performance goals established by the administrator. The administrator, in its sole discretion, may establish a target award for each participant under the Master Bonus Plan, which may be expressed as a percentage of the participant’s average annual base salary for the applicable performance period, a fixed dollar amount, or such other amount or based on such other formula as the administrator determines to be appropriate.</w:t>
      </w:r>
    </w:p>
    <w:p>
      <w:pPr>
        <w:spacing w:after="0" w:line="171"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Under the Master Bonus Plan, the administrator determines the performance goals, if any, applicable to any target award (or portion thereof) for a performance period, which may include, without limitation, goals related to: attainment of research and development milestones; sales bookings; business divestitures and acquisitions; capital raising; cash flow; cash position; contract awards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180"/>
          </w:cols>
          <w:pgMar w:left="320" w:top="407" w:right="139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5" w:lineRule="auto"/>
        <w:rPr>
          <w:sz w:val="20"/>
          <w:szCs w:val="20"/>
          <w:color w:val="auto"/>
        </w:rPr>
      </w:pPr>
      <w:r>
        <w:rPr>
          <w:rFonts w:ascii="Arial" w:cs="Arial" w:eastAsia="Arial" w:hAnsi="Arial"/>
          <w:sz w:val="15"/>
          <w:szCs w:val="15"/>
          <w:color w:val="auto"/>
        </w:rPr>
        <w:t>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loans and loan originations; and individual objectives such as peer reviews or other subjective or objective criteria. As determined by the administrator, the performance goals may be based on GAAP or non GAAP results and any actual results may be adjusted by the administrator for one-time items or unbudgeted or unexpected items and/or payments of awards under the Master Bonus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w:t>
      </w:r>
    </w:p>
    <w:p>
      <w:pPr>
        <w:spacing w:after="0" w:line="2" w:lineRule="exact"/>
        <w:rPr>
          <w:sz w:val="20"/>
          <w:szCs w:val="20"/>
          <w:color w:val="auto"/>
        </w:rPr>
      </w:pPr>
    </w:p>
    <w:p>
      <w:pPr>
        <w:ind w:left="1020" w:right="100" w:firstLine="7"/>
        <w:spacing w:after="0" w:line="237" w:lineRule="auto"/>
        <w:tabs>
          <w:tab w:leader="none" w:pos="123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in relative terms (including, but not limited to, results for other periods, passage of time and/or against another company or companies or an index or indices), (d) on a per-share basis, (e) against our performance as a whole or a segment and/or (f) on a pre-tax or after-tax basis. The performance goals may differ from participant to participant and from award to award. Failure to meet the applicable performance goals will result in a failure to earn the target award, subject to the administrator’s discretion to modify an award. The administrator also may determine that a target award (or portion thereof) will not have a performance goal associated with it but instead will be granted (if at all) as determined by the administrator.</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administrator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administrator’s discretion. The administrator may determine the amount of any increase, reduction, or elimination on the basis of such factors as it deems relevant, and it is not required to establish any allocation or weighting with respect to the factors it considers.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Actual awards under the Master Bonus Plan generally will be paid in cash (or its equivalent) in a single lump sum only after they are earned and approved by the administrator, provided that the administrator reserves the right, in its sole discretion, to settle an actual award with a grant of an equity award with such terms and conditions, including vesting requirements, as determined by the administrator in its sole discretion. Unless otherwise determined by administrator, to earn an actual award, a participant must be employed by us (or an affiliate of us, as applicable) through the date the bonus is paid. Payment of bonuses occurs as soon as administratively practicable after the end of the applicable performance period, but in no case after the later of (i) the 15th day of the third month of the fiscal year immediately following the fiscal year in which the bonuses vest and (ii) March 15 of the calendar year immediately following the calendar year in which the bonuses vest.</w:t>
      </w:r>
    </w:p>
    <w:p>
      <w:pPr>
        <w:spacing w:after="0" w:line="170"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Awards under our Master Bonus Plan will be subject to reduction, cancellation, forfeiture, or recoupment in accordance with any clawback policy that we adopt pursuant to the listing standards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20"/>
          </w:cols>
          <w:pgMar w:left="320" w:top="407" w:right="135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79"/>
        <w:spacing w:after="0" w:line="238" w:lineRule="auto"/>
        <w:rPr>
          <w:sz w:val="20"/>
          <w:szCs w:val="20"/>
          <w:color w:val="auto"/>
        </w:rPr>
      </w:pPr>
      <w:r>
        <w:rPr>
          <w:rFonts w:ascii="Arial" w:cs="Arial" w:eastAsia="Arial" w:hAnsi="Arial"/>
          <w:sz w:val="15"/>
          <w:szCs w:val="15"/>
          <w:color w:val="auto"/>
        </w:rPr>
        <w:t>any national securities exchange or association on which our securities are listed or as is otherwise required by the Dodd-Frank Wall Street Reform and Consumer Protection Act or other applicable laws. In addition, the administrator may impose such other clawback, recovery or recoupment provisions with respect to an award under the Master Bonus Plan as the administrator determines necessary or appropriate, including without limitation a reacquisition right in respect of previously acquired cash, stock, or other property provided with respect to an award.</w:t>
      </w:r>
    </w:p>
    <w:p>
      <w:pPr>
        <w:spacing w:after="0" w:line="170" w:lineRule="exact"/>
        <w:rPr>
          <w:sz w:val="20"/>
          <w:szCs w:val="20"/>
          <w:color w:val="auto"/>
        </w:rPr>
      </w:pPr>
    </w:p>
    <w:p>
      <w:pPr>
        <w:ind w:left="1020" w:right="159" w:firstLine="460"/>
        <w:spacing w:after="0"/>
        <w:rPr>
          <w:sz w:val="20"/>
          <w:szCs w:val="20"/>
          <w:color w:val="auto"/>
        </w:rPr>
      </w:pPr>
      <w:r>
        <w:rPr>
          <w:rFonts w:ascii="Arial" w:cs="Arial" w:eastAsia="Arial" w:hAnsi="Arial"/>
          <w:sz w:val="15"/>
          <w:szCs w:val="15"/>
          <w:color w:val="auto"/>
        </w:rPr>
        <w:t>The administrator will have the authority to amend or terminate the Master Bonus Plan. However, such action may not materially alter or materially impair the existing rights of any participant with respect to any earned bonus without the participant’s consent. The Master Bonus Plan will remain in effect until terminated in accordance with the terms of the Master Bonus Plan.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139"/>
          </w:cols>
          <w:pgMar w:left="320" w:top="407" w:right="1440"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95" w:lineRule="exact"/>
        <w:rPr>
          <w:sz w:val="20"/>
          <w:szCs w:val="20"/>
          <w:color w:val="auto"/>
        </w:rPr>
      </w:pPr>
    </w:p>
    <w:p>
      <w:pPr>
        <w:ind w:left="1020" w:right="540" w:firstLine="460"/>
        <w:spacing w:after="0"/>
        <w:rPr>
          <w:sz w:val="20"/>
          <w:szCs w:val="20"/>
          <w:color w:val="auto"/>
        </w:rPr>
      </w:pPr>
      <w:r>
        <w:rPr>
          <w:rFonts w:ascii="Arial" w:cs="Arial" w:eastAsia="Arial" w:hAnsi="Arial"/>
          <w:sz w:val="15"/>
          <w:szCs w:val="15"/>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2017 and each currently proposed transaction in which:</w:t>
      </w:r>
    </w:p>
    <w:p>
      <w:pPr>
        <w:spacing w:after="0" w:line="91" w:lineRule="exact"/>
        <w:rPr>
          <w:sz w:val="20"/>
          <w:szCs w:val="20"/>
          <w:color w:val="auto"/>
        </w:rPr>
      </w:pPr>
    </w:p>
    <w:p>
      <w:pPr>
        <w:ind w:left="1660" w:hanging="183"/>
        <w:spacing w:after="0"/>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amount involved exceeded or exceeds $120,000; and</w:t>
      </w:r>
    </w:p>
    <w:p>
      <w:pPr>
        <w:spacing w:after="0" w:line="97" w:lineRule="exact"/>
        <w:rPr>
          <w:rFonts w:ascii="Arial" w:cs="Arial" w:eastAsia="Arial" w:hAnsi="Arial"/>
          <w:sz w:val="15"/>
          <w:szCs w:val="15"/>
          <w:color w:val="auto"/>
        </w:rPr>
      </w:pPr>
    </w:p>
    <w:p>
      <w:pPr>
        <w:ind w:left="1660" w:right="20" w:hanging="183"/>
        <w:spacing w:after="0"/>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42"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Equity Financings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Series D Convertible Preferred Stock Financing</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From December 2018 to April 2019, we sold an aggregate of 6,010,911 shares of our Series D convertible preferred stock at a purchase price of $9.000295 per share, for an aggregate purchase price of $54.1 million. The following table summarizes purchases of our Series D convertible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Shares of</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9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Series D</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Convertible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Preferred</w:t>
            </w:r>
          </w:p>
        </w:tc>
        <w:tc>
          <w:tcPr>
            <w:tcW w:w="140" w:type="dxa"/>
            <w:vAlign w:val="bottom"/>
          </w:tcPr>
          <w:p>
            <w:pPr>
              <w:spacing w:after="0"/>
              <w:rPr>
                <w:sz w:val="11"/>
                <w:szCs w:val="11"/>
                <w:color w:val="auto"/>
              </w:rPr>
            </w:pPr>
          </w:p>
        </w:tc>
        <w:tc>
          <w:tcPr>
            <w:tcW w:w="118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Total Purchase</w:t>
            </w:r>
          </w:p>
        </w:tc>
        <w:tc>
          <w:tcPr>
            <w:tcW w:w="0" w:type="dxa"/>
            <w:vAlign w:val="bottom"/>
          </w:tcPr>
          <w:p>
            <w:pPr>
              <w:spacing w:after="0"/>
              <w:rPr>
                <w:sz w:val="1"/>
                <w:szCs w:val="1"/>
                <w:color w:val="auto"/>
              </w:rPr>
            </w:pPr>
          </w:p>
        </w:tc>
      </w:tr>
      <w:tr>
        <w:trPr>
          <w:trHeight w:val="134"/>
        </w:trPr>
        <w:tc>
          <w:tcPr>
            <w:tcW w:w="6900" w:type="dxa"/>
            <w:vAlign w:val="bottom"/>
            <w:gridSpan w:val="2"/>
            <w:vMerge w:val="continue"/>
          </w:tcPr>
          <w:p>
            <w:pPr>
              <w:spacing w:after="0"/>
              <w:rPr>
                <w:sz w:val="11"/>
                <w:szCs w:val="11"/>
                <w:color w:val="auto"/>
              </w:rPr>
            </w:pPr>
          </w:p>
        </w:tc>
        <w:tc>
          <w:tcPr>
            <w:tcW w:w="98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7"/>
              </w:rPr>
              <w:t>Stock</w:t>
            </w:r>
          </w:p>
        </w:tc>
        <w:tc>
          <w:tcPr>
            <w:tcW w:w="140" w:type="dxa"/>
            <w:vAlign w:val="bottom"/>
          </w:tcPr>
          <w:p>
            <w:pPr>
              <w:spacing w:after="0"/>
              <w:rPr>
                <w:sz w:val="11"/>
                <w:szCs w:val="11"/>
                <w:color w:val="auto"/>
              </w:rPr>
            </w:pPr>
          </w:p>
        </w:tc>
        <w:tc>
          <w:tcPr>
            <w:tcW w:w="11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9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Andrew Quigg</w:t>
            </w:r>
            <w:r>
              <w:rPr>
                <w:rFonts w:ascii="Arial" w:cs="Arial" w:eastAsia="Arial" w:hAnsi="Arial"/>
                <w:sz w:val="12"/>
                <w:szCs w:val="12"/>
                <w:color w:val="auto"/>
              </w:rPr>
              <w:t>(1)</w:t>
            </w:r>
          </w:p>
        </w:tc>
        <w:tc>
          <w:tcPr>
            <w:tcW w:w="8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3,011,011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27,099,987.26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480" w:right="100" w:hanging="453"/>
        <w:spacing w:after="0" w:line="246" w:lineRule="auto"/>
        <w:tabs>
          <w:tab w:leader="none" w:pos="14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Shares purchased by Progressive Investment Company, Inc. Andrew Quigg, a former member of our board of directors, is the Chief Strategy Officer of Progressive Insurance, an affiliate of Progressive Investment Company, Inc.</w:t>
      </w: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We are party to the IRA, which provides, among other things, that certain holders of our capital stock, including entities affiliated with Third Point Ventures LLC, or Third Point, Stone Ridge Trust V, Khosla Ventures, Rakuten, First Round Capital and Progressive have the right to demand that we file a registration statement or request that their shares of our capital stock be covered by a registration statement that we are otherwise filing. Entities affiliated with Dave Girouard, our co-founder, chief executive officer and a member of our board of directors, are party to the IRA. Robert Schwartz, a member of our board of directors, is affiliated with Third Point. Oskar Mielczarek de la Miel, a member of our board of directors, is affiliated with Rakuten. Andrew Quigg, a former member of our board of directors, is affiliated with Progressive. See the section titled “Description of Capital Stock—Registration Rights” for additional information regarding these registration rights.</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Right of First Refusal</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Pursuant to certain of our equity compensation plans and certain agreements with our stockholders, including an amended and restated right of first refusal and co-sale agreement, dated as of December 31, 2018, we or our assignees have a right to purchase shares of our capital stock which stockholders propose to sell to other parties. This right will terminate upon completion of this offering. Dave Girouard, our co-founder, chief executive officer and a member of our board of directors, and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20"/>
          </w:cols>
          <w:pgMar w:left="320" w:top="407" w:right="135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79"/>
        <w:spacing w:after="0" w:line="238" w:lineRule="auto"/>
        <w:rPr>
          <w:sz w:val="20"/>
          <w:szCs w:val="20"/>
          <w:color w:val="auto"/>
        </w:rPr>
      </w:pPr>
      <w:r>
        <w:rPr>
          <w:rFonts w:ascii="Arial" w:cs="Arial" w:eastAsia="Arial" w:hAnsi="Arial"/>
          <w:sz w:val="15"/>
          <w:szCs w:val="15"/>
          <w:color w:val="auto"/>
        </w:rPr>
        <w:t>entities affiliated with Third Point, Stone Ridge Trust V, Khosla Ventures, Rakuten, First Round Capital and Progressive are party to the right of first refusal and co-sale agreement. Robert Schwartz, a member of our board of directors, is affiliated with Third Point. Oskar Mielczarek de la Miel, a member of our board of directors, is affiliated with Rakuten. Andrew Quigg, a former member of our board of directors, is affiliated with Progressive.</w:t>
      </w: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ind w:left="1020" w:right="79" w:firstLine="460"/>
        <w:spacing w:after="0" w:line="236" w:lineRule="auto"/>
        <w:rPr>
          <w:sz w:val="20"/>
          <w:szCs w:val="20"/>
          <w:color w:val="auto"/>
        </w:rPr>
      </w:pPr>
      <w:r>
        <w:rPr>
          <w:rFonts w:ascii="Arial" w:cs="Arial" w:eastAsia="Arial" w:hAnsi="Arial"/>
          <w:sz w:val="15"/>
          <w:szCs w:val="15"/>
          <w:color w:val="auto"/>
        </w:rPr>
        <w:t>We are party to an amended and restated voting agreement, dated as of December 31, 2018, under which certain holders of our capital stock, including entities affiliated with Third Point, Stone Ridge Trust V, Khosla Ventures, Rakuten, First Round Capital and Progressive,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Dave Girouard, our co-founder, chief executive officer and a member of our board of directors, and entities affiliated with Third Point, Stone Ridge Trust V, Khosla Ventures, Rakuten, First Round Capital and Progressive are party to the voting agreement. Robert Schwartz, a member of our board of directors, is affiliated with Third Point. Oskar Mielczarek de la Miel, a member of our board of directors, is affiliated with Rakuten. Andrew Quigg, a former member of our board of directors, is affiliated with Progressive.</w:t>
      </w:r>
    </w:p>
    <w:p>
      <w:pPr>
        <w:spacing w:after="0" w:line="247"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Transactions with Stone Ridge and Affiliated Entities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Promissory Notes</w:t>
      </w:r>
    </w:p>
    <w:p>
      <w:pPr>
        <w:spacing w:after="0" w:line="105" w:lineRule="exact"/>
        <w:rPr>
          <w:sz w:val="20"/>
          <w:szCs w:val="20"/>
          <w:color w:val="auto"/>
        </w:rPr>
      </w:pPr>
    </w:p>
    <w:p>
      <w:pPr>
        <w:ind w:left="1020" w:right="39" w:firstLine="460"/>
        <w:spacing w:after="0" w:line="238" w:lineRule="auto"/>
        <w:rPr>
          <w:sz w:val="20"/>
          <w:szCs w:val="20"/>
          <w:color w:val="auto"/>
        </w:rPr>
      </w:pPr>
      <w:r>
        <w:rPr>
          <w:rFonts w:ascii="Arial" w:cs="Arial" w:eastAsia="Arial" w:hAnsi="Arial"/>
          <w:sz w:val="15"/>
          <w:szCs w:val="15"/>
          <w:color w:val="auto"/>
        </w:rPr>
        <w:t>In September and October 2017, we issued two subordinated convertible promissory notes to Stone Ridge Trust V. Each of the notes had an aggregate principal amount of $5.0 million, an interest rate of 8% per annum and a maturity date of June 30, 2018. On June 30, 2018, the outstanding principal and accrued and unpaid interest of $10.6 million on the notes were converted into 2,932,657 shares of Series C-1 convertible preferred stock at a per share price of $3.612, equal to the issue price in the Series C-1 financing round.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ind w:left="1020" w:right="119" w:firstLine="460"/>
        <w:spacing w:after="0" w:line="238" w:lineRule="auto"/>
        <w:rPr>
          <w:sz w:val="20"/>
          <w:szCs w:val="20"/>
          <w:color w:val="auto"/>
        </w:rPr>
      </w:pPr>
      <w:r>
        <w:rPr>
          <w:rFonts w:ascii="Arial" w:cs="Arial" w:eastAsia="Arial" w:hAnsi="Arial"/>
          <w:sz w:val="15"/>
          <w:szCs w:val="15"/>
          <w:color w:val="auto"/>
        </w:rPr>
        <w:t>In September and October 2017, we issued two preferred stock purchase warrants to Stone Ridge Trust V in connection with the convertible promissory notes described above. These warrants entitled Stone Ridge Trust V to purchase up to 415,234 shares of Series C-1 convertible preferred stock for a total of $1.5 million. On June 30, 2018, each of the warrants were cancelled when the convertible promissory notes converted into shares of Series C-1 convertible preferred stock.</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Whole Loan Purchases</w:t>
      </w:r>
    </w:p>
    <w:p>
      <w:pPr>
        <w:spacing w:after="0" w:line="105" w:lineRule="exact"/>
        <w:rPr>
          <w:sz w:val="20"/>
          <w:szCs w:val="20"/>
          <w:color w:val="auto"/>
        </w:rPr>
      </w:pPr>
    </w:p>
    <w:p>
      <w:pPr>
        <w:ind w:left="1020" w:right="219" w:firstLine="460"/>
        <w:spacing w:after="0"/>
        <w:rPr>
          <w:sz w:val="20"/>
          <w:szCs w:val="20"/>
          <w:color w:val="auto"/>
        </w:rPr>
      </w:pPr>
      <w:r>
        <w:rPr>
          <w:rFonts w:ascii="Arial" w:cs="Arial" w:eastAsia="Arial" w:hAnsi="Arial"/>
          <w:sz w:val="15"/>
          <w:szCs w:val="15"/>
          <w:color w:val="auto"/>
        </w:rPr>
        <w:t>Stone Ridge Trust V and certain affiliated entities purchased whole loans through our platform in the aggregate amount of $509.5 million, $411.9 million, $173.2 million and $226.4 million in 2017, 2018, 2019 and the nine months ended September 30, 2020, respectively.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105" w:lineRule="exact"/>
        <w:rPr>
          <w:sz w:val="20"/>
          <w:szCs w:val="20"/>
          <w:color w:val="auto"/>
        </w:rPr>
      </w:pPr>
    </w:p>
    <w:p>
      <w:pPr>
        <w:ind w:left="1020" w:right="19" w:firstLine="460"/>
        <w:spacing w:after="0"/>
        <w:rPr>
          <w:sz w:val="20"/>
          <w:szCs w:val="20"/>
          <w:color w:val="auto"/>
        </w:rPr>
      </w:pPr>
      <w:r>
        <w:rPr>
          <w:rFonts w:ascii="Arial" w:cs="Arial" w:eastAsia="Arial" w:hAnsi="Arial"/>
          <w:sz w:val="15"/>
          <w:szCs w:val="15"/>
          <w:color w:val="auto"/>
        </w:rPr>
        <w:t>As the sponsor of securitization transactions, we create several legal entities for the roles of depositors, issuers, and grantor trusts and majority-owned affiliates, or MOAs, for each securitization transaction. Concurrently with the closing of the 2017-1, 2017-2, and 2018-1 securitization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139"/>
          </w:cols>
          <w:pgMar w:left="320" w:top="407" w:right="1440"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transactions, we sold 80% of our ownership interests in the related MOAs to Stone Ridge Trust V in exchange for approximately</w:t>
      </w:r>
    </w:p>
    <w:p>
      <w:pPr>
        <w:ind w:left="1020" w:right="320"/>
        <w:spacing w:after="0" w:line="245" w:lineRule="auto"/>
        <w:rPr>
          <w:sz w:val="20"/>
          <w:szCs w:val="20"/>
          <w:color w:val="auto"/>
        </w:rPr>
      </w:pPr>
      <w:r>
        <w:rPr>
          <w:rFonts w:ascii="Arial" w:cs="Arial" w:eastAsia="Arial" w:hAnsi="Arial"/>
          <w:sz w:val="15"/>
          <w:szCs w:val="15"/>
          <w:color w:val="auto"/>
        </w:rPr>
        <w:t>$8.0 million, $7.8 million, and $8.0 million, respectively. For more information about these transactions, see Note 3 to our consolidated financial statements.</w:t>
      </w:r>
    </w:p>
    <w:p>
      <w:pPr>
        <w:spacing w:after="0" w:line="166"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 addition, Stone Ridge Trust V and certain affiliated entities also contributed approximately $262.3 million, $100.1 million, and $137.3 million and $45.3 million in loans as collateral in private offering securitization transactions that we sponsored and serviced in 2017, 2018, and 2019 and the nine months ended September 30, 2020, respectively. In connection with these contributions, Stone Ridge Trust V and certain affiliated entities received approximately $62.8 million in asset-backed securities in 2017 and cash payments of $202.5 million, $100.1 million, and $138.5 million and $45.6 million in 2017, 2018 and 2019, and the nine months ended September 30, 2020, respectively.</w:t>
      </w:r>
    </w:p>
    <w:p>
      <w:pPr>
        <w:spacing w:after="0" w:line="172"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As of December 31, 2018, and 2019, and September 30, 2020, the balance of payable to securitization note holders and residual certificate holders due to Stone Ridge Trust V and certain affiliated entities was $22.4 million, $0 and $0, respectively.</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Servicing Fees</w:t>
      </w:r>
    </w:p>
    <w:p>
      <w:pPr>
        <w:spacing w:after="0" w:line="10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We are the servicer of certain loans purchased and held by Stone Ridge Trust V and certain affiliated entities. In 2017, 2018, and 2019 and the nine months ended September 30, 2020, we received servicing fees in the amount of $1.4 million, $2.1 million, and $2.3 million and $1.1 million, respectively, from Stone Ridge Trust V and certain affiliated entities.</w:t>
      </w:r>
    </w:p>
    <w:p>
      <w:pPr>
        <w:spacing w:after="0" w:line="242"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Transactions with Third Point and Affiliated Entities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Promissory Note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September 2017, we issued a subordinated convertible promissory note to Third Point Ventures LLC. The note had an aggregate principal amount of $ 10.0 million, an interest rate of 8% per annum and a maturity date of June 30, 2018. On June 30, 2018, the outstanding principal and accrued and unpaid interest of $10.6 million on the note was converted into 2,938,725 shares of Series C-1 convertible preferred stock at a per share price of $3.612, equal to the issue price in the Series C-1 financing round.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In September 2017, we issued a preferred stock purchase warrant to Third Point Ventures LLC in connection with the convertible promissory notes described above. The warrant entitled Third Point Ventures LLC to purchase up to 415,234 shares of Series C-1 preferred stock for a total of $1.5 million. On June 30, 2018, the warrant was cancelled when the convertible promissory note converted into shares of Series C-1 convertible preferred stock.</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Pass-Through Certificates</w:t>
      </w:r>
    </w:p>
    <w:p>
      <w:pPr>
        <w:spacing w:after="0" w:line="105"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Certain entities affiliated with Third Point purchased approximately $219.4 million, and $454.0 million and $199.9 million in pass-through certificates backed by Upstart-powered loans in 2018, and 2019 and the nine months ended September 30, 2020, respectively, from a series trust affiliated with Jefferies LLC.</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In 2017 and 2018, certain entities affiliated with Third Point purchased approximately $9.8 million and $66.1 million of asset-backed securities, respectively, in private offering securitization transactions that we sponsored and serviced.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20"/>
          </w:cols>
          <w:pgMar w:left="320" w:top="407" w:right="135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2019 and the nine months ended September 30, 2020, certain entities affiliated with Third Point contributed approximately $340.6 million and $150.3 million, respectively, in loans as collateral in private offering securitization transactions that we sponsored and serviced through a series trust affiliated with Jefferies LLC and related entities. In connection with these contributions, certain entities affiliated with Third Point received approximately $53.5 million and $0 in asset-backed securities and cash payments of $306.9 million and $151.8 million.</w:t>
      </w:r>
    </w:p>
    <w:p>
      <w:pPr>
        <w:spacing w:after="0" w:line="170" w:lineRule="exact"/>
        <w:rPr>
          <w:sz w:val="20"/>
          <w:szCs w:val="20"/>
          <w:color w:val="auto"/>
        </w:rPr>
      </w:pPr>
    </w:p>
    <w:p>
      <w:pPr>
        <w:ind w:left="1020" w:right="400" w:firstLine="460"/>
        <w:spacing w:after="0"/>
        <w:rPr>
          <w:sz w:val="20"/>
          <w:szCs w:val="20"/>
          <w:color w:val="auto"/>
        </w:rPr>
      </w:pPr>
      <w:r>
        <w:rPr>
          <w:rFonts w:ascii="Arial" w:cs="Arial" w:eastAsia="Arial" w:hAnsi="Arial"/>
          <w:sz w:val="15"/>
          <w:szCs w:val="15"/>
          <w:color w:val="auto"/>
        </w:rPr>
        <w:t>As of December 31, 2018, and 2019 and the period ending September 30, 2020, the balance of payable to securitization note holders and residual certificate holders due to certain entities affiliated with Third Point was $61.4 million, and $41.3 million and $0, respectively.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Participation in our Initial Public Offering</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The underwriters will receive the same discount from any shares of common stock sold to such entities as they will from any other shares of common stock sold to the public in this offering.</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Other Transactions</w:t>
      </w:r>
    </w:p>
    <w:p>
      <w:pPr>
        <w:spacing w:after="0" w:line="195"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In 2017, 2018, and 2019 and the nine months ended September 30, 2020, certain of our executive officers and directors participated in Upstart’s platform by purchasing fractional interests in Upstart-powered loans from a sponsored trust entity. For more information about our fractional loan program, see Note 3 to our consolidated financial statements. The aggregate amount of the notes purchased and distributions received by such participating executive officers and directors are set forth below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For the year ended December 31,</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Executive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580" w:type="dxa"/>
            <w:vAlign w:val="bottom"/>
            <w:gridSpan w:val="2"/>
            <w:vMerge w:val="continue"/>
          </w:tcPr>
          <w:p>
            <w:pPr>
              <w:spacing w:after="0"/>
              <w:rPr>
                <w:sz w:val="13"/>
                <w:szCs w:val="13"/>
                <w:color w:val="auto"/>
              </w:rPr>
            </w:pPr>
          </w:p>
        </w:tc>
        <w:tc>
          <w:tcPr>
            <w:tcW w:w="10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Officers</w:t>
            </w:r>
          </w:p>
        </w:tc>
        <w:tc>
          <w:tcPr>
            <w:tcW w:w="5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Directors</w:t>
            </w:r>
          </w:p>
        </w:tc>
        <w:tc>
          <w:tcPr>
            <w:tcW w:w="0" w:type="dxa"/>
            <w:vAlign w:val="bottom"/>
          </w:tcPr>
          <w:p>
            <w:pPr>
              <w:spacing w:after="0"/>
              <w:rPr>
                <w:sz w:val="1"/>
                <w:szCs w:val="1"/>
                <w:color w:val="auto"/>
              </w:rPr>
            </w:pPr>
          </w:p>
        </w:tc>
      </w:tr>
      <w:tr>
        <w:trPr>
          <w:trHeight w:val="129"/>
        </w:trPr>
        <w:tc>
          <w:tcPr>
            <w:tcW w:w="1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2017</w:t>
            </w:r>
          </w:p>
        </w:tc>
        <w:tc>
          <w:tcPr>
            <w:tcW w:w="5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580" w:type="dxa"/>
            <w:vAlign w:val="bottom"/>
            <w:gridSpan w:val="2"/>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2,277</w:t>
            </w:r>
          </w:p>
        </w:tc>
        <w:tc>
          <w:tcPr>
            <w:tcW w:w="2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Distributions received</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2,525</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5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654</w:t>
            </w:r>
          </w:p>
        </w:tc>
        <w:tc>
          <w:tcPr>
            <w:tcW w:w="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4"/>
        </w:trPr>
        <w:tc>
          <w:tcPr>
            <w:tcW w:w="7580" w:type="dxa"/>
            <w:vAlign w:val="bottom"/>
            <w:gridSpan w:val="2"/>
          </w:tcPr>
          <w:p>
            <w:pPr>
              <w:spacing w:after="0"/>
              <w:rPr>
                <w:sz w:val="20"/>
                <w:szCs w:val="20"/>
                <w:color w:val="auto"/>
              </w:rPr>
            </w:pPr>
            <w:r>
              <w:rPr>
                <w:rFonts w:ascii="Arial" w:cs="Arial" w:eastAsia="Arial" w:hAnsi="Arial"/>
                <w:sz w:val="14"/>
                <w:szCs w:val="14"/>
                <w:color w:val="auto"/>
              </w:rPr>
              <w:t>Distributions received</w:t>
            </w:r>
          </w:p>
        </w:tc>
        <w:tc>
          <w:tcPr>
            <w:tcW w:w="16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2,148</w:t>
            </w:r>
          </w:p>
        </w:tc>
        <w:tc>
          <w:tcPr>
            <w:tcW w:w="2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4"/>
        </w:trPr>
        <w:tc>
          <w:tcPr>
            <w:tcW w:w="190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9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2019</w:t>
            </w:r>
          </w:p>
        </w:tc>
        <w:tc>
          <w:tcPr>
            <w:tcW w:w="5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80" w:type="dxa"/>
            <w:vAlign w:val="bottom"/>
            <w:gridSpan w:val="2"/>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Distributions received</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1,364</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7"/>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580" w:type="dxa"/>
            <w:vAlign w:val="bottom"/>
            <w:gridSpan w:val="2"/>
          </w:tcPr>
          <w:p>
            <w:pPr>
              <w:spacing w:after="0"/>
              <w:rPr>
                <w:sz w:val="20"/>
                <w:szCs w:val="20"/>
                <w:color w:val="auto"/>
              </w:rPr>
            </w:pPr>
            <w:r>
              <w:rPr>
                <w:rFonts w:ascii="Arial" w:cs="Arial" w:eastAsia="Arial" w:hAnsi="Arial"/>
                <w:sz w:val="14"/>
                <w:szCs w:val="14"/>
                <w:color w:val="auto"/>
              </w:rPr>
              <w:t>Distributions received</w:t>
            </w:r>
          </w:p>
        </w:tc>
        <w:tc>
          <w:tcPr>
            <w:tcW w:w="1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623</w:t>
            </w:r>
          </w:p>
        </w:tc>
        <w:tc>
          <w:tcPr>
            <w:tcW w:w="24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We have granted stock options to our executive officers and certain of our directors. See the sections titled “Executive Compensation—Outstanding Equity Awards at Year-End” and “Management—Non-Employee Director Compensation” for a description of these stock options.</w:t>
      </w:r>
    </w:p>
    <w:p>
      <w:pPr>
        <w:spacing w:after="0" w:line="170"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We have entered into employment agreement and offer letters with certain of our executive officers that provide for, among other things, certain severance and change in control benefits. See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220"/>
          </w:cols>
          <w:pgMar w:left="320" w:top="407" w:right="135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section titled “Executive Compensation—Executive Employment Agreements” for additional information.</w:t>
      </w:r>
    </w:p>
    <w:p>
      <w:pPr>
        <w:spacing w:after="0" w:line="177"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Other than as described above under this section titled “Certain Relationships and Related Party Transactions,” since January 1, 2017, we have not entered into any transactions, nor are there any currently proposed transactions, between us and a related party where the amount involved exceeds, or would exceed, $ 120,000,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Limitation of Liability and Indemnification of Officers and Directors</w:t>
      </w:r>
    </w:p>
    <w:p>
      <w:pPr>
        <w:spacing w:after="0" w:line="195" w:lineRule="exact"/>
        <w:rPr>
          <w:sz w:val="20"/>
          <w:szCs w:val="20"/>
          <w:color w:val="auto"/>
        </w:rPr>
      </w:pPr>
    </w:p>
    <w:p>
      <w:pPr>
        <w:ind w:left="1020" w:right="400" w:firstLine="460"/>
        <w:spacing w:after="0" w:line="238"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for liability for any:</w:t>
      </w:r>
    </w:p>
    <w:p>
      <w:pPr>
        <w:spacing w:after="0" w:line="93" w:lineRule="exact"/>
        <w:rPr>
          <w:sz w:val="20"/>
          <w:szCs w:val="20"/>
          <w:color w:val="auto"/>
        </w:rPr>
      </w:pPr>
    </w:p>
    <w:p>
      <w:pPr>
        <w:ind w:left="1660" w:hanging="183"/>
        <w:spacing w:after="0"/>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breach of their duty of loyalty to our company or our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act or omission not in good faith or that involves intentional misconduct or a knowing violation of law;</w:t>
      </w:r>
    </w:p>
    <w:p>
      <w:pPr>
        <w:spacing w:after="0" w:line="9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transaction from which they derived an improper personal benefit.</w:t>
      </w:r>
    </w:p>
    <w:p>
      <w:pPr>
        <w:spacing w:after="0" w:line="177"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7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180"/>
          </w:cols>
          <w:pgMar w:left="320" w:top="407" w:right="139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suit or proceeding. We believe that these agreements are necessary to attract and retain qualified individuals to serve as directors and executive officers.</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74"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72"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or indemnified against certain liabilities incurred in their capacity as members of our board of directors.</w:t>
      </w:r>
    </w:p>
    <w:p>
      <w:pPr>
        <w:spacing w:after="0" w:line="166"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The underwriting agreement related to this offering will provide for indemnification by the underwriters of us and our officers and directors for certain liabilities arising under the Securities Act or otherwise.</w:t>
      </w:r>
    </w:p>
    <w:p>
      <w:pPr>
        <w:spacing w:after="0" w:line="166"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written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220"/>
          </w:cols>
          <w:pgMar w:left="320" w:top="407" w:right="135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PRINCIPAL AND SELLING STOCKHOLDERS</w:t>
      </w:r>
    </w:p>
    <w:p>
      <w:pPr>
        <w:spacing w:after="0" w:line="195"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The following table sets forth certain information with respect to the beneficial ownership of our capital stock as of September 30, 2020, and as adjusted to reflect the sale of our common stock in this offering for:</w:t>
      </w:r>
    </w:p>
    <w:p>
      <w:pPr>
        <w:spacing w:after="0" w:line="87" w:lineRule="exact"/>
        <w:rPr>
          <w:sz w:val="20"/>
          <w:szCs w:val="20"/>
          <w:color w:val="auto"/>
        </w:rPr>
      </w:pPr>
    </w:p>
    <w:p>
      <w:pPr>
        <w:ind w:left="1660" w:hanging="183"/>
        <w:spacing w:after="0"/>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of the selling stockholders; and</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 the beneficial owner of more than 5% of the outstanding shares of our common stock.</w:t>
      </w:r>
    </w:p>
    <w:p>
      <w:pPr>
        <w:spacing w:after="0" w:line="166"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based our calculation of the percentage of beneficial ownership prior to this offering on 62,994,492 shares of our common stock (including the preferred stock issued upon the exercise of a warrant in November 2020 and the Capital Stock Conversion) outstanding as of September 30, 2020. We have based our calculation of the percentage of beneficial ownership after this offering on 72,460,881 shares of common stock outstanding immediately after the completion of this offering. We have deemed shares of our common stock subject to stock options that are currently exercisable or exercisable within 60 days of September 30,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00"/>
          </w:cols>
          <w:pgMar w:left="320" w:top="407" w:right="137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900" w:firstLine="460"/>
        <w:spacing w:after="0" w:line="245" w:lineRule="auto"/>
        <w:rPr>
          <w:sz w:val="20"/>
          <w:szCs w:val="20"/>
          <w:color w:val="auto"/>
        </w:rPr>
      </w:pPr>
      <w:r>
        <w:rPr>
          <w:rFonts w:ascii="Arial" w:cs="Arial" w:eastAsia="Arial" w:hAnsi="Arial"/>
          <w:sz w:val="15"/>
          <w:szCs w:val="15"/>
          <w:color w:val="auto"/>
        </w:rPr>
        <w:t>Unless otherwise indicated, the address of each beneficial owner listed in the table below is c/o Upstart Holdings, Inc., 2950 S. Delaware Street, Suite 300, San Mateo, California 94403.</w:t>
      </w:r>
    </w:p>
    <w:p>
      <w:pPr>
        <w:spacing w:after="0" w:line="15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1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1"/>
                <w:szCs w:val="11"/>
                <w:b w:val="1"/>
                <w:bCs w:val="1"/>
                <w:color w:val="auto"/>
              </w:rPr>
              <w:t>Total Number of</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5"/>
          </w:tcPr>
          <w:p>
            <w:pPr>
              <w:jc w:val="center"/>
              <w:ind w:right="680"/>
              <w:spacing w:after="0"/>
              <w:rPr>
                <w:sz w:val="20"/>
                <w:szCs w:val="20"/>
                <w:color w:val="auto"/>
              </w:rPr>
            </w:pPr>
            <w:r>
              <w:rPr>
                <w:rFonts w:ascii="Arial" w:cs="Arial" w:eastAsia="Arial" w:hAnsi="Arial"/>
                <w:sz w:val="11"/>
                <w:szCs w:val="11"/>
                <w:b w:val="1"/>
                <w:bCs w:val="1"/>
                <w:color w:val="auto"/>
                <w:w w:val="94"/>
              </w:rPr>
              <w:t>Beneficial Ownership</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40" w:type="dxa"/>
            <w:vAlign w:val="bottom"/>
            <w:gridSpan w:val="3"/>
            <w:vMerge w:val="restart"/>
          </w:tcPr>
          <w:p>
            <w:pPr>
              <w:jc w:val="center"/>
              <w:ind w:left="181"/>
              <w:spacing w:after="0"/>
              <w:rPr>
                <w:sz w:val="20"/>
                <w:szCs w:val="20"/>
                <w:color w:val="auto"/>
              </w:rPr>
            </w:pPr>
            <w:r>
              <w:rPr>
                <w:rFonts w:ascii="Arial" w:cs="Arial" w:eastAsia="Arial" w:hAnsi="Arial"/>
                <w:sz w:val="11"/>
                <w:szCs w:val="11"/>
                <w:b w:val="1"/>
                <w:bCs w:val="1"/>
                <w:color w:val="auto"/>
                <w:w w:val="96"/>
              </w:rPr>
              <w:t>Beneficial</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1"/>
                <w:szCs w:val="11"/>
                <w:b w:val="1"/>
                <w:bCs w:val="1"/>
                <w:color w:val="auto"/>
              </w:rPr>
              <w:t>Shares Being Offered</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5"/>
          </w:tcPr>
          <w:p>
            <w:pPr>
              <w:jc w:val="center"/>
              <w:ind w:right="680"/>
              <w:spacing w:after="0"/>
              <w:rPr>
                <w:sz w:val="20"/>
                <w:szCs w:val="20"/>
                <w:color w:val="auto"/>
              </w:rPr>
            </w:pPr>
            <w:r>
              <w:rPr>
                <w:rFonts w:ascii="Arial" w:cs="Arial" w:eastAsia="Arial" w:hAnsi="Arial"/>
                <w:sz w:val="11"/>
                <w:szCs w:val="11"/>
                <w:b w:val="1"/>
                <w:bCs w:val="1"/>
                <w:color w:val="auto"/>
                <w:w w:val="96"/>
              </w:rPr>
              <w:t>After This Offering</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top w:val="single" w:sz="8" w:color="auto"/>
            </w:tcBorders>
            <w:gridSpan w:val="2"/>
          </w:tcPr>
          <w:p>
            <w:pPr>
              <w:jc w:val="center"/>
              <w:ind w:right="120"/>
              <w:spacing w:after="0" w:line="93" w:lineRule="exact"/>
              <w:rPr>
                <w:sz w:val="20"/>
                <w:szCs w:val="20"/>
                <w:color w:val="auto"/>
              </w:rPr>
            </w:pPr>
            <w:r>
              <w:rPr>
                <w:rFonts w:ascii="Arial" w:cs="Arial" w:eastAsia="Arial" w:hAnsi="Arial"/>
                <w:sz w:val="9"/>
                <w:szCs w:val="9"/>
                <w:b w:val="1"/>
                <w:bCs w:val="1"/>
                <w:color w:val="auto"/>
              </w:rPr>
              <w:t>Assuming the</w:t>
            </w:r>
          </w:p>
        </w:tc>
        <w:tc>
          <w:tcPr>
            <w:tcW w:w="78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9"/>
                <w:szCs w:val="9"/>
                <w:b w:val="1"/>
                <w:bCs w:val="1"/>
                <w:color w:val="auto"/>
              </w:rPr>
              <w:t>Assuming the</w:t>
            </w:r>
          </w:p>
        </w:tc>
        <w:tc>
          <w:tcPr>
            <w:tcW w:w="120" w:type="dxa"/>
            <w:vAlign w:val="bottom"/>
          </w:tcPr>
          <w:p>
            <w:pPr>
              <w:spacing w:after="0"/>
              <w:rPr>
                <w:sz w:val="8"/>
                <w:szCs w:val="8"/>
                <w:color w:val="auto"/>
              </w:rPr>
            </w:pPr>
          </w:p>
        </w:tc>
        <w:tc>
          <w:tcPr>
            <w:tcW w:w="1600" w:type="dxa"/>
            <w:vAlign w:val="bottom"/>
            <w:tcBorders>
              <w:top w:val="single" w:sz="8" w:color="auto"/>
            </w:tcBorders>
            <w:gridSpan w:val="4"/>
          </w:tcPr>
          <w:p>
            <w:pPr>
              <w:jc w:val="center"/>
              <w:ind w:right="220"/>
              <w:spacing w:after="0" w:line="93" w:lineRule="exact"/>
              <w:rPr>
                <w:sz w:val="20"/>
                <w:szCs w:val="20"/>
                <w:color w:val="auto"/>
              </w:rPr>
            </w:pPr>
            <w:r>
              <w:rPr>
                <w:rFonts w:ascii="Arial" w:cs="Arial" w:eastAsia="Arial" w:hAnsi="Arial"/>
                <w:sz w:val="9"/>
                <w:szCs w:val="9"/>
                <w:b w:val="1"/>
                <w:bCs w:val="1"/>
                <w:color w:val="auto"/>
              </w:rPr>
              <w:t>Assuming the</w:t>
            </w:r>
          </w:p>
        </w:tc>
        <w:tc>
          <w:tcPr>
            <w:tcW w:w="1140" w:type="dxa"/>
            <w:vAlign w:val="bottom"/>
            <w:tcBorders>
              <w:top w:val="single" w:sz="8" w:color="auto"/>
            </w:tcBorders>
            <w:gridSpan w:val="3"/>
          </w:tcPr>
          <w:p>
            <w:pPr>
              <w:jc w:val="center"/>
              <w:ind w:left="261"/>
              <w:spacing w:after="0" w:line="93" w:lineRule="exact"/>
              <w:rPr>
                <w:sz w:val="20"/>
                <w:szCs w:val="20"/>
                <w:color w:val="auto"/>
              </w:rPr>
            </w:pPr>
            <w:r>
              <w:rPr>
                <w:rFonts w:ascii="Arial" w:cs="Arial" w:eastAsia="Arial" w:hAnsi="Arial"/>
                <w:sz w:val="9"/>
                <w:szCs w:val="9"/>
                <w:b w:val="1"/>
                <w:bCs w:val="1"/>
                <w:color w:val="auto"/>
              </w:rPr>
              <w:t>Assuming the</w:t>
            </w: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20" w:type="dxa"/>
            <w:vAlign w:val="bottom"/>
            <w:gridSpan w:val="5"/>
          </w:tcPr>
          <w:p>
            <w:pPr>
              <w:jc w:val="center"/>
              <w:ind w:right="240"/>
              <w:spacing w:after="0" w:line="113" w:lineRule="exact"/>
              <w:rPr>
                <w:sz w:val="20"/>
                <w:szCs w:val="20"/>
                <w:color w:val="auto"/>
              </w:rPr>
            </w:pPr>
            <w:r>
              <w:rPr>
                <w:rFonts w:ascii="Arial" w:cs="Arial" w:eastAsia="Arial" w:hAnsi="Arial"/>
                <w:sz w:val="11"/>
                <w:szCs w:val="11"/>
                <w:b w:val="1"/>
                <w:bCs w:val="1"/>
                <w:color w:val="auto"/>
                <w:w w:val="94"/>
              </w:rPr>
              <w:t>Ownership Before</w:t>
            </w:r>
          </w:p>
        </w:tc>
        <w:tc>
          <w:tcPr>
            <w:tcW w:w="90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w w:val="95"/>
              </w:rPr>
              <w:t>Underwriters’</w:t>
            </w:r>
          </w:p>
        </w:tc>
        <w:tc>
          <w:tcPr>
            <w:tcW w:w="90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w w:val="95"/>
              </w:rPr>
              <w:t>Underwriters’</w:t>
            </w:r>
          </w:p>
        </w:tc>
        <w:tc>
          <w:tcPr>
            <w:tcW w:w="1600" w:type="dxa"/>
            <w:vAlign w:val="bottom"/>
            <w:gridSpan w:val="4"/>
          </w:tcPr>
          <w:p>
            <w:pPr>
              <w:jc w:val="center"/>
              <w:ind w:right="240"/>
              <w:spacing w:after="0" w:line="113" w:lineRule="exact"/>
              <w:rPr>
                <w:sz w:val="20"/>
                <w:szCs w:val="20"/>
                <w:color w:val="auto"/>
              </w:rPr>
            </w:pPr>
            <w:r>
              <w:rPr>
                <w:rFonts w:ascii="Arial" w:cs="Arial" w:eastAsia="Arial" w:hAnsi="Arial"/>
                <w:sz w:val="11"/>
                <w:szCs w:val="11"/>
                <w:b w:val="1"/>
                <w:bCs w:val="1"/>
                <w:color w:val="auto"/>
                <w:w w:val="95"/>
              </w:rPr>
              <w:t>Underwriters’ Option</w:t>
            </w:r>
          </w:p>
        </w:tc>
        <w:tc>
          <w:tcPr>
            <w:tcW w:w="1620" w:type="dxa"/>
            <w:vAlign w:val="bottom"/>
            <w:gridSpan w:val="5"/>
          </w:tcPr>
          <w:p>
            <w:pPr>
              <w:jc w:val="center"/>
              <w:ind w:right="160"/>
              <w:spacing w:after="0" w:line="113" w:lineRule="exact"/>
              <w:rPr>
                <w:sz w:val="20"/>
                <w:szCs w:val="20"/>
                <w:color w:val="auto"/>
              </w:rPr>
            </w:pPr>
            <w:r>
              <w:rPr>
                <w:rFonts w:ascii="Arial" w:cs="Arial" w:eastAsia="Arial" w:hAnsi="Arial"/>
                <w:sz w:val="11"/>
                <w:szCs w:val="11"/>
                <w:b w:val="1"/>
                <w:bCs w:val="1"/>
                <w:color w:val="auto"/>
                <w:w w:val="96"/>
              </w:rPr>
              <w:t>Underwriters’ Option</w:t>
            </w:r>
          </w:p>
        </w:tc>
        <w:tc>
          <w:tcPr>
            <w:tcW w:w="0" w:type="dxa"/>
            <w:vAlign w:val="bottom"/>
          </w:tcPr>
          <w:p>
            <w:pPr>
              <w:spacing w:after="0"/>
              <w:rPr>
                <w:sz w:val="1"/>
                <w:szCs w:val="1"/>
                <w:color w:val="auto"/>
              </w:rPr>
            </w:pPr>
          </w:p>
        </w:tc>
      </w:tr>
      <w:tr>
        <w:trPr>
          <w:trHeight w:val="124"/>
        </w:trPr>
        <w:tc>
          <w:tcPr>
            <w:tcW w:w="1320" w:type="dxa"/>
            <w:vAlign w:val="bottom"/>
            <w:vMerge w:val="restart"/>
          </w:tcPr>
          <w:p>
            <w:pPr>
              <w:spacing w:after="0"/>
              <w:rPr>
                <w:sz w:val="20"/>
                <w:szCs w:val="20"/>
                <w:color w:val="auto"/>
              </w:rPr>
            </w:pPr>
            <w:r>
              <w:rPr>
                <w:rFonts w:ascii="Arial" w:cs="Arial" w:eastAsia="Arial" w:hAnsi="Arial"/>
                <w:sz w:val="11"/>
                <w:szCs w:val="11"/>
                <w:b w:val="1"/>
                <w:bCs w:val="1"/>
                <w:color w:val="auto"/>
                <w:w w:val="95"/>
              </w:rPr>
              <w:t>Name of Beneficial Owner</w:t>
            </w:r>
          </w:p>
        </w:tc>
        <w:tc>
          <w:tcPr>
            <w:tcW w:w="1440" w:type="dxa"/>
            <w:vAlign w:val="bottom"/>
            <w:vMerge w:val="restart"/>
          </w:tcPr>
          <w:p>
            <w:pPr>
              <w:spacing w:after="0"/>
              <w:rPr>
                <w:sz w:val="10"/>
                <w:szCs w:val="10"/>
                <w:color w:val="auto"/>
              </w:rPr>
            </w:pPr>
          </w:p>
        </w:tc>
        <w:tc>
          <w:tcPr>
            <w:tcW w:w="940" w:type="dxa"/>
            <w:vAlign w:val="bottom"/>
            <w:gridSpan w:val="3"/>
          </w:tcPr>
          <w:p>
            <w:pPr>
              <w:jc w:val="center"/>
              <w:ind w:left="181"/>
              <w:spacing w:after="0" w:line="124" w:lineRule="exact"/>
              <w:rPr>
                <w:sz w:val="20"/>
                <w:szCs w:val="20"/>
                <w:color w:val="auto"/>
              </w:rPr>
            </w:pPr>
            <w:r>
              <w:rPr>
                <w:rFonts w:ascii="Arial" w:cs="Arial" w:eastAsia="Arial" w:hAnsi="Arial"/>
                <w:sz w:val="11"/>
                <w:szCs w:val="11"/>
                <w:b w:val="1"/>
                <w:bCs w:val="1"/>
                <w:color w:val="auto"/>
                <w:w w:val="96"/>
              </w:rPr>
              <w:t>This Offering</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5"/>
              </w:rPr>
              <w:t>Option is Not</w:t>
            </w:r>
          </w:p>
        </w:tc>
        <w:tc>
          <w:tcPr>
            <w:tcW w:w="90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6"/>
              </w:rPr>
              <w:t>Option is</w:t>
            </w:r>
          </w:p>
        </w:tc>
        <w:tc>
          <w:tcPr>
            <w:tcW w:w="1600" w:type="dxa"/>
            <w:vAlign w:val="bottom"/>
            <w:gridSpan w:val="4"/>
          </w:tcPr>
          <w:p>
            <w:pPr>
              <w:jc w:val="center"/>
              <w:ind w:right="220"/>
              <w:spacing w:after="0" w:line="124" w:lineRule="exact"/>
              <w:rPr>
                <w:sz w:val="20"/>
                <w:szCs w:val="20"/>
                <w:color w:val="auto"/>
              </w:rPr>
            </w:pPr>
            <w:r>
              <w:rPr>
                <w:rFonts w:ascii="Arial" w:cs="Arial" w:eastAsia="Arial" w:hAnsi="Arial"/>
                <w:sz w:val="11"/>
                <w:szCs w:val="11"/>
                <w:b w:val="1"/>
                <w:bCs w:val="1"/>
                <w:color w:val="auto"/>
                <w:w w:val="95"/>
              </w:rPr>
              <w:t>is Not Exercised</w:t>
            </w:r>
          </w:p>
        </w:tc>
        <w:tc>
          <w:tcPr>
            <w:tcW w:w="1140" w:type="dxa"/>
            <w:vAlign w:val="bottom"/>
            <w:gridSpan w:val="3"/>
          </w:tcPr>
          <w:p>
            <w:pPr>
              <w:jc w:val="center"/>
              <w:ind w:left="261"/>
              <w:spacing w:after="0" w:line="124" w:lineRule="exact"/>
              <w:rPr>
                <w:sz w:val="20"/>
                <w:szCs w:val="20"/>
                <w:color w:val="auto"/>
              </w:rPr>
            </w:pPr>
            <w:r>
              <w:rPr>
                <w:rFonts w:ascii="Arial" w:cs="Arial" w:eastAsia="Arial" w:hAnsi="Arial"/>
                <w:sz w:val="11"/>
                <w:szCs w:val="11"/>
                <w:b w:val="1"/>
                <w:bCs w:val="1"/>
                <w:color w:val="auto"/>
                <w:w w:val="96"/>
              </w:rPr>
              <w:t>is Exercised</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320" w:type="dxa"/>
            <w:vAlign w:val="bottom"/>
            <w:tcBorders>
              <w:bottom w:val="single" w:sz="8" w:color="auto"/>
            </w:tcBorders>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940" w:type="dxa"/>
            <w:vAlign w:val="bottom"/>
            <w:tcBorders>
              <w:top w:val="single" w:sz="8" w:color="auto"/>
            </w:tcBorders>
            <w:gridSpan w:val="3"/>
          </w:tcPr>
          <w:p>
            <w:pPr>
              <w:ind w:left="120"/>
              <w:spacing w:after="0" w:line="93" w:lineRule="exact"/>
              <w:rPr>
                <w:sz w:val="20"/>
                <w:szCs w:val="20"/>
                <w:color w:val="auto"/>
              </w:rPr>
            </w:pPr>
            <w:r>
              <w:rPr>
                <w:rFonts w:ascii="Arial" w:cs="Arial" w:eastAsia="Arial" w:hAnsi="Arial"/>
                <w:sz w:val="9"/>
                <w:szCs w:val="9"/>
                <w:b w:val="1"/>
                <w:bCs w:val="1"/>
                <w:color w:val="auto"/>
              </w:rPr>
              <w:t>Shares</w:t>
            </w:r>
            <w:r>
              <w:rPr>
                <w:rFonts w:ascii="Arial" w:cs="Arial" w:eastAsia="Arial" w:hAnsi="Arial"/>
                <w:sz w:val="7"/>
                <w:szCs w:val="7"/>
                <w:b w:val="1"/>
                <w:bCs w:val="1"/>
                <w:color w:val="auto"/>
              </w:rPr>
              <w:t>(1)</w:t>
            </w:r>
          </w:p>
        </w:tc>
        <w:tc>
          <w:tcPr>
            <w:tcW w:w="240" w:type="dxa"/>
            <w:vAlign w:val="bottom"/>
            <w:tcBorders>
              <w:top w:val="single" w:sz="8" w:color="auto"/>
            </w:tcBorders>
          </w:tcPr>
          <w:p>
            <w:pPr>
              <w:jc w:val="right"/>
              <w:ind w:right="80"/>
              <w:spacing w:after="0" w:line="93" w:lineRule="exact"/>
              <w:rPr>
                <w:sz w:val="20"/>
                <w:szCs w:val="20"/>
                <w:color w:val="auto"/>
              </w:rPr>
            </w:pPr>
            <w:r>
              <w:rPr>
                <w:rFonts w:ascii="Arial" w:cs="Arial" w:eastAsia="Arial" w:hAnsi="Arial"/>
                <w:sz w:val="9"/>
                <w:szCs w:val="9"/>
                <w:b w:val="1"/>
                <w:bCs w:val="1"/>
                <w:color w:val="auto"/>
                <w:w w:val="99"/>
              </w:rPr>
              <w:t>%</w:t>
            </w:r>
          </w:p>
        </w:tc>
        <w:tc>
          <w:tcPr>
            <w:tcW w:w="240" w:type="dxa"/>
            <w:vAlign w:val="bottom"/>
          </w:tcPr>
          <w:p>
            <w:pPr>
              <w:spacing w:after="0"/>
              <w:rPr>
                <w:sz w:val="9"/>
                <w:szCs w:val="9"/>
                <w:color w:val="auto"/>
              </w:rPr>
            </w:pPr>
          </w:p>
        </w:tc>
        <w:tc>
          <w:tcPr>
            <w:tcW w:w="900" w:type="dxa"/>
            <w:vAlign w:val="bottom"/>
            <w:gridSpan w:val="2"/>
          </w:tcPr>
          <w:p>
            <w:pPr>
              <w:jc w:val="center"/>
              <w:ind w:right="120"/>
              <w:spacing w:after="0" w:line="93" w:lineRule="exact"/>
              <w:rPr>
                <w:sz w:val="20"/>
                <w:szCs w:val="20"/>
                <w:color w:val="auto"/>
              </w:rPr>
            </w:pPr>
            <w:r>
              <w:rPr>
                <w:rFonts w:ascii="Arial" w:cs="Arial" w:eastAsia="Arial" w:hAnsi="Arial"/>
                <w:sz w:val="9"/>
                <w:szCs w:val="9"/>
                <w:b w:val="1"/>
                <w:bCs w:val="1"/>
                <w:color w:val="auto"/>
              </w:rPr>
              <w:t>Exercised</w:t>
            </w:r>
          </w:p>
        </w:tc>
        <w:tc>
          <w:tcPr>
            <w:tcW w:w="900" w:type="dxa"/>
            <w:vAlign w:val="bottom"/>
            <w:gridSpan w:val="2"/>
          </w:tcPr>
          <w:p>
            <w:pPr>
              <w:jc w:val="center"/>
              <w:ind w:right="120"/>
              <w:spacing w:after="0" w:line="93" w:lineRule="exact"/>
              <w:rPr>
                <w:sz w:val="20"/>
                <w:szCs w:val="20"/>
                <w:color w:val="auto"/>
              </w:rPr>
            </w:pPr>
            <w:r>
              <w:rPr>
                <w:rFonts w:ascii="Arial" w:cs="Arial" w:eastAsia="Arial" w:hAnsi="Arial"/>
                <w:sz w:val="9"/>
                <w:szCs w:val="9"/>
                <w:b w:val="1"/>
                <w:bCs w:val="1"/>
                <w:color w:val="auto"/>
              </w:rPr>
              <w:t>Exercised</w:t>
            </w:r>
          </w:p>
        </w:tc>
        <w:tc>
          <w:tcPr>
            <w:tcW w:w="1000" w:type="dxa"/>
            <w:vAlign w:val="bottom"/>
            <w:tcBorders>
              <w:top w:val="single" w:sz="8" w:color="auto"/>
            </w:tcBorders>
            <w:gridSpan w:val="2"/>
          </w:tcPr>
          <w:p>
            <w:pPr>
              <w:jc w:val="right"/>
              <w:ind w:right="340"/>
              <w:spacing w:after="0" w:line="93" w:lineRule="exact"/>
              <w:rPr>
                <w:sz w:val="20"/>
                <w:szCs w:val="20"/>
                <w:color w:val="auto"/>
              </w:rPr>
            </w:pPr>
            <w:r>
              <w:rPr>
                <w:rFonts w:ascii="Arial" w:cs="Arial" w:eastAsia="Arial" w:hAnsi="Arial"/>
                <w:sz w:val="9"/>
                <w:szCs w:val="9"/>
                <w:b w:val="1"/>
                <w:bCs w:val="1"/>
                <w:color w:val="auto"/>
              </w:rPr>
              <w:t>Shares</w:t>
            </w:r>
            <w:r>
              <w:rPr>
                <w:rFonts w:ascii="Arial" w:cs="Arial" w:eastAsia="Arial" w:hAnsi="Arial"/>
                <w:sz w:val="7"/>
                <w:szCs w:val="7"/>
                <w:b w:val="1"/>
                <w:bCs w:val="1"/>
                <w:color w:val="auto"/>
              </w:rPr>
              <w:t>(1)</w:t>
            </w:r>
          </w:p>
        </w:tc>
        <w:tc>
          <w:tcPr>
            <w:tcW w:w="360" w:type="dxa"/>
            <w:vAlign w:val="bottom"/>
            <w:tcBorders>
              <w:top w:val="single" w:sz="8" w:color="auto"/>
            </w:tcBorders>
          </w:tcPr>
          <w:p>
            <w:pPr>
              <w:jc w:val="right"/>
              <w:ind w:right="81"/>
              <w:spacing w:after="0" w:line="93" w:lineRule="exact"/>
              <w:rPr>
                <w:sz w:val="20"/>
                <w:szCs w:val="20"/>
                <w:color w:val="auto"/>
              </w:rPr>
            </w:pPr>
            <w:r>
              <w:rPr>
                <w:rFonts w:ascii="Arial" w:cs="Arial" w:eastAsia="Arial" w:hAnsi="Arial"/>
                <w:sz w:val="9"/>
                <w:szCs w:val="9"/>
                <w:b w:val="1"/>
                <w:bCs w:val="1"/>
                <w:color w:val="auto"/>
              </w:rPr>
              <w:t>%</w:t>
            </w:r>
          </w:p>
        </w:tc>
        <w:tc>
          <w:tcPr>
            <w:tcW w:w="240" w:type="dxa"/>
            <w:vAlign w:val="bottom"/>
          </w:tcPr>
          <w:p>
            <w:pPr>
              <w:spacing w:after="0"/>
              <w:rPr>
                <w:sz w:val="9"/>
                <w:szCs w:val="9"/>
                <w:color w:val="auto"/>
              </w:rPr>
            </w:pPr>
          </w:p>
        </w:tc>
        <w:tc>
          <w:tcPr>
            <w:tcW w:w="1140" w:type="dxa"/>
            <w:vAlign w:val="bottom"/>
            <w:tcBorders>
              <w:top w:val="single" w:sz="8" w:color="auto"/>
            </w:tcBorders>
            <w:gridSpan w:val="3"/>
          </w:tcPr>
          <w:p>
            <w:pPr>
              <w:ind w:left="240"/>
              <w:spacing w:after="0" w:line="93" w:lineRule="exact"/>
              <w:rPr>
                <w:sz w:val="20"/>
                <w:szCs w:val="20"/>
                <w:color w:val="auto"/>
              </w:rPr>
            </w:pPr>
            <w:r>
              <w:rPr>
                <w:rFonts w:ascii="Arial" w:cs="Arial" w:eastAsia="Arial" w:hAnsi="Arial"/>
                <w:sz w:val="9"/>
                <w:szCs w:val="9"/>
                <w:b w:val="1"/>
                <w:bCs w:val="1"/>
                <w:color w:val="auto"/>
              </w:rPr>
              <w:t>Shares</w:t>
            </w:r>
            <w:r>
              <w:rPr>
                <w:rFonts w:ascii="Arial" w:cs="Arial" w:eastAsia="Arial" w:hAnsi="Arial"/>
                <w:sz w:val="7"/>
                <w:szCs w:val="7"/>
                <w:b w:val="1"/>
                <w:bCs w:val="1"/>
                <w:color w:val="auto"/>
              </w:rPr>
              <w:t>(1)</w:t>
            </w:r>
          </w:p>
        </w:tc>
        <w:tc>
          <w:tcPr>
            <w:tcW w:w="320" w:type="dxa"/>
            <w:vAlign w:val="bottom"/>
            <w:tcBorders>
              <w:top w:val="single" w:sz="8" w:color="auto"/>
            </w:tcBorders>
          </w:tcPr>
          <w:p>
            <w:pPr>
              <w:jc w:val="right"/>
              <w:ind w:right="100"/>
              <w:spacing w:after="0" w:line="93" w:lineRule="exact"/>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Named Executive Officers and Directors:</w:t>
            </w: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Dave Girouard</w:t>
            </w:r>
            <w:r>
              <w:rPr>
                <w:rFonts w:ascii="Arial" w:cs="Arial" w:eastAsia="Arial" w:hAnsi="Arial"/>
                <w:sz w:val="15"/>
                <w:szCs w:val="15"/>
                <w:color w:val="auto"/>
                <w:vertAlign w:val="superscript"/>
              </w:rPr>
              <w:t>(2)</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14,044,585</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w w:val="93"/>
              </w:rPr>
              <w:t>21.9%</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1,000,000</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1,000,000</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13,044,585</w:t>
            </w: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17.7%</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13,044,585</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Sanjay Datta</w:t>
            </w:r>
            <w:r>
              <w:rPr>
                <w:rFonts w:ascii="Arial" w:cs="Arial" w:eastAsia="Arial" w:hAnsi="Arial"/>
                <w:sz w:val="15"/>
                <w:szCs w:val="15"/>
                <w:color w:val="auto"/>
                <w:vertAlign w:val="superscript"/>
              </w:rPr>
              <w:t>(3)</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778,067</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1.2%</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778,067</w:t>
            </w: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778,067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Paul Gu</w:t>
            </w:r>
            <w:r>
              <w:rPr>
                <w:rFonts w:ascii="Arial" w:cs="Arial" w:eastAsia="Arial" w:hAnsi="Arial"/>
                <w:sz w:val="15"/>
                <w:szCs w:val="15"/>
                <w:color w:val="auto"/>
                <w:vertAlign w:val="superscript"/>
              </w:rPr>
              <w:t>(4)</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2,131,249</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3.3%</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213,124</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213,124</w:t>
            </w: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1,918,125</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2.6%</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1,918,125</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Mary Hentges</w:t>
            </w:r>
            <w:r>
              <w:rPr>
                <w:rFonts w:ascii="Arial" w:cs="Arial" w:eastAsia="Arial" w:hAnsi="Arial"/>
                <w:sz w:val="15"/>
                <w:szCs w:val="15"/>
                <w:color w:val="auto"/>
                <w:vertAlign w:val="superscript"/>
              </w:rPr>
              <w:t>(5)</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53,456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53,456</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53,456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2"/>
                <w:szCs w:val="12"/>
                <w:color w:val="auto"/>
              </w:rPr>
              <w:t>Oskar Mielczarek de la Miel</w:t>
            </w:r>
          </w:p>
        </w:tc>
        <w:tc>
          <w:tcPr>
            <w:tcW w:w="940" w:type="dxa"/>
            <w:vAlign w:val="bottom"/>
            <w:gridSpan w:val="3"/>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20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Ciaran O’Kelly</w:t>
            </w:r>
            <w:r>
              <w:rPr>
                <w:rFonts w:ascii="Arial" w:cs="Arial" w:eastAsia="Arial" w:hAnsi="Arial"/>
                <w:sz w:val="15"/>
                <w:szCs w:val="15"/>
                <w:color w:val="auto"/>
                <w:vertAlign w:val="superscript"/>
              </w:rPr>
              <w:t>(6)</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160,369</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160,369</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160,369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2"/>
                <w:szCs w:val="12"/>
                <w:color w:val="auto"/>
              </w:rPr>
              <w:t>Robert Schwartz</w:t>
            </w:r>
          </w:p>
        </w:tc>
        <w:tc>
          <w:tcPr>
            <w:tcW w:w="940" w:type="dxa"/>
            <w:vAlign w:val="bottom"/>
            <w:gridSpan w:val="3"/>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20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Sukhinder Singh Cassidy</w:t>
            </w:r>
            <w:r>
              <w:rPr>
                <w:rFonts w:ascii="Arial" w:cs="Arial" w:eastAsia="Arial" w:hAnsi="Arial"/>
                <w:sz w:val="15"/>
                <w:szCs w:val="15"/>
                <w:color w:val="auto"/>
                <w:vertAlign w:val="superscript"/>
              </w:rPr>
              <w:t>(7)</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42,765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42,765</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42,765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Hilliard C. Terry, III</w:t>
            </w:r>
            <w:r>
              <w:rPr>
                <w:rFonts w:ascii="Arial" w:cs="Arial" w:eastAsia="Arial" w:hAnsi="Arial"/>
                <w:sz w:val="15"/>
                <w:szCs w:val="15"/>
                <w:color w:val="auto"/>
                <w:vertAlign w:val="superscript"/>
              </w:rPr>
              <w:t>(8)</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106,912</w:t>
            </w:r>
          </w:p>
        </w:tc>
        <w:tc>
          <w:tcPr>
            <w:tcW w:w="120" w:type="dxa"/>
            <w:vAlign w:val="bottom"/>
          </w:tcPr>
          <w:p>
            <w:pPr>
              <w:spacing w:after="0"/>
              <w:rPr>
                <w:sz w:val="11"/>
                <w:szCs w:val="11"/>
                <w:color w:val="auto"/>
              </w:rPr>
            </w:pPr>
          </w:p>
        </w:tc>
        <w:tc>
          <w:tcPr>
            <w:tcW w:w="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106,912</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106,912</w:t>
            </w:r>
          </w:p>
        </w:tc>
        <w:tc>
          <w:tcPr>
            <w:tcW w:w="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All executive officers and directors as a group</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6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0"/>
                <w:szCs w:val="10"/>
                <w:color w:val="auto"/>
              </w:rPr>
              <w:t>(11 persons)</w:t>
            </w:r>
            <w:r>
              <w:rPr>
                <w:rFonts w:ascii="Arial" w:cs="Arial" w:eastAsia="Arial" w:hAnsi="Arial"/>
                <w:sz w:val="15"/>
                <w:szCs w:val="15"/>
                <w:color w:val="auto"/>
                <w:vertAlign w:val="superscript"/>
              </w:rPr>
              <w:t>(9)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19,470,317</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28.0%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1,404,769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1,404,769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18,065,548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18,065,548</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225"/>
        </w:trPr>
        <w:tc>
          <w:tcPr>
            <w:tcW w:w="2760" w:type="dxa"/>
            <w:vAlign w:val="bottom"/>
            <w:gridSpan w:val="2"/>
          </w:tcPr>
          <w:p>
            <w:pPr>
              <w:spacing w:after="0"/>
              <w:rPr>
                <w:sz w:val="20"/>
                <w:szCs w:val="20"/>
                <w:color w:val="auto"/>
              </w:rPr>
            </w:pPr>
            <w:r>
              <w:rPr>
                <w:rFonts w:ascii="Arial" w:cs="Arial" w:eastAsia="Arial" w:hAnsi="Arial"/>
                <w:sz w:val="12"/>
                <w:szCs w:val="12"/>
                <w:b w:val="1"/>
                <w:bCs w:val="1"/>
                <w:color w:val="auto"/>
              </w:rPr>
              <w:t>5% Stockholders: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Entities affiliated with Third Point Ventures</w:t>
            </w:r>
            <w:r>
              <w:rPr>
                <w:rFonts w:ascii="Arial" w:cs="Arial" w:eastAsia="Arial" w:hAnsi="Arial"/>
                <w:sz w:val="15"/>
                <w:szCs w:val="15"/>
                <w:color w:val="auto"/>
                <w:vertAlign w:val="superscript"/>
              </w:rPr>
              <w:t>(10)(23)</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12,181,222</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w w:val="93"/>
              </w:rPr>
              <w:t>19.3%</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12,181,222</w:t>
            </w: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16.8%</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12,181,222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Entities affiliated with Stone Ridge Trust V</w:t>
            </w:r>
            <w:r>
              <w:rPr>
                <w:rFonts w:ascii="Arial" w:cs="Arial" w:eastAsia="Arial" w:hAnsi="Arial"/>
                <w:sz w:val="15"/>
                <w:szCs w:val="15"/>
                <w:color w:val="auto"/>
                <w:vertAlign w:val="superscript"/>
              </w:rPr>
              <w:t>(11)</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5,700,889</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9.0%</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570,088</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2,014,976</w:t>
            </w: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5,130,801</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7.1%</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3,685,913</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Entities affiliated with Khosla Ventures</w:t>
            </w:r>
            <w:r>
              <w:rPr>
                <w:rFonts w:ascii="Arial" w:cs="Arial" w:eastAsia="Arial" w:hAnsi="Arial"/>
                <w:sz w:val="15"/>
                <w:szCs w:val="15"/>
                <w:color w:val="auto"/>
                <w:vertAlign w:val="superscript"/>
              </w:rPr>
              <w:t>(12)</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5,248,588</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8.3%</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5,248,588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7.2%</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5,248,588</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Entities affiliated with Rakuten</w:t>
            </w:r>
            <w:r>
              <w:rPr>
                <w:rFonts w:ascii="Arial" w:cs="Arial" w:eastAsia="Arial" w:hAnsi="Arial"/>
                <w:sz w:val="15"/>
                <w:szCs w:val="15"/>
                <w:color w:val="auto"/>
                <w:vertAlign w:val="superscript"/>
              </w:rPr>
              <w:t>(13)</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3,321,879</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5.3%</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3,321,879</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4.6%</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3,321,879</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Entities affiliated with First Round Capital</w:t>
            </w:r>
            <w:r>
              <w:rPr>
                <w:rFonts w:ascii="Arial" w:cs="Arial" w:eastAsia="Arial" w:hAnsi="Arial"/>
                <w:sz w:val="15"/>
                <w:szCs w:val="15"/>
                <w:color w:val="auto"/>
                <w:vertAlign w:val="superscript"/>
              </w:rPr>
              <w:t>(14)</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3,220,682</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5.1%</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305,068</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305,068</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2,915,614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4.0%</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2,915,614</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25"/>
        </w:trPr>
        <w:tc>
          <w:tcPr>
            <w:tcW w:w="2760" w:type="dxa"/>
            <w:vAlign w:val="bottom"/>
            <w:gridSpan w:val="2"/>
          </w:tcPr>
          <w:p>
            <w:pPr>
              <w:spacing w:after="0"/>
              <w:rPr>
                <w:sz w:val="20"/>
                <w:szCs w:val="20"/>
                <w:color w:val="auto"/>
              </w:rPr>
            </w:pPr>
            <w:r>
              <w:rPr>
                <w:rFonts w:ascii="Arial" w:cs="Arial" w:eastAsia="Arial" w:hAnsi="Arial"/>
                <w:sz w:val="12"/>
                <w:szCs w:val="12"/>
                <w:b w:val="1"/>
                <w:bCs w:val="1"/>
                <w:color w:val="auto"/>
              </w:rPr>
              <w:t>Selling Stockholders: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Anna M. Counselman</w:t>
            </w:r>
            <w:r>
              <w:rPr>
                <w:rFonts w:ascii="Arial" w:cs="Arial" w:eastAsia="Arial" w:hAnsi="Arial"/>
                <w:sz w:val="15"/>
                <w:szCs w:val="15"/>
                <w:color w:val="auto"/>
                <w:vertAlign w:val="superscript"/>
              </w:rPr>
              <w:t>(15)</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1,216,457</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1.9%</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121,645</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121,645</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1,094,812</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1.5%</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1,094,812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Alison Nicoll</w:t>
            </w:r>
            <w:r>
              <w:rPr>
                <w:rFonts w:ascii="Arial" w:cs="Arial" w:eastAsia="Arial" w:hAnsi="Arial"/>
                <w:sz w:val="15"/>
                <w:szCs w:val="15"/>
                <w:color w:val="auto"/>
                <w:vertAlign w:val="superscript"/>
              </w:rPr>
              <w:t>(16)</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936,457</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1.5%</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70,000</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70,000</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866,457</w:t>
            </w: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1.2%</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866,457</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PESARC Hedge Fund Holdings Ltd.</w:t>
            </w:r>
            <w:r>
              <w:rPr>
                <w:rFonts w:ascii="Arial" w:cs="Arial" w:eastAsia="Arial" w:hAnsi="Arial"/>
                <w:sz w:val="15"/>
                <w:szCs w:val="15"/>
                <w:color w:val="auto"/>
                <w:vertAlign w:val="superscript"/>
              </w:rPr>
              <w:t>(17)</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1,004,600</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1.6%</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100,460</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164,114</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904,140</w:t>
            </w: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1.2%</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840,486</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Riverview Strategic Opportunities Fund III LP</w:t>
            </w:r>
            <w:r>
              <w:rPr>
                <w:rFonts w:ascii="Arial" w:cs="Arial" w:eastAsia="Arial" w:hAnsi="Arial"/>
                <w:sz w:val="15"/>
                <w:szCs w:val="15"/>
                <w:color w:val="auto"/>
                <w:vertAlign w:val="superscript"/>
              </w:rPr>
              <w:t>(18)</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981,690</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1.6%</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98,169</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160,371</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883,521</w:t>
            </w: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1.2%</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821,319</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US Bank FBO AIP Alternative Lending Fund A</w:t>
            </w:r>
            <w:r>
              <w:rPr>
                <w:rFonts w:ascii="Arial" w:cs="Arial" w:eastAsia="Arial" w:hAnsi="Arial"/>
                <w:sz w:val="15"/>
                <w:szCs w:val="15"/>
                <w:color w:val="auto"/>
                <w:vertAlign w:val="superscript"/>
              </w:rPr>
              <w:t>(19)</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1,196,575</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1.9%</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119,657</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351,266</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1,076,918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1.5%</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845,309</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GV 2012, L.P.</w:t>
            </w:r>
            <w:r>
              <w:rPr>
                <w:rFonts w:ascii="Arial" w:cs="Arial" w:eastAsia="Arial" w:hAnsi="Arial"/>
                <w:sz w:val="15"/>
                <w:szCs w:val="15"/>
                <w:color w:val="auto"/>
                <w:vertAlign w:val="superscript"/>
              </w:rPr>
              <w:t>(20)</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912,386</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1.4%</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79,963</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79,963</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832,423</w:t>
            </w: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832,423</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Andy Palmer</w:t>
            </w:r>
            <w:r>
              <w:rPr>
                <w:rFonts w:ascii="Arial" w:cs="Arial" w:eastAsia="Arial" w:hAnsi="Arial"/>
                <w:sz w:val="15"/>
                <w:szCs w:val="15"/>
                <w:color w:val="auto"/>
                <w:vertAlign w:val="superscript"/>
              </w:rPr>
              <w:t>(21)</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698,844</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69,884</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69,884</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628,960</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628,960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60" w:type="dxa"/>
            <w:vAlign w:val="bottom"/>
            <w:gridSpan w:val="2"/>
          </w:tcPr>
          <w:p>
            <w:pPr>
              <w:spacing w:after="0" w:line="133" w:lineRule="exact"/>
              <w:rPr>
                <w:sz w:val="20"/>
                <w:szCs w:val="20"/>
                <w:color w:val="auto"/>
              </w:rPr>
            </w:pPr>
            <w:r>
              <w:rPr>
                <w:rFonts w:ascii="Arial" w:cs="Arial" w:eastAsia="Arial" w:hAnsi="Arial"/>
                <w:sz w:val="12"/>
                <w:szCs w:val="12"/>
                <w:color w:val="auto"/>
              </w:rPr>
              <w:t>Current Employees (Non-Executive Leadership)</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306,665</w:t>
            </w:r>
          </w:p>
        </w:tc>
        <w:tc>
          <w:tcPr>
            <w:tcW w:w="1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30,666</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30,666</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275,999</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275,999</w:t>
            </w:r>
          </w:p>
        </w:tc>
        <w:tc>
          <w:tcPr>
            <w:tcW w:w="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20" w:type="dxa"/>
            <w:vAlign w:val="bottom"/>
          </w:tcPr>
          <w:p>
            <w:pPr>
              <w:ind w:left="120"/>
              <w:spacing w:after="0"/>
              <w:rPr>
                <w:sz w:val="20"/>
                <w:szCs w:val="20"/>
                <w:color w:val="auto"/>
              </w:rPr>
            </w:pPr>
            <w:r>
              <w:rPr>
                <w:rFonts w:ascii="Arial" w:cs="Arial" w:eastAsia="Arial" w:hAnsi="Arial"/>
                <w:sz w:val="10"/>
                <w:szCs w:val="10"/>
                <w:color w:val="auto"/>
              </w:rPr>
              <w:t>(22)</w:t>
            </w:r>
          </w:p>
        </w:tc>
        <w:tc>
          <w:tcPr>
            <w:tcW w:w="14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Other Current Employees</w:t>
            </w:r>
            <w:r>
              <w:rPr>
                <w:rFonts w:ascii="Arial" w:cs="Arial" w:eastAsia="Arial" w:hAnsi="Arial"/>
                <w:sz w:val="15"/>
                <w:szCs w:val="15"/>
                <w:color w:val="auto"/>
                <w:vertAlign w:val="superscript"/>
              </w:rPr>
              <w:t>(22)</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474,780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42,678</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42,678</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432,102</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432,102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Former Employees</w:t>
            </w:r>
            <w:r>
              <w:rPr>
                <w:rFonts w:ascii="Arial" w:cs="Arial" w:eastAsia="Arial" w:hAnsi="Arial"/>
                <w:sz w:val="15"/>
                <w:szCs w:val="15"/>
                <w:color w:val="auto"/>
                <w:vertAlign w:val="superscript"/>
              </w:rPr>
              <w:t>(22)</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319,547</w:t>
            </w:r>
          </w:p>
        </w:tc>
        <w:tc>
          <w:tcPr>
            <w:tcW w:w="120" w:type="dxa"/>
            <w:vAlign w:val="bottom"/>
          </w:tcPr>
          <w:p>
            <w:pPr>
              <w:spacing w:after="0"/>
              <w:rPr>
                <w:sz w:val="11"/>
                <w:szCs w:val="11"/>
                <w:color w:val="auto"/>
              </w:rPr>
            </w:pPr>
          </w:p>
        </w:tc>
        <w:tc>
          <w:tcPr>
            <w:tcW w:w="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31,952</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31,952</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287,595</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287,595</w:t>
            </w:r>
          </w:p>
        </w:tc>
        <w:tc>
          <w:tcPr>
            <w:tcW w:w="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Series C Preferred Investors</w:t>
            </w:r>
            <w:r>
              <w:rPr>
                <w:rFonts w:ascii="Arial" w:cs="Arial" w:eastAsia="Arial" w:hAnsi="Arial"/>
                <w:sz w:val="15"/>
                <w:szCs w:val="15"/>
                <w:color w:val="auto"/>
                <w:vertAlign w:val="superscript"/>
              </w:rPr>
              <w:t>(22)</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595,303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59,195</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59,195</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536,108</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536,108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Other Preferred Investors</w:t>
            </w:r>
            <w:r>
              <w:rPr>
                <w:rFonts w:ascii="Arial" w:cs="Arial" w:eastAsia="Arial" w:hAnsi="Arial"/>
                <w:sz w:val="15"/>
                <w:szCs w:val="15"/>
                <w:color w:val="auto"/>
                <w:vertAlign w:val="superscript"/>
              </w:rPr>
              <w:t>(22)</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554,543</w:t>
            </w:r>
          </w:p>
        </w:tc>
        <w:tc>
          <w:tcPr>
            <w:tcW w:w="120" w:type="dxa"/>
            <w:vAlign w:val="bottom"/>
          </w:tcPr>
          <w:p>
            <w:pPr>
              <w:spacing w:after="0"/>
              <w:rPr>
                <w:sz w:val="11"/>
                <w:szCs w:val="11"/>
                <w:color w:val="auto"/>
              </w:rPr>
            </w:pPr>
          </w:p>
        </w:tc>
        <w:tc>
          <w:tcPr>
            <w:tcW w:w="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55,452</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55,452</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499,091</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499,091</w:t>
            </w:r>
          </w:p>
        </w:tc>
        <w:tc>
          <w:tcPr>
            <w:tcW w:w="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Other Non-Employees or Investors</w:t>
            </w:r>
            <w:r>
              <w:rPr>
                <w:rFonts w:ascii="Arial" w:cs="Arial" w:eastAsia="Arial" w:hAnsi="Arial"/>
                <w:sz w:val="15"/>
                <w:szCs w:val="15"/>
                <w:color w:val="auto"/>
                <w:vertAlign w:val="superscript"/>
              </w:rPr>
              <w:t>(22)</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476,930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47,689</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47,689</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429,241</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429,241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Represents beneficial ownership of less than 1% of the outstanding shares of our common stock.</w:t>
      </w:r>
    </w:p>
    <w:p>
      <w:pPr>
        <w:ind w:left="1480" w:right="8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Represents shares beneficially owned by such individual or entity, and includes shares held in the beneficial owner’s name or jointly with others, or in the name of a bank, nominee or trustee for the beneficial owner’s account.</w:t>
      </w:r>
    </w:p>
    <w:p>
      <w:pPr>
        <w:ind w:left="1480" w:right="10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(i) 12,792,840 shares held of record by the 2008 D&amp;T Girouard Revocable Trust for which Mr. Girouard serves as trustee and (ii) 1,251,745 shares subject to options exercisable within 60 days of September 30, 2020 held by Mr. Girouard. Subsequent to September 30, 2020, a portion of the shares described in this footnote as held of record by Mr. Girouard were transferred to the TMG 2020 EXEMPT GIFT TRUST, dated October 19, 2020, the JRG 2020 EXEMPT GIFT TRUST, dated October 19, 2020 and the GIROUARD 2020 GRAT, dated October 19, 2020.</w:t>
      </w:r>
    </w:p>
    <w:p>
      <w:pPr>
        <w:ind w:left="148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778,067 shares subject to options exercisable within 60 days of September 30, 2020 held by Mr. Datta.</w:t>
      </w:r>
    </w:p>
    <w:p>
      <w:pPr>
        <w:ind w:left="1480" w:right="38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(i) 160,000 shares held of record by Mr. Gu and (ii) 1,971,249 shares subject to options exercisable within 60 days of September 30, 2020 held by Mr. Gu.</w:t>
      </w:r>
    </w:p>
    <w:p>
      <w:pPr>
        <w:ind w:left="148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53,456 shares subject to options exercisable within 60 days of September 30, 2020 held by Ms. Hentges.</w:t>
      </w:r>
    </w:p>
    <w:p>
      <w:pPr>
        <w:ind w:left="148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160,369 shares subject to options exercisable within 60 days of September 30, 2020 held by Mr. O’Kelly.</w:t>
      </w:r>
    </w:p>
    <w:p>
      <w:pPr>
        <w:ind w:left="1480" w:hanging="453"/>
        <w:spacing w:after="0"/>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42,765 shares subject to options exercisable within 60 days of September 30, 2020 held by Ms. Singh Cassidy.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220"/>
          </w:cols>
          <w:pgMar w:left="320" w:top="407" w:right="135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1480" w:hanging="453"/>
        <w:spacing w:after="0"/>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106,912 shares subject to options exercisable within 60 days of September 30, 2020 held by Mr. Terry.</w:t>
      </w:r>
    </w:p>
    <w:p>
      <w:pPr>
        <w:ind w:left="148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(i) 12,997,340 shares beneficially owned by our executive officers and directors and (ii) 6,472,977 shares subject to options exercisable within 60 days of September 30, 2020.</w:t>
      </w:r>
    </w:p>
    <w:p>
      <w:pPr>
        <w:ind w:left="1480" w:right="10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12,181,222 shares held of record by Third Point Ventures LLC, as nominee for funds managed and/or advised by Third Point LLC. Third Point LLC and Daniel S. Loeb, managing member of Third Point LLC, may be deemed to have voting and investment power over such shares. The address for each of these entities is 55 Hudson Yards, New York, New York 10001.</w:t>
      </w:r>
    </w:p>
    <w:p>
      <w:pPr>
        <w:ind w:left="148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5,700,889 shares held of record by Millennium Trust Company LLC for the benefit of Stone Ridge Trust V, on behalf of its series Stone Ridge Alternative Lending Risk Premium Fund, or LENDX. Stone Ridge Asset Management LLC, or Stone Ridge, acts as the investment adviser to LENDX, and Stone Ridge is controlled by Ross Stevens. Each of Stone Ridge and Ross Stevens may be deemed to have voting and dispositive power of such shares held by LENDX. The address for each of these entities is 510 Madison Avenue, 21st Floor, New York, New York 10022. Prior to this offering and under a previous version of the company’s charter, shares held by LENDX were entitled to no more than 4.99% of the aggregate voting power of all shares of the company with respect to any matter presented to the company’s stockholders, and in connection with this offering, LENDX intends to enter into an agreement with the company pursuant to which it will continue to be entitled to no more than 4.99% of the aggregate voting power of all shares of common stock with respect to any matter presented to the company’s stockholders.</w:t>
      </w:r>
    </w:p>
    <w:p>
      <w:pPr>
        <w:ind w:left="148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50,508 shares held of record by Khosla Ventures Seed B (CF), LP, or Seed B CF, 889,783 shares held of record by Khosla Ventures Seed B, LP, or Seed B, and 4,308,297 shares held of record by Khosla Ventures V, LP, or KV V, The general partner of Seed B CF and Seed B is Khosla Ventures Seed Associates B, LLC, or B Associates. VK Services, LLC, or VK Services, is the sole manager of B Associates. Vinod Khosla is the managing member of VK Services. Each of Mr. Khosla, VK Services and B Associates may be deemed to share voting and dispositive power of such securities held by Seed B CF and Seed B. Mr. Khosla, VK Services and B Associates disclaim beneficial ownership of such securities held by Seed B CF and Seed B, except to the extent of their respective pecuniary interests therein. The general partner of KV V is Khosla Ventures Associates V, LLC, or KVA V. VK Services, LLC, or VK Services, is the sole manager of KVA V. Vinod Khosla is the managing member of VK Services. Each of Mr. Khosla, VK Services and KVA V may be deemed to share voting and dispositive power of such securities held by KV V. Mr. Khosla, VK Services and KVA V disclaim beneficial ownership of such securities held by KV V, except to the extent of their respective pecuniary interests therein. The address for each of these entities is 2128 Sand Hill Road, Menlo Park, California 94025.</w:t>
      </w:r>
    </w:p>
    <w:p>
      <w:pPr>
        <w:ind w:left="1480" w:right="20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3,321,879 shares held of record by Rakuten Capital SCSp, or Rakuten Capital. Rakuten Capital is controlled by Rakuten Capital Holdings S.a.r.l., or Holdings. Holdings is a wholly-owned subsidiary of Rakuten Europe S.a.r.l., or Rakuten Europe. Rakuten Europe is a wholly-owned subsidiary of Rakuten, Inc. Hiroshi Mikitani is the Chairman and Chief Executive Officer of Rakuten, Inc. Each of Rakuten Capital, Holdings, Rakuten Europe, Rakuten, Inc. and Mr. Mikitani may be deemed to hold voting and dispositive power with respect to these shares. The address for these entities is 2 Rue du Fossé, Luxembourg L-1536, Grand Duchy of Luxembourg.</w:t>
      </w:r>
    </w:p>
    <w:p>
      <w:pPr>
        <w:ind w:left="1480" w:right="4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3,220,682 shares held of record by First Round Capital III, L.P., as nominee, a Delaware limited partnership, on behalf of First Round Capital III, LP, a Delaware limited partnership or, FRC III, First Round Capital III Partners Fund, LP, or FRC III Partners Fund, and First Round Capital III-A, LP, or FRC III-A, and together with FRC III and FRC III Partners Fund, the FRC III Funds. First Round Capital Management III, LP, a Delaware limited partnership, or FRC III GP, is the General Partner of the FRC III Funds. First Round Capital Management III, LLC, a Delaware limited liability company, is the General Partner of FRC III GP and has sole voting and investment power over the shares. A committee of three members controls First Round Capital Management III, LLC. The address for each of these entities is 2400 Market Street, Suite 237, Philadelphia, Pennsylvania 19103.</w:t>
      </w:r>
    </w:p>
    <w:p>
      <w:pPr>
        <w:ind w:left="1480" w:right="6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(i) 44,500 shares held of record by Ms. Counselman and (ii) 1,171,957 shares subject to options exercisable within 60 days of September 30, 2020 held by Ms. Counselman. Ms. Counselman serves as our Senior Vice President, People and Operations.</w:t>
      </w:r>
    </w:p>
    <w:p>
      <w:pPr>
        <w:ind w:left="148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936,457 shares subject to options exercisable within 60 days of September 30, 2020 held by Ms. Nicoll. Ms. Nicoll serves as our General Counsel.</w:t>
      </w:r>
    </w:p>
    <w:p>
      <w:pPr>
        <w:ind w:left="1480" w:right="4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1,004,600 shares held of record by PESARC Hedge Fund Holdings Ltd. The address for this entity is Ugland House, South Church Street, Georgetown, Grand Cayman, Cayman Islands KY1-1104.</w:t>
      </w:r>
    </w:p>
    <w:p>
      <w:pPr>
        <w:ind w:left="1480" w:right="60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981,690 shares held of record by Charles, Frederic &amp; Co as Nominee for the Bank of New York Mellon as Custodian f/b/o Riverview Strategic Opportunities Fund III LP. The address for this entity is 100 Front Street, Suite 400, West Conshohocken, PA 19428.</w:t>
      </w:r>
    </w:p>
    <w:p>
      <w:pPr>
        <w:ind w:left="1480" w:right="460"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913,825 shares held of record by US Bank FBO AIP Alternative Lending Fund A. The address for this entity is 100 Front Street, Suite 400, West Conshohocken, PA 19428.</w:t>
      </w:r>
    </w:p>
    <w:p>
      <w:pPr>
        <w:ind w:left="1480" w:right="60" w:hanging="453"/>
        <w:spacing w:after="0" w:line="239"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912,386 shares held of record by GV 2012, L.P. GV 2012 GP, L.L.C. (the general partner of GV 2012, L.P.), Alphabet Holdings LLC (the sole member of GV 2012 GP, L.L.C.), XXVI Holdings Inc. (the managing member of Alphabet Holdings LLC), and Alphabet Inc. (the sole stockholder of XXVI Holdings Inc.) may each be deemed to have sole power to vote or dispose of the shares held directly by GV 2012, L.P. The principal business address of GV 2012, L.P., GV 2012 GP, L.L.C., Alphabet Holdings LLC, XXVI Holdings Inc., and Alphabet Inc. is 1600 Amphitheatre Parkway, Mountain View, CA 94043.</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00"/>
          </w:cols>
          <w:pgMar w:left="320" w:top="407" w:right="137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1480" w:hanging="453"/>
        <w:spacing w:after="0"/>
        <w:tabs>
          <w:tab w:leader="none" w:pos="14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Consists of 349,422 shares held of record by Andy Palmer and 349,422 shares held of record by Amy D. Palmer. Mr. Palmer is a former director of the Company.</w:t>
      </w:r>
    </w:p>
    <w:p>
      <w:pPr>
        <w:ind w:left="1480" w:right="119" w:hanging="453"/>
        <w:spacing w:after="0" w:line="235" w:lineRule="auto"/>
        <w:tabs>
          <w:tab w:leader="none" w:pos="14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Consists of selling stockholders not otherwise listed in this table who within the groups indicated collectively own less than 1% of our common stock. Includes the number of shares that such selling stockholders have the right to acquire pursuant to options that may be exercised within 60 days of September 30, 2020.</w:t>
      </w:r>
    </w:p>
    <w:p>
      <w:pPr>
        <w:ind w:left="1480" w:right="39" w:hanging="453"/>
        <w:spacing w:after="0" w:line="237" w:lineRule="auto"/>
        <w:tabs>
          <w:tab w:leader="none" w:pos="14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However, if any shares are purchased by these affiliates, the number of shares of common stock beneficially owned after this offering and the percentage of common stock beneficially owned after this offering will differ from that set forth in the table above. Assuming the purchase of all 1,200,000 shares by these affiliates, the number of shares of common stock beneficially owned by Third Point Ventures LLC after this offering would increase by 1,200,000 shares and the percentage of common stock beneficially owned by such stockholder after this offering would increase by 1.7% (assuming no exercise of the underwriters’ option to purchase additional shares).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139"/>
          </w:cols>
          <w:pgMar w:left="320" w:top="407" w:right="1440"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DESCRIPTION OF CAPITAL STOCK</w:t>
      </w:r>
    </w:p>
    <w:p>
      <w:pPr>
        <w:spacing w:after="0" w:line="26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Immediately following the completion of this offering, our authorized capital stock will consist of 770,000,000 shares of capital stock, $0.0001 par value per share, of which:</w:t>
      </w:r>
    </w:p>
    <w:p>
      <w:pPr>
        <w:spacing w:after="0" w:line="96" w:lineRule="exact"/>
        <w:rPr>
          <w:sz w:val="20"/>
          <w:szCs w:val="20"/>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700,000,000 shares are designated as common stock;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70,000,000 shares are designated as preferred stock.</w:t>
      </w:r>
    </w:p>
    <w:p>
      <w:pPr>
        <w:spacing w:after="0" w:line="177"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Assuming the conversion of all outstanding shares of our convertible preferred stock into shares of our common stock, which will occur immediately prior to the completion of this offering, as of September 30, 2020, there were 62,994,492 shares of our common stock outstanding, held by 132 stockholders of record, assuming (i) the Capital Stock Conversion and (ii) the exercise in November 2020 of a warrant to purchase shares of preferred stock resulting in the issuance of 600,208 shares of our common stock. Pursuant to our amended and restated certificate of incorporation, our board of directors will have the authority, without stockholder approval except as required by the listing standards of the Nasdaq Global Select Market, to issue additional shares of our capital stock.</w:t>
      </w: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Common Stock</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Dividend Rights</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Voting Rights</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 Preemptive or Similar Rights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common stock is not entitled to preemptive rights, and is not subject to conversion, redemption or sinking fund provisions.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220"/>
          </w:cols>
          <w:pgMar w:left="320" w:top="407" w:right="135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Right to Receive Liquidation Distributions</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Fully Paid and Non-Assessable</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In connection with this offering, our legal counsel will opine that the shares of our common stock to be issued in this offering will be fully paid and non-assessable.</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4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As of September 30, 2020, we had outstanding options to purchase an aggregate of 18,889,653 shares of our common stock, with a weighted-average exercise price of approximately $3.17 per share, under our equity compensation plans.</w:t>
      </w:r>
    </w:p>
    <w:p>
      <w:pPr>
        <w:spacing w:after="0" w:line="238"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September 30, 2020, we had the following outstanding warrants:</w:t>
      </w:r>
    </w:p>
    <w:p>
      <w:pPr>
        <w:spacing w:after="0" w:line="98" w:lineRule="exact"/>
        <w:rPr>
          <w:sz w:val="20"/>
          <w:szCs w:val="20"/>
          <w:color w:val="auto"/>
        </w:rPr>
      </w:pPr>
    </w:p>
    <w:p>
      <w:pPr>
        <w:ind w:left="1660" w:hanging="183"/>
        <w:spacing w:after="0"/>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warrants to purchase 319,669 shares of our common stock with a weighted-average exercise price of $1.77 per share; and</w:t>
      </w:r>
    </w:p>
    <w:p>
      <w:pPr>
        <w:spacing w:after="0" w:line="97" w:lineRule="exact"/>
        <w:rPr>
          <w:rFonts w:ascii="Arial" w:cs="Arial" w:eastAsia="Arial" w:hAnsi="Arial"/>
          <w:sz w:val="15"/>
          <w:szCs w:val="15"/>
          <w:color w:val="auto"/>
        </w:rPr>
      </w:pPr>
    </w:p>
    <w:p>
      <w:pPr>
        <w:jc w:val="both"/>
        <w:ind w:left="1660" w:right="280" w:hanging="183"/>
        <w:spacing w:after="0"/>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warrant to purchase 600,208 shares of our Series B preferred stock with an exercise price of $0.01 per share. This warrant was exercised in November 2020 and such shares of Series B preferred stock issued will convert into shares of our common stock in connection with the Capital Stock Conversion.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00"/>
          </w:cols>
          <w:pgMar w:left="320" w:top="407" w:right="137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After the completion of this offering, certain holders of our common stock will be entitled to rights with respect to the registration of their shares under the Securities Act pursuant to the IRA. We and certain holders of our preferred stock are parties to the IRA. The registration rights set forth in the IRA will expire four years following the completion of this offering, or, with respect to any particular stockholder, when such stockholder is able to sell all of its shares pursuant to Rule 144 of the Securities Act during any 90-day period. We will pay the registration expenses (other than underwriting discounts and commissions) of the holders of the shares registered pursuant to the demand registrations and piggyback registrations described below. Holders of our preferred stock participating in any S-3 registrations below will pay their own registration expenses. In an underwritten offering, the managing underwriter, if any, has the right, subject to specified conditions, to limit the number of shares such holders may include. Our stockholders have waived their rights under the IRA (i) to receive notice of this offering and (ii) to include their registrable shares in this offering. In addition, in connection with this offering, most stockholders that have registration rights have agreed not to sell or otherwise dispose of any securities without the prior written consent of us and the underwriters for a period of 180 days after the date of this prospectus, subject to certain terms and conditions. See the section titled “Shares Eligible for Future Sale—Lock-Up and Market Standoff Agreements” for additional information regarding such restrictions.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Demand Registration Rights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After the completion of this offering, the holders of up to 47,049,474 shares of our common stock will be entitled to certain demand registration rights. At any time beginning six months after the effective date of this offering, the holders of at least 50% of these shares then outstanding can request that we register the offer and sale of their shares. Such request for registration must cover securities, the anticipated aggregate public offering price of which, after payment of underwriting discounts and commissions, is at least $5,000,000.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Piggyback Registration Rights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After the completion of this offering, if we propose to register the offer and sale of our common stock under the Securities Act, in connection with the public offering of such common stock the holders of up to 59,949,785 shares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common stock being registered is common stock issuable upon conversion of debt securities that are also being registered; (ii) a registration related to any employee benefit plan or a corporate reorganization or other transaction covered by Rule 145 promulgated under the Securities Act; or (iii) a registration on any registration form which does not include substantially the same information as would be required to be included in a registration statement covering the public offering of our common stock, the holders of these shares are entitled to notice of the registration and have the right, subject to certain limitations, to include their shares in the registration.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S-3 Registration Rights</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After 180 days following the completion of this offering, the holders of up to 47,949,785 shares of our common stock will be entitled to certain Form S-3 registration rights. The holders of at least 50%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20"/>
          </w:cols>
          <w:pgMar w:left="320" w:top="407" w:right="135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after payment of underwriting discounts and commissions, is at least $1,000,000. These stockholders may make an unlimited number of requests for registration on Form S-3; however, we will not be required to effect a registration on Form S-3 if we have effected two such registrations within the 12-month period preceding the date of the request or if we have already previously effected three such registrations. Additionally, if we determine that it would be seriously detrimental to us and our stockholders to effect such a registration, we have the right to defer such registration, not more than once in any 12-month period, for a period of up to 120 days.</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Anti-Takeover Provisions</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enhance the likelihood of continued stability in the composition of our board of directors and its policies and to encourage persons seeking to acquire control of us to negotiate first with our board of directors. We believe that the benefits of these provisions, including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Delaware Law</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91" w:lineRule="exact"/>
        <w:rPr>
          <w:sz w:val="20"/>
          <w:szCs w:val="20"/>
          <w:color w:val="auto"/>
        </w:rPr>
      </w:pPr>
    </w:p>
    <w:p>
      <w:pPr>
        <w:ind w:left="1660" w:right="100" w:hanging="183"/>
        <w:spacing w:after="0" w:line="245"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87" w:lineRule="exact"/>
        <w:rPr>
          <w:rFonts w:ascii="Arial" w:cs="Arial" w:eastAsia="Arial" w:hAnsi="Arial"/>
          <w:sz w:val="15"/>
          <w:szCs w:val="15"/>
          <w:color w:val="auto"/>
        </w:rPr>
      </w:pPr>
    </w:p>
    <w:p>
      <w:pPr>
        <w:ind w:left="1660" w:right="160" w:hanging="183"/>
        <w:spacing w:after="0" w:line="238"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(i) directors who are also officers of the corporation and (ii) by employee stock plans in which employee participants do not have the right to determine confidentially whether shares held subject to the plan will be tendered in a tender or exchange offer; or</w:t>
      </w:r>
    </w:p>
    <w:p>
      <w:pPr>
        <w:spacing w:after="0" w:line="91" w:lineRule="exact"/>
        <w:rPr>
          <w:rFonts w:ascii="Arial" w:cs="Arial" w:eastAsia="Arial" w:hAnsi="Arial"/>
          <w:sz w:val="15"/>
          <w:szCs w:val="15"/>
          <w:color w:val="auto"/>
        </w:rPr>
      </w:pPr>
    </w:p>
    <w:p>
      <w:pPr>
        <w:ind w:left="1660" w:right="140" w:hanging="183"/>
        <w:spacing w:after="0"/>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20"/>
          </w:cols>
          <w:pgMar w:left="320" w:top="407" w:right="135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Amended and Restated Certificate of Incorporation and Amended and Restated Bylaw Provisions</w:t>
      </w:r>
    </w:p>
    <w:p>
      <w:pPr>
        <w:spacing w:after="0" w:line="105" w:lineRule="exact"/>
        <w:rPr>
          <w:sz w:val="20"/>
          <w:szCs w:val="20"/>
          <w:color w:val="auto"/>
        </w:rPr>
      </w:pPr>
    </w:p>
    <w:p>
      <w:pPr>
        <w:ind w:left="1020" w:right="500" w:firstLine="460"/>
        <w:spacing w:after="0"/>
        <w:rPr>
          <w:sz w:val="20"/>
          <w:szCs w:val="20"/>
          <w:color w:val="auto"/>
        </w:rPr>
      </w:pPr>
      <w:r>
        <w:rPr>
          <w:rFonts w:ascii="Arial" w:cs="Arial" w:eastAsia="Arial" w:hAnsi="Arial"/>
          <w:sz w:val="15"/>
          <w:szCs w:val="15"/>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Board of Directors Vacancies</w:t>
      </w:r>
    </w:p>
    <w:p>
      <w:pPr>
        <w:spacing w:after="0" w:line="10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amended and restated certificate of incorporation and amended and restated bylaws will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Classified Board</w:t>
      </w:r>
    </w:p>
    <w:p>
      <w:pPr>
        <w:spacing w:after="0" w:line="10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Our amended and restated certificate of incorporation and amended and restated bylaws will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Stockholder Action; Special Meeting of Stockholders</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amended and restated certificate of incorporation will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Advance Notice Requirements for Stockholder Proposals and Director Nominations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 Cumulative Voting</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0200"/>
          </w:cols>
          <w:pgMar w:left="320" w:top="407" w:right="137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Directors Removed Only for Cause</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amended and restated certificate of incorporation will provide that stockholders may remove directors only for cause.</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of Charter Provisions</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Any amendment of the above provisions in our amended and restated certificate of incorporation would require approval by holders of at least 66 2/3% of our then outstanding capital stock.</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Issuance of Undesignated Preferred Stock</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Our board of directors will have the authority, without further action by our stockholders, to issue up to 70,000,000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Exclusive Forum</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amended and restated bylaws will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our certificate of incorporation or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Our amended and restated bylaws further provide that the federal district courts of the United States will be the exclusive forum for resolving any complaints 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This exclusive forum provision will not apply to any causes of action arising under the Exchange Act or any other claim for which the federal courts have exclusive jurisdiction.</w:t>
      </w:r>
    </w:p>
    <w:p>
      <w:pPr>
        <w:spacing w:after="0" w:line="245"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Upon the completion of this offering, the transfer agent and registrar for our common stock will be American Stock Transfer &amp; Trust Company. The transfer agent and registrar’s address is 6201 15th Avenue, Brooklyn, NY 11219.</w:t>
      </w:r>
    </w:p>
    <w:p>
      <w:pPr>
        <w:spacing w:after="0" w:line="238"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Limitations of Liability and Indemnification</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See the section titled “Certain Relationships and Related Party Transactions—Limitation of Liability and Indemnification of Officers and Directors.”</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Listing</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common stock on the Nasdaq Global Select Market under the symbol “UPST”.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209</w:t>
      </w:r>
    </w:p>
    <w:p>
      <w:pPr>
        <w:sectPr>
          <w:pgSz w:w="11900" w:h="16838" w:orient="portrait"/>
          <w:cols w:equalWidth="0" w:num="1">
            <w:col w:w="10200"/>
          </w:cols>
          <w:pgMar w:left="320" w:top="407" w:right="137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SHARES ELIGIBLE FOR FUTURE SALE</w:t>
      </w:r>
    </w:p>
    <w:p>
      <w:pPr>
        <w:spacing w:after="0" w:line="19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Following the completion of this offering, based on the number of shares of our capital stock outstanding as of September 30, 2020, we will have a total of 72,460,881 shares of our common stock outstanding. Of these outstanding shares, all 12,015,690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remaining outstanding shares of our common stock will be, and shares subject to stock options will be upon issuance,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in the section titled “Description of Capital Stock—Registration Rights,” and subject to the provisions of Rule 144 or Rule 701, shares of our common stock will be available for sale in the public market as follows:</w:t>
      </w:r>
    </w:p>
    <w:p>
      <w:pPr>
        <w:spacing w:after="0" w:line="94" w:lineRule="exact"/>
        <w:rPr>
          <w:sz w:val="20"/>
          <w:szCs w:val="20"/>
          <w:color w:val="auto"/>
        </w:rPr>
      </w:pPr>
    </w:p>
    <w:p>
      <w:pPr>
        <w:ind w:left="1660" w:right="340" w:hanging="183"/>
        <w:spacing w:after="0" w:line="245"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beginning on the date of this prospectus, all 12,015,690 shares of our common stock sold in this offering will be immediately available for sale in the public market; and</w:t>
      </w:r>
    </w:p>
    <w:p>
      <w:pPr>
        <w:spacing w:after="0" w:line="87" w:lineRule="exact"/>
        <w:rPr>
          <w:rFonts w:ascii="Arial" w:cs="Arial" w:eastAsia="Arial" w:hAnsi="Arial"/>
          <w:sz w:val="15"/>
          <w:szCs w:val="15"/>
          <w:color w:val="auto"/>
        </w:rPr>
      </w:pPr>
    </w:p>
    <w:p>
      <w:pPr>
        <w:ind w:left="1660" w:right="20" w:hanging="183"/>
        <w:spacing w:after="0"/>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beginning 181 days after the date of this prospectus (subject to the terms of the lock-up and market standoff agreements described below) all remaining shares will become eligible for sale in the public market, subject in some cases to the volume and other restrictions of Rule 144, as described below.</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Lock-Up and Market Standoff Agreements</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connection with this offering, we and our officers and directors, the selling stockholders, and the other holders of our common stock, who collectively hold substantially all of our common stock and stock options, have agreed or will agree with the underwriters, subject to certain exceptions, not to offer, sell, contract to sell, pledge, grant any option to purchase, make any short sale of or otherwise transfer or dispose of, or hedge, any shares of our common stock, or any options or warrants to purchase any shares of our common stock, or any securities convertible into, exchangeable for or that represent the right to receive, shares of our common stock during the period from the date of this prospectus continuing through the date 180 days after the date of this prospectus, except with the prior written consent of Goldman Sachs &amp; Co. LLC, BofA Securities, Inc. and Citigroup Global Markets Inc. See the section titled “Underwriting.”</w:t>
      </w:r>
    </w:p>
    <w:p>
      <w:pPr>
        <w:spacing w:after="0" w:line="171"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initial public offering described above.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0200"/>
          </w:cols>
          <w:pgMar w:left="320" w:top="407" w:right="137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40" w:firstLine="460"/>
        <w:spacing w:after="0" w:line="238" w:lineRule="auto"/>
        <w:rPr>
          <w:sz w:val="20"/>
          <w:szCs w:val="20"/>
          <w:color w:val="auto"/>
        </w:rPr>
      </w:pPr>
      <w:r>
        <w:rPr>
          <w:rFonts w:ascii="Arial" w:cs="Arial" w:eastAsia="Arial" w:hAnsi="Arial"/>
          <w:sz w:val="15"/>
          <w:szCs w:val="15"/>
          <w:color w:val="auto"/>
        </w:rPr>
        <w:t>In addition, our executive officers, directors, and holders of substantially all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Rule 144</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1"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general, Rule 144 provides that our affiliates or persons selling shares of our common stock on behalf of our affiliates are entitled to sell upon expiration of the market standoff agreements and lock-up agreements described above, within any three-month period, a number of shares of our common stock that does not exceed the greater of:</w:t>
      </w:r>
    </w:p>
    <w:p>
      <w:pPr>
        <w:spacing w:after="0" w:line="91" w:lineRule="exact"/>
        <w:rPr>
          <w:sz w:val="20"/>
          <w:szCs w:val="20"/>
          <w:color w:val="auto"/>
        </w:rPr>
      </w:pPr>
    </w:p>
    <w:p>
      <w:pPr>
        <w:ind w:left="1660" w:right="620" w:hanging="183"/>
        <w:spacing w:after="0" w:line="245"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1% of the number of shares of our capital stock then outstanding, which will equal 724,609 shares immediately after the completion of this offering; or</w:t>
      </w:r>
    </w:p>
    <w:p>
      <w:pPr>
        <w:spacing w:after="0" w:line="8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average weekly trading volume of our common stock during the four calendar weeks preceding the filing of a notice on Form 144 with respect to that sale.</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Sales of our common stock made in reliance upon Rule 144 by our affiliates or persons selling shares of our common stock on behalf of our affiliates are also subject to certain manner of sale provisions and notice requirements and to the availability of current public information about us.</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4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jc w:val="both"/>
        <w:ind w:left="1020" w:right="180" w:firstLine="460"/>
        <w:spacing w:after="0"/>
        <w:rPr>
          <w:sz w:val="20"/>
          <w:szCs w:val="20"/>
          <w:color w:val="auto"/>
        </w:rPr>
      </w:pPr>
      <w:r>
        <w:rPr>
          <w:rFonts w:ascii="Arial" w:cs="Arial" w:eastAsia="Arial" w:hAnsi="Arial"/>
          <w:sz w:val="15"/>
          <w:szCs w:val="15"/>
          <w:color w:val="auto"/>
        </w:rPr>
        <w:t>Pursuant to the IRA, after the completion of this offering, the holders of up to 59,949,785 shares of our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0200"/>
          </w:cols>
          <w:pgMar w:left="320" w:top="407" w:right="137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offer and sale of these shares of our common stock are registered, the shares will be freely tradable without restriction under the Securities Act, subject to the Rule 144 limitations applicable to affiliates, and a large number of shares may be sold into the public market.</w:t>
      </w:r>
    </w:p>
    <w:p>
      <w:pPr>
        <w:spacing w:after="0" w:line="238"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Registration Statement</w:t>
      </w:r>
    </w:p>
    <w:p>
      <w:pPr>
        <w:spacing w:after="0" w:line="19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We intend to file a registration statement on Form S-8 under the Securities Act promptly after the effectiveness of the registration statement of which this prospectus forms a part to register shares of our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212</w:t>
      </w:r>
    </w:p>
    <w:p>
      <w:pPr>
        <w:sectPr>
          <w:pgSz w:w="11900" w:h="16838" w:orient="portrait"/>
          <w:cols w:equalWidth="0" w:num="1">
            <w:col w:w="10160"/>
          </w:cols>
          <w:pgMar w:left="320" w:top="407" w:right="141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MATERIAL U.S. FEDERAL INCOME TAX CONSEQUENCES TO NON-U.S. HOLDERS OF OUR COMMON STOCK</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following is a summary of the material U.S. federal income tax consequences to certain non-U.S. holders (as defined below) of the ownership and disposition of our common stock,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possibly retroactively, so as to result in U.S. federal income tax consequences different from those set forth below.</w:t>
      </w:r>
    </w:p>
    <w:p>
      <w:pPr>
        <w:spacing w:after="0" w:line="170"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This summary does not address the tax considerations arising under the laws of any state, local or non-U.S. jurisdiction, or under U.S. federal gift and estate tax laws. In addition, this discussion does not address tax considerations applicable to a non-U.S. holder’s particular circumstances or non-U.S. holders that may be subject to special tax rules, including, without limitation:</w:t>
      </w:r>
    </w:p>
    <w:p>
      <w:pPr>
        <w:spacing w:after="0" w:line="91" w:lineRule="exact"/>
        <w:rPr>
          <w:sz w:val="20"/>
          <w:szCs w:val="20"/>
          <w:color w:val="auto"/>
        </w:rPr>
      </w:pPr>
    </w:p>
    <w:p>
      <w:pPr>
        <w:ind w:left="1660" w:hanging="183"/>
        <w:spacing w:after="0" w:line="245"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 (except to the extent specifically set forth below), regulated investment companies or real estate investment trusts;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persons subject to the alternative minimum tax or Medicare contribution tax on net investment income;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pension plans or tax-exempt retirement plans;</w:t>
      </w:r>
    </w:p>
    <w:p>
      <w:pPr>
        <w:spacing w:after="0" w:line="9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brokers or dealers in securities or currencies;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traders in securities or other persons that elect to use a mark-to-market method of accounting for their holdings in our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persons that own, or are deemed to own, more than 5% of our capital stock (except to the extent specifically set forth below);</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partnerships, entities or arrangements classified as partnerships for U.S. federal income tax purposes or other pass-through entities (and investors therein);</w:t>
      </w:r>
    </w:p>
    <w:p>
      <w:pPr>
        <w:spacing w:after="0" w:line="8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persons who hold our common stock as a position in a hedging transaction, “straddle,” “conversion transaction” or other risk reduction transaction or integrated investment;</w:t>
      </w:r>
    </w:p>
    <w:p>
      <w:pPr>
        <w:spacing w:after="0" w:line="87" w:lineRule="exact"/>
        <w:rPr>
          <w:rFonts w:ascii="Arial" w:cs="Arial" w:eastAsia="Arial" w:hAnsi="Arial"/>
          <w:sz w:val="15"/>
          <w:szCs w:val="15"/>
          <w:color w:val="auto"/>
        </w:rPr>
      </w:pPr>
    </w:p>
    <w:p>
      <w:pPr>
        <w:ind w:left="1660" w:right="680" w:hanging="183"/>
        <w:spacing w:after="0" w:line="245"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8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persons who do not hold our common stock as a capital asset within the meaning of Section 1221 of the Code;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177"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In addition, if a partnership, including an entity or arrangement classified as a partnership for U.S. federal income tax purposes, holds our common stock, the tax treatment of a partner generally will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0180"/>
          </w:cols>
          <w:pgMar w:left="320" w:top="407" w:right="139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depend on the status of the partner and upon the activities of the partnership. Accordingly, partnerships that hold our common stock, and partners in such partnerships, should consult their tax advisors regarding the tax consequences of the ownership and disposition of our common stock through a partnership.</w:t>
      </w:r>
    </w:p>
    <w:p>
      <w:pPr>
        <w:spacing w:after="0" w:line="152"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3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Non-U.S. Holder Defined</w:t>
      </w:r>
    </w:p>
    <w:p>
      <w:pPr>
        <w:spacing w:after="0" w:line="195" w:lineRule="exact"/>
        <w:rPr>
          <w:sz w:val="20"/>
          <w:szCs w:val="20"/>
          <w:color w:val="auto"/>
        </w:rPr>
      </w:pPr>
    </w:p>
    <w:p>
      <w:pPr>
        <w:ind w:left="1020" w:right="400" w:firstLine="460"/>
        <w:spacing w:after="0"/>
        <w:rPr>
          <w:sz w:val="20"/>
          <w:szCs w:val="20"/>
          <w:color w:val="auto"/>
        </w:rPr>
      </w:pPr>
      <w:r>
        <w:rPr>
          <w:rFonts w:ascii="Arial" w:cs="Arial" w:eastAsia="Arial" w:hAnsi="Arial"/>
          <w:sz w:val="15"/>
          <w:szCs w:val="15"/>
          <w:color w:val="auto"/>
        </w:rPr>
        <w:t>For purposes of this discussion, you are a non-U.S. holder if you are any beneficial owner of our common stock that is not a partnership (including an entity or arrangement treated as a partnership for U.S. federal income tax purposes) and are not any of the following:</w:t>
      </w:r>
    </w:p>
    <w:p>
      <w:pPr>
        <w:spacing w:after="0" w:line="91" w:lineRule="exact"/>
        <w:rPr>
          <w:sz w:val="20"/>
          <w:szCs w:val="20"/>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(for U.S. federal income tax purposes);</w:t>
      </w:r>
    </w:p>
    <w:p>
      <w:pPr>
        <w:spacing w:after="0" w:line="9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created or organized in the United States or under the laws of the United States, any state thereof or the District of Columbia or other entity treated as such for U.S. federal income tax purposes;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 estate whose income is subject to U.S. federal income tax regardless of its source; or</w:t>
      </w:r>
    </w:p>
    <w:p>
      <w:pPr>
        <w:spacing w:after="0" w:line="97" w:lineRule="exact"/>
        <w:rPr>
          <w:rFonts w:ascii="Arial" w:cs="Arial" w:eastAsia="Arial" w:hAnsi="Arial"/>
          <w:sz w:val="15"/>
          <w:szCs w:val="15"/>
          <w:color w:val="auto"/>
        </w:rPr>
      </w:pPr>
    </w:p>
    <w:p>
      <w:pPr>
        <w:ind w:left="1660" w:right="80" w:hanging="183"/>
        <w:spacing w:after="0" w:line="235"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 trust (x) whose administration is subject to the primary supervision of a U.S. court and which has one or more “U.S. persons” (within the meaning of Section 7701(a)(30) of the Code) who have the authority to control all substantial decisions of the trust or</w:t>
      </w:r>
    </w:p>
    <w:p>
      <w:pPr>
        <w:ind w:left="1660"/>
        <w:spacing w:after="0"/>
        <w:rPr>
          <w:rFonts w:ascii="Arial" w:cs="Arial" w:eastAsia="Arial" w:hAnsi="Arial"/>
          <w:sz w:val="15"/>
          <w:szCs w:val="15"/>
          <w:color w:val="auto"/>
        </w:rPr>
      </w:pPr>
      <w:r>
        <w:rPr>
          <w:rFonts w:ascii="Arial" w:cs="Arial" w:eastAsia="Arial" w:hAnsi="Arial"/>
          <w:sz w:val="15"/>
          <w:szCs w:val="15"/>
          <w:color w:val="auto"/>
        </w:rPr>
        <w:t>(y) which has made a valid election to be treated as a U.S. person.</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described in the section titled “Dividend Policy,” we have never declared or paid cash dividends on our capital stock and do not anticipate paying any dividends on our capital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as described below under “—Gain on Disposition of Our Common Stock.”</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Except as otherwise described below in the discussion on effectively connected income and the sections titled “–Backup Withholding and Information Reporting” and “–FATCA,” any dividend paid to you generally will be subject to U.S. federal withholding tax either at a rate of 30% of the gross amount of the dividend or such lower rate as may be specified by an applicable income tax treaty. If you are eligible for exemption of U.S. federal withholding tax pursuant to an income tax treaty, you may be entitled to a refund or credit of any excess tax withheld by timely filing an appropriate claim with the IRS.</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order to be subject to withholding at a reduced treaty rate, you must provide us with an IRS Form W-8BEN, IRS Form W-8BEN-E or other appropriate version of IRS Form W-8, including any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00"/>
          </w:cols>
          <w:pgMar w:left="320" w:top="407" w:right="137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required attachments and your taxpayer identification number, certifying qualification for the exemption; additionally, you will be required to update such forms and certifications from time to time as required by law. If you hold our stock through a financial institution or other agent acting on your behalf, you will be required to provide appropriate documentation to the agent, which then will be required to provide certification to us or our paying agent, either directly or through other intermediaries. You should consult your tax advisor regarding entitlement to benefits under any applicable income tax treaties.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Dividends received by you that are effectively connected with your conduct of a U.S. trade or business (and, if required by an applicable income tax treaty, attributable to a permanent establishment or fixed base maintained by you in the United States) are generally exempt from such withholding tax. In order to obtain this exemption, you must provide us with an IRS Form W-8ECI, including any required attachments and your taxpayer identification number, certifying qualification for the exemption; additionally, you will be required to update such forms and certifications from time to time as required by law. Such effectively connected dividends, although not subject to withholding tax, are includable on your U.S. income tax return and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46"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Gain on Disposition of Our Common Stock</w:t>
      </w:r>
    </w:p>
    <w:p>
      <w:pPr>
        <w:spacing w:after="0" w:line="195"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Except as otherwise described below in the section titled “–Backup Withholding and Information Reporting” and “–FATCA,” you generally will not be subject to U.S. federal income tax on any gain realized upon the sale or other disposition of our common stock unless:</w:t>
      </w:r>
    </w:p>
    <w:p>
      <w:pPr>
        <w:spacing w:after="0" w:line="91" w:lineRule="exact"/>
        <w:rPr>
          <w:sz w:val="20"/>
          <w:szCs w:val="20"/>
          <w:color w:val="auto"/>
        </w:rPr>
      </w:pPr>
    </w:p>
    <w:p>
      <w:pPr>
        <w:ind w:left="1660" w:right="400" w:hanging="183"/>
        <w:spacing w:after="0" w:line="245"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gain is effectively connected with your conduct of a U.S. trade or business (and, if required by an applicable income tax treaty, is attributable to a permanent establishment or fixed base maintained by you in the United States);</w:t>
      </w:r>
    </w:p>
    <w:p>
      <w:pPr>
        <w:spacing w:after="0" w:line="8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87" w:lineRule="exact"/>
        <w:rPr>
          <w:rFonts w:ascii="Arial" w:cs="Arial" w:eastAsia="Arial" w:hAnsi="Arial"/>
          <w:sz w:val="15"/>
          <w:szCs w:val="15"/>
          <w:color w:val="auto"/>
        </w:rPr>
      </w:pPr>
    </w:p>
    <w:p>
      <w:pPr>
        <w:ind w:left="1660" w:right="40" w:hanging="183"/>
        <w:spacing w:after="0" w:line="238"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 and, in the case where shares of our common stock are regularly traded on an established securities market, you own, or are treated as owning, more than 5% of our common stock at any time during the foregoing period.</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a United States real property interest only if you actually or constructively hold more than 5% of such regularly traded common stock at any time during the shorter of the five-year period preceding your disposition of, or your holding period for, our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200"/>
          </w:cols>
          <w:pgMar w:left="320" w:top="407" w:right="137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43"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95"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Payments of dividends or of proceeds from the disposition of our common stock made to you may be subject to information reporting and backup withholding at a current rate of 24% unless you establish an exemption, for example, by properly certifying your non-U.S. status on an IRS Form W-8BEN, IRS Form W-8BEN-E or another appropriate version of IRS Form W-8. Any documentation provided to an applicable withholding agent may need to be updated in certain circumstances. Notwithstanding the foregoing, backup withholding and information reporting may apply if either we or our paying agent has actual knowledge, or reason to know, that you are a U.S. person.</w:t>
      </w:r>
    </w:p>
    <w:p>
      <w:pPr>
        <w:spacing w:after="0" w:line="170"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 -U.S. holders should consult their own tax advisors regarding the application of the information reporting and backup withholding rules to them.</w:t>
      </w:r>
    </w:p>
    <w:p>
      <w:pPr>
        <w:spacing w:after="0" w:line="170"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Backup withholding is not an additional tax; rather, the U.S. federal income tax liability of persons subject to backup withholding will be reduced by the amount of tax withheld under the backup withholding rules. If backup withholding results in an overpayment of taxes, a refund or credit may generally be obtained from the IRS, provided that the required information is furnished to the IRS in a timely manner.</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FATCA</w:t>
      </w:r>
    </w:p>
    <w:p>
      <w:pPr>
        <w:spacing w:after="0" w:line="19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The Foreign Account Tax Compliance Act and the rules and Treasury regulations promulgated thereunder, or collectively, FATCA, generally impose U.S. federal withholding tax at a rate of 30% on dividends on and (subject to the proposed Treasury regulations discussed below) the gross proceeds from a sale or other disposition of our common stock paid to a “foreign financial institution”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200"/>
          </w:cols>
          <w:pgMar w:left="320" w:top="407" w:right="137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for purposes of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common stock. While withholding under FATCA would have applied also to payments of gross proceeds from the sale or other disposition of our common stock on or after January 1, 2019, proposed Treasury regulations provide that the withholding provisions under FATCA do not apply with respect to the payment of gross proceeds from a sale or other disposition of our common stock. These proposed Treasury regulations may be relied upon by taxpayers until final Treasury regulations are issued. An intergovernmental agreement between the United States and your country of tax residence may modify the requirements described in this paragraph. Non-U.S. holders should consult their own tax advisors regarding the possible implications of FATCA on their investment in our common stock.</w:t>
      </w:r>
    </w:p>
    <w:p>
      <w:pPr>
        <w:spacing w:after="0" w:line="155" w:lineRule="exact"/>
        <w:rPr>
          <w:sz w:val="20"/>
          <w:szCs w:val="20"/>
          <w:color w:val="auto"/>
        </w:rPr>
      </w:pPr>
    </w:p>
    <w:p>
      <w:pPr>
        <w:jc w:val="both"/>
        <w:ind w:left="1020" w:right="260" w:firstLine="460"/>
        <w:spacing w:after="0" w:line="252"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160"/>
          </w:cols>
          <w:pgMar w:left="320" w:top="407" w:right="141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UNDERWRITING</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the selling stockholders and the underwriters named below have entered into an underwriting agreement with respect to the shares being offered. Subject to certain conditions, each underwriter will severally agree to purchase the number of shares indicated in the following table. Goldman Sachs &amp; Co. LLC, BofA Securities, Inc. and Citigroup Global Markets Inc. are the representatives of the underwriters.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65"/>
        </w:trPr>
        <w:tc>
          <w:tcPr>
            <w:tcW w:w="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Underwriters</w:t>
            </w:r>
          </w:p>
        </w:tc>
        <w:tc>
          <w:tcPr>
            <w:tcW w:w="736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98"/>
              </w:rPr>
              <w:t>Number of Shares</w:t>
            </w:r>
          </w:p>
        </w:tc>
      </w:tr>
      <w:tr>
        <w:trPr>
          <w:trHeight w:val="129"/>
        </w:trPr>
        <w:tc>
          <w:tcPr>
            <w:tcW w:w="81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Goldman Sachs &amp; Co. LLC</w:t>
            </w:r>
          </w:p>
        </w:tc>
        <w:tc>
          <w:tcPr>
            <w:tcW w:w="10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9"/>
        </w:trPr>
        <w:tc>
          <w:tcPr>
            <w:tcW w:w="8120" w:type="dxa"/>
            <w:vAlign w:val="bottom"/>
            <w:gridSpan w:val="2"/>
          </w:tcPr>
          <w:p>
            <w:pPr>
              <w:spacing w:after="0" w:line="159" w:lineRule="exact"/>
              <w:rPr>
                <w:sz w:val="20"/>
                <w:szCs w:val="20"/>
                <w:color w:val="auto"/>
              </w:rPr>
            </w:pPr>
            <w:r>
              <w:rPr>
                <w:rFonts w:ascii="Arial" w:cs="Arial" w:eastAsia="Arial" w:hAnsi="Arial"/>
                <w:sz w:val="14"/>
                <w:szCs w:val="14"/>
                <w:color w:val="auto"/>
              </w:rPr>
              <w:t>BofA Securities, Inc.</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8120" w:type="dxa"/>
            <w:vAlign w:val="bottom"/>
            <w:gridSpan w:val="2"/>
          </w:tcPr>
          <w:p>
            <w:pPr>
              <w:spacing w:after="0"/>
              <w:rPr>
                <w:sz w:val="20"/>
                <w:szCs w:val="20"/>
                <w:color w:val="auto"/>
              </w:rPr>
            </w:pPr>
            <w:r>
              <w:rPr>
                <w:rFonts w:ascii="Arial" w:cs="Arial" w:eastAsia="Arial" w:hAnsi="Arial"/>
                <w:sz w:val="14"/>
                <w:szCs w:val="14"/>
                <w:color w:val="auto"/>
              </w:rPr>
              <w:t>Citigroup Global Markets Inc.</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0"/>
        </w:trPr>
        <w:tc>
          <w:tcPr>
            <w:tcW w:w="8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Jefferies LLC</w:t>
            </w: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8120" w:type="dxa"/>
            <w:vAlign w:val="bottom"/>
            <w:gridSpan w:val="2"/>
          </w:tcPr>
          <w:p>
            <w:pPr>
              <w:spacing w:after="0" w:line="158" w:lineRule="exact"/>
              <w:rPr>
                <w:sz w:val="20"/>
                <w:szCs w:val="20"/>
                <w:color w:val="auto"/>
              </w:rPr>
            </w:pPr>
            <w:r>
              <w:rPr>
                <w:rFonts w:ascii="Arial" w:cs="Arial" w:eastAsia="Arial" w:hAnsi="Arial"/>
                <w:sz w:val="14"/>
                <w:szCs w:val="14"/>
                <w:color w:val="auto"/>
              </w:rPr>
              <w:t>Barclays Capital Inc.</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1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JMP Securities LLC</w:t>
            </w: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0"/>
        </w:trPr>
        <w:tc>
          <w:tcPr>
            <w:tcW w:w="8120" w:type="dxa"/>
            <w:vAlign w:val="bottom"/>
            <w:gridSpan w:val="2"/>
          </w:tcPr>
          <w:p>
            <w:pPr>
              <w:spacing w:after="0" w:line="158" w:lineRule="exact"/>
              <w:rPr>
                <w:sz w:val="20"/>
                <w:szCs w:val="20"/>
                <w:color w:val="auto"/>
              </w:rPr>
            </w:pPr>
            <w:r>
              <w:rPr>
                <w:rFonts w:ascii="Arial" w:cs="Arial" w:eastAsia="Arial" w:hAnsi="Arial"/>
                <w:sz w:val="14"/>
                <w:szCs w:val="14"/>
                <w:color w:val="auto"/>
              </w:rPr>
              <w:t>Blaylock Van, LLC</w:t>
            </w:r>
          </w:p>
        </w:tc>
        <w:tc>
          <w:tcPr>
            <w:tcW w:w="10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1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10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12,015,690</w:t>
            </w:r>
          </w:p>
        </w:tc>
      </w:tr>
      <w:tr>
        <w:trPr>
          <w:trHeight w:val="20"/>
        </w:trPr>
        <w:tc>
          <w:tcPr>
            <w:tcW w:w="7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The underwriters will be committed to take and pay for all of the shares being offered, if any are taken, other than the shares covered by the option described below unless and until this option is exercised.</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underwriters will have an option to buy up to an additional 1,802,353 shares from certain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The underwriters will receive the same discount from any shares of common stock sold to such entities as they will from any other shares of common stock sold to the public in this offering.</w:t>
      </w:r>
    </w:p>
    <w:p>
      <w:pPr>
        <w:spacing w:after="0" w:line="172"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and the selling stockholders in connection with this offering. Such amounts are shown assuming both no exercise and full exercise of the underwriters’ option to purchase 1,802,353 additional shares.</w:t>
      </w:r>
    </w:p>
    <w:p>
      <w:pPr>
        <w:spacing w:after="0" w:line="152"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Paid by us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2040" w:type="dxa"/>
            <w:vAlign w:val="bottom"/>
            <w:tcBorders>
              <w:bottom w:val="single" w:sz="8" w:color="CCEEFF"/>
            </w:tcBorders>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No Exercise</w:t>
            </w:r>
          </w:p>
        </w:tc>
        <w:tc>
          <w:tcPr>
            <w:tcW w:w="8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Full Exercise</w:t>
            </w:r>
          </w:p>
        </w:tc>
        <w:tc>
          <w:tcPr>
            <w:tcW w:w="40" w:type="dxa"/>
            <w:vAlign w:val="bottom"/>
            <w:tcBorders>
              <w:bottom w:val="single" w:sz="8" w:color="CCEEFF"/>
            </w:tcBorders>
          </w:tcPr>
          <w:p>
            <w:pPr>
              <w:spacing w:after="0"/>
              <w:rPr>
                <w:sz w:val="12"/>
                <w:szCs w:val="12"/>
                <w:color w:val="auto"/>
              </w:rPr>
            </w:pPr>
          </w:p>
        </w:tc>
      </w:tr>
      <w:tr>
        <w:trPr>
          <w:trHeight w:val="149"/>
        </w:trPr>
        <w:tc>
          <w:tcPr>
            <w:tcW w:w="20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Per Share</w:t>
            </w:r>
          </w:p>
        </w:tc>
        <w:tc>
          <w:tcPr>
            <w:tcW w:w="5540" w:type="dxa"/>
            <w:vAlign w:val="bottom"/>
            <w:gridSpan w:val="2"/>
            <w:shd w:val="clear" w:color="auto" w:fill="CCEEFF"/>
          </w:tcPr>
          <w:p>
            <w:pPr>
              <w:ind w:left="48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64"/>
        </w:trPr>
        <w:tc>
          <w:tcPr>
            <w:tcW w:w="2040" w:type="dxa"/>
            <w:vAlign w:val="bottom"/>
          </w:tcPr>
          <w:p>
            <w:pPr>
              <w:spacing w:after="0"/>
              <w:rPr>
                <w:sz w:val="20"/>
                <w:szCs w:val="20"/>
                <w:color w:val="auto"/>
              </w:rPr>
            </w:pPr>
            <w:r>
              <w:rPr>
                <w:rFonts w:ascii="Arial" w:cs="Arial" w:eastAsia="Arial" w:hAnsi="Arial"/>
                <w:sz w:val="14"/>
                <w:szCs w:val="14"/>
                <w:color w:val="auto"/>
              </w:rPr>
              <w:t>Total</w:t>
            </w:r>
          </w:p>
        </w:tc>
        <w:tc>
          <w:tcPr>
            <w:tcW w:w="5540" w:type="dxa"/>
            <w:vAlign w:val="bottom"/>
            <w:gridSpan w:val="2"/>
          </w:tcPr>
          <w:p>
            <w:pPr>
              <w:ind w:left="48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353"/>
        </w:trPr>
        <w:tc>
          <w:tcPr>
            <w:tcW w:w="2040" w:type="dxa"/>
            <w:vAlign w:val="bottom"/>
          </w:tcPr>
          <w:p>
            <w:pPr>
              <w:spacing w:after="0"/>
              <w:rPr>
                <w:sz w:val="24"/>
                <w:szCs w:val="24"/>
                <w:color w:val="auto"/>
              </w:rPr>
            </w:pPr>
          </w:p>
        </w:tc>
        <w:tc>
          <w:tcPr>
            <w:tcW w:w="5540" w:type="dxa"/>
            <w:vAlign w:val="bottom"/>
            <w:gridSpan w:val="2"/>
          </w:tcPr>
          <w:p>
            <w:pPr>
              <w:ind w:left="1420"/>
              <w:spacing w:after="0"/>
              <w:rPr>
                <w:sz w:val="20"/>
                <w:szCs w:val="20"/>
                <w:color w:val="auto"/>
              </w:rPr>
            </w:pPr>
            <w:r>
              <w:rPr>
                <w:rFonts w:ascii="Arial" w:cs="Arial" w:eastAsia="Arial" w:hAnsi="Arial"/>
                <w:sz w:val="15"/>
                <w:szCs w:val="15"/>
                <w:b w:val="1"/>
                <w:bCs w:val="1"/>
                <w:color w:val="auto"/>
              </w:rPr>
              <w:t>Paid by the selling stockholders</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8"/>
        </w:trPr>
        <w:tc>
          <w:tcPr>
            <w:tcW w:w="204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No Exercise</w:t>
            </w:r>
          </w:p>
        </w:tc>
        <w:tc>
          <w:tcPr>
            <w:tcW w:w="8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Full Exercise</w:t>
            </w:r>
          </w:p>
        </w:tc>
        <w:tc>
          <w:tcPr>
            <w:tcW w:w="40" w:type="dxa"/>
            <w:vAlign w:val="bottom"/>
            <w:tcBorders>
              <w:bottom w:val="single" w:sz="8" w:color="CCEEFF"/>
            </w:tcBorders>
          </w:tcPr>
          <w:p>
            <w:pPr>
              <w:spacing w:after="0"/>
              <w:rPr>
                <w:sz w:val="24"/>
                <w:szCs w:val="24"/>
                <w:color w:val="auto"/>
              </w:rPr>
            </w:pPr>
          </w:p>
        </w:tc>
      </w:tr>
      <w:tr>
        <w:trPr>
          <w:trHeight w:val="149"/>
        </w:trPr>
        <w:tc>
          <w:tcPr>
            <w:tcW w:w="20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Per Share</w:t>
            </w:r>
          </w:p>
        </w:tc>
        <w:tc>
          <w:tcPr>
            <w:tcW w:w="5540" w:type="dxa"/>
            <w:vAlign w:val="bottom"/>
            <w:gridSpan w:val="2"/>
            <w:shd w:val="clear" w:color="auto" w:fill="CCEEFF"/>
          </w:tcPr>
          <w:p>
            <w:pPr>
              <w:ind w:left="48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64"/>
        </w:trPr>
        <w:tc>
          <w:tcPr>
            <w:tcW w:w="2040" w:type="dxa"/>
            <w:vAlign w:val="bottom"/>
          </w:tcPr>
          <w:p>
            <w:pPr>
              <w:spacing w:after="0"/>
              <w:rPr>
                <w:sz w:val="20"/>
                <w:szCs w:val="20"/>
                <w:color w:val="auto"/>
              </w:rPr>
            </w:pPr>
            <w:r>
              <w:rPr>
                <w:rFonts w:ascii="Arial" w:cs="Arial" w:eastAsia="Arial" w:hAnsi="Arial"/>
                <w:sz w:val="14"/>
                <w:szCs w:val="14"/>
                <w:color w:val="auto"/>
              </w:rPr>
              <w:t>Total</w:t>
            </w:r>
          </w:p>
        </w:tc>
        <w:tc>
          <w:tcPr>
            <w:tcW w:w="5540" w:type="dxa"/>
            <w:vAlign w:val="bottom"/>
            <w:gridSpan w:val="2"/>
          </w:tcPr>
          <w:p>
            <w:pPr>
              <w:ind w:left="48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bl>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20"/>
          </w:cols>
          <w:pgMar w:left="320" w:top="407" w:right="135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Shares sold by the underwriters to the public will initially be offered at the initial public offering price set forth on the cover of this</w:t>
      </w:r>
    </w:p>
    <w:p>
      <w:pPr>
        <w:jc w:val="both"/>
        <w:ind w:left="1020" w:right="20"/>
        <w:spacing w:after="0" w:line="238" w:lineRule="auto"/>
        <w:rPr>
          <w:sz w:val="20"/>
          <w:szCs w:val="20"/>
          <w:color w:val="auto"/>
        </w:rPr>
      </w:pPr>
      <w:r>
        <w:rPr>
          <w:rFonts w:ascii="Arial" w:cs="Arial" w:eastAsia="Arial" w:hAnsi="Arial"/>
          <w:sz w:val="15"/>
          <w:szCs w:val="15"/>
          <w:color w:val="auto"/>
        </w:rPr>
        <w:t>prospectus. Any shares sold by the underwriters to securities dealers may be sold at a discount of up to $ per share from the initial public offering price. After the initial offering of our common stock, the representatives may change the offering price and the other selling terms. The offering of our common stock by the underwriters is subject to receipt and acceptance and subject to the underwriters’ right to reject any order in whole or in part.</w:t>
      </w:r>
    </w:p>
    <w:p>
      <w:pPr>
        <w:spacing w:after="0" w:line="172" w:lineRule="exact"/>
        <w:rPr>
          <w:sz w:val="20"/>
          <w:szCs w:val="20"/>
          <w:color w:val="auto"/>
        </w:rPr>
      </w:pPr>
    </w:p>
    <w:p>
      <w:pPr>
        <w:ind w:left="1020" w:right="300" w:firstLine="460"/>
        <w:spacing w:after="0" w:line="237" w:lineRule="auto"/>
        <w:rPr>
          <w:sz w:val="20"/>
          <w:szCs w:val="20"/>
          <w:color w:val="auto"/>
        </w:rPr>
      </w:pPr>
      <w:r>
        <w:rPr>
          <w:rFonts w:ascii="Arial" w:cs="Arial" w:eastAsia="Arial" w:hAnsi="Arial"/>
          <w:sz w:val="15"/>
          <w:szCs w:val="15"/>
          <w:color w:val="auto"/>
        </w:rPr>
        <w:t>We and our officers and directors, the selling stockholders, and the other holders of our common stock, who collectively hold substantially all of our common stock, have agreed with the underwriters, subject to certain exceptions, not to dispose of or hedge any common stock or securities convertible into or exchangeable for shares of common stock during the period from the date of such agreement continuing through the date 180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will be negotiated among the representatives and us. Among the factors to be considered in determining the initial public offering price of our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common stock on the Nasdaq Global Select Market under the symbol “UPST”.</w:t>
      </w:r>
    </w:p>
    <w:p>
      <w:pPr>
        <w:spacing w:after="0" w:line="177"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219</w:t>
      </w:r>
    </w:p>
    <w:p>
      <w:pPr>
        <w:sectPr>
          <w:pgSz w:w="11900" w:h="16838" w:orient="portrait"/>
          <w:cols w:equalWidth="0" w:num="1">
            <w:col w:w="10200"/>
          </w:cols>
          <w:pgMar w:left="320" w:top="407" w:right="137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80"/>
        <w:spacing w:after="0" w:line="238" w:lineRule="auto"/>
        <w:rPr>
          <w:sz w:val="20"/>
          <w:szCs w:val="20"/>
          <w:color w:val="auto"/>
        </w:rPr>
      </w:pPr>
      <w:r>
        <w:rPr>
          <w:rFonts w:ascii="Arial" w:cs="Arial" w:eastAsia="Arial" w:hAnsi="Arial"/>
          <w:sz w:val="15"/>
          <w:szCs w:val="15"/>
          <w:color w:val="auto"/>
        </w:rPr>
        <w:t>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2"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We estimate that our share of the total expenses of the offering, excluding underwriting discounts and commissions, will be approximately $8.9 million.</w:t>
      </w:r>
    </w:p>
    <w:p>
      <w:pPr>
        <w:spacing w:after="0" w:line="166"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We agree to reimburse the underwriters for expenses related to any applicable state securities filings and to the Financial Industry Regulatory Authority, Inc. incurred by them in connection with this offering in an amount up to $35,000. We and the selling stockholders will also agree to indemnify the several underwriters against certain liabilities, including liabilities under the Securities Act of 1933.</w:t>
      </w:r>
    </w:p>
    <w:p>
      <w:pPr>
        <w:spacing w:after="0" w:line="170"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An affiliate of Goldman Sachs &amp; Co. LLC serves as a lender under a revolving credit facility entered into with one of our consolidated variable interest entities. Goldman Sachs</w:t>
      </w:r>
    </w:p>
    <w:p>
      <w:pPr>
        <w:spacing w:after="0" w:line="1" w:lineRule="exact"/>
        <w:rPr>
          <w:sz w:val="20"/>
          <w:szCs w:val="20"/>
          <w:color w:val="auto"/>
        </w:rPr>
      </w:pPr>
    </w:p>
    <w:p>
      <w:pPr>
        <w:ind w:left="1020" w:firstLine="7"/>
        <w:spacing w:after="0" w:line="238" w:lineRule="auto"/>
        <w:tabs>
          <w:tab w:leader="none" w:pos="1162" w:val="left"/>
        </w:tabs>
        <w:numPr>
          <w:ilvl w:val="0"/>
          <w:numId w:val="131"/>
        </w:numPr>
        <w:rPr>
          <w:rFonts w:ascii="Arial" w:cs="Arial" w:eastAsia="Arial" w:hAnsi="Arial"/>
          <w:sz w:val="15"/>
          <w:szCs w:val="15"/>
          <w:color w:val="auto"/>
        </w:rPr>
      </w:pPr>
      <w:r>
        <w:rPr>
          <w:rFonts w:ascii="Arial" w:cs="Arial" w:eastAsia="Arial" w:hAnsi="Arial"/>
          <w:sz w:val="15"/>
          <w:szCs w:val="15"/>
          <w:color w:val="auto"/>
        </w:rPr>
        <w:t>Co. LLC or other affiliates of the same serve or have served as securitizer for certain consumer loans originated by our bank partners, or co-sponsor for, initial purchaser with respect to, or an investor in, certain of such securitizations. Jefferies LLC or other affiliates of the same have also served as purchaser and securitizer for certain consumer loans originated by our bank partners, or initial purchaser with respect to those and certain other securitizations of consumer loans originated by our bank partners.</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relation to each Member State of the European Economic Area (each a “Member State”), no common stock has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80" w:lineRule="exact"/>
        <w:rPr>
          <w:sz w:val="20"/>
          <w:szCs w:val="20"/>
          <w:color w:val="auto"/>
        </w:rPr>
      </w:pPr>
    </w:p>
    <w:p>
      <w:pPr>
        <w:ind w:left="5500" w:right="2920" w:hanging="4198"/>
        <w:spacing w:after="0" w:line="417" w:lineRule="auto"/>
        <w:tabs>
          <w:tab w:leader="none" w:pos="1529"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Regulation; 220</w:t>
      </w:r>
    </w:p>
    <w:p>
      <w:pPr>
        <w:sectPr>
          <w:pgSz w:w="11900" w:h="16838" w:orient="portrait"/>
          <w:cols w:equalWidth="0" w:num="1">
            <w:col w:w="10220"/>
          </w:cols>
          <w:pgMar w:left="320" w:top="407" w:right="135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300" w:right="640" w:firstLine="2"/>
        <w:spacing w:after="0" w:line="245" w:lineRule="auto"/>
        <w:tabs>
          <w:tab w:leader="none" w:pos="1525" w:val="left"/>
        </w:tabs>
        <w:numPr>
          <w:ilvl w:val="0"/>
          <w:numId w:val="133"/>
        </w:numPr>
        <w:rPr>
          <w:rFonts w:ascii="Arial" w:cs="Arial" w:eastAsia="Arial" w:hAnsi="Arial"/>
          <w:sz w:val="15"/>
          <w:szCs w:val="15"/>
          <w:color w:val="auto"/>
        </w:rPr>
      </w:pPr>
      <w:r>
        <w:rPr>
          <w:rFonts w:ascii="Arial" w:cs="Arial" w:eastAsia="Arial" w:hAnsi="Arial"/>
          <w:sz w:val="15"/>
          <w:szCs w:val="15"/>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76" w:lineRule="exact"/>
        <w:rPr>
          <w:rFonts w:ascii="Arial" w:cs="Arial" w:eastAsia="Arial" w:hAnsi="Arial"/>
          <w:sz w:val="15"/>
          <w:szCs w:val="15"/>
          <w:color w:val="auto"/>
        </w:rPr>
      </w:pPr>
    </w:p>
    <w:p>
      <w:pPr>
        <w:ind w:left="1520" w:hanging="218"/>
        <w:spacing w:after="0"/>
        <w:tabs>
          <w:tab w:leader="none" w:pos="15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77"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provided that no such offer of common stock shall result in a requirement for us or any underwriter to publish a prospectus pursuant to Article 3 of the Prospectus Regulation or supplement a prospectus pursuant to Article 23 of the Prospectus Regulation.</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Each person in a Member State who initially acquires any common stock or to whom any offer is made will be deemed to have represented, acknowledged and agreed with us and the representatives that it is a qualified investor within the meaning of the Prospectus Regulation.</w:t>
      </w:r>
    </w:p>
    <w:p>
      <w:pPr>
        <w:spacing w:after="0" w:line="170"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In the case of any common stock being offered to a financial intermediary as that term is used in Article 5(1) of the Prospectus Regulation, each such financial intermediary will be deemed to have represented, acknowledged and agreed that the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72"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We, the underwriters and their affiliates will rely upon the truth and accuracy of the foregoing representations, acknowledgments and agreements.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any common stock in any Member State means the communication in any form and by any means of sufficient information on the terms of the offer and any common stock to be offered so as to enable an investor to decide to purchase or subscribe for our common stock, and the expression “Prospectus Regulation” means Regulation (EU) 2017/1129.</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Each underwriter has represented and agreed that:</w:t>
      </w:r>
    </w:p>
    <w:p>
      <w:pPr>
        <w:spacing w:after="0" w:line="87" w:lineRule="exact"/>
        <w:rPr>
          <w:sz w:val="20"/>
          <w:szCs w:val="20"/>
          <w:color w:val="auto"/>
        </w:rPr>
      </w:pPr>
    </w:p>
    <w:p>
      <w:pPr>
        <w:ind w:left="1300" w:right="40" w:firstLine="2"/>
        <w:spacing w:after="0" w:line="238" w:lineRule="auto"/>
        <w:tabs>
          <w:tab w:leader="none" w:pos="1525"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our common stock in circumstances in which Section 21(1) of the FSMA does not apply to the company; and</w:t>
      </w:r>
    </w:p>
    <w:p>
      <w:pPr>
        <w:spacing w:after="0" w:line="82" w:lineRule="exact"/>
        <w:rPr>
          <w:rFonts w:ascii="Arial" w:cs="Arial" w:eastAsia="Arial" w:hAnsi="Arial"/>
          <w:sz w:val="15"/>
          <w:szCs w:val="15"/>
          <w:color w:val="auto"/>
        </w:rPr>
      </w:pPr>
    </w:p>
    <w:p>
      <w:pPr>
        <w:ind w:left="1300" w:right="360" w:firstLine="2"/>
        <w:spacing w:after="0" w:line="245" w:lineRule="auto"/>
        <w:tabs>
          <w:tab w:leader="none" w:pos="1525"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it has complied and will comply with all applicable provisions of the FSMA with respect to anything done by it in relation to our common stock in, from or otherwise involving the United Kingdom.</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Canada</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00"/>
          </w:cols>
          <w:pgMar w:left="320" w:top="407" w:right="137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Hong Kong</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Singapore</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our common stock may not be circulated or distributed, nor may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Where our common stock is subscribed or purchased under Section 275 of the SFA by a relevant person which is a corporation</w:t>
      </w:r>
    </w:p>
    <w:p>
      <w:pPr>
        <w:ind w:left="1020"/>
        <w:spacing w:after="0" w:line="235" w:lineRule="auto"/>
        <w:rPr>
          <w:sz w:val="20"/>
          <w:szCs w:val="20"/>
          <w:color w:val="auto"/>
        </w:rPr>
      </w:pPr>
      <w:r>
        <w:rPr>
          <w:rFonts w:ascii="Arial" w:cs="Arial" w:eastAsia="Arial" w:hAnsi="Arial"/>
          <w:sz w:val="15"/>
          <w:szCs w:val="15"/>
          <w:color w:val="auto"/>
        </w:rPr>
        <w:t>(which is not an accredited investor (as defined in Section 4A of the SFA)) the sole business of which is to hold investments and the entire</w:t>
      </w:r>
    </w:p>
    <w:p>
      <w:pPr>
        <w:ind w:left="1020"/>
        <w:spacing w:after="0" w:line="235" w:lineRule="auto"/>
        <w:rPr>
          <w:sz w:val="20"/>
          <w:szCs w:val="20"/>
          <w:color w:val="auto"/>
        </w:rPr>
      </w:pPr>
      <w:r>
        <w:rPr>
          <w:rFonts w:ascii="Arial" w:cs="Arial" w:eastAsia="Arial" w:hAnsi="Arial"/>
          <w:sz w:val="15"/>
          <w:szCs w:val="15"/>
          <w:color w:val="auto"/>
        </w:rPr>
        <w:t>share capital of which is owned by one or more individuals, each of whom is an accredited investor, the securities (as defined in</w:t>
      </w:r>
    </w:p>
    <w:p>
      <w:pPr>
        <w:ind w:left="1020"/>
        <w:spacing w:after="0" w:line="235" w:lineRule="auto"/>
        <w:rPr>
          <w:sz w:val="20"/>
          <w:szCs w:val="20"/>
          <w:color w:val="auto"/>
        </w:rPr>
      </w:pPr>
      <w:r>
        <w:rPr>
          <w:rFonts w:ascii="Arial" w:cs="Arial" w:eastAsia="Arial" w:hAnsi="Arial"/>
          <w:sz w:val="15"/>
          <w:szCs w:val="15"/>
          <w:color w:val="auto"/>
        </w:rPr>
        <w:t>Section 239(1) of the SFA) of that corporation shall not be transferable for 6 months after that corporation has acquired our common stock</w:t>
      </w:r>
    </w:p>
    <w:p>
      <w:pPr>
        <w:ind w:left="1020"/>
        <w:spacing w:after="0" w:line="235" w:lineRule="auto"/>
        <w:rPr>
          <w:sz w:val="20"/>
          <w:szCs w:val="20"/>
          <w:color w:val="auto"/>
        </w:rPr>
      </w:pPr>
      <w:r>
        <w:rPr>
          <w:rFonts w:ascii="Arial" w:cs="Arial" w:eastAsia="Arial" w:hAnsi="Arial"/>
          <w:sz w:val="15"/>
          <w:szCs w:val="15"/>
          <w:color w:val="auto"/>
        </w:rPr>
        <w:t>under Section 275 of the SFA except: (1) to an institutional investor under Section 274 of the SFA or to a relevant person (as defined in</w:t>
      </w:r>
    </w:p>
    <w:p>
      <w:pPr>
        <w:ind w:left="1020"/>
        <w:spacing w:after="0" w:line="235" w:lineRule="auto"/>
        <w:rPr>
          <w:sz w:val="20"/>
          <w:szCs w:val="20"/>
          <w:color w:val="auto"/>
        </w:rPr>
      </w:pPr>
      <w:r>
        <w:rPr>
          <w:rFonts w:ascii="Arial" w:cs="Arial" w:eastAsia="Arial" w:hAnsi="Arial"/>
          <w:sz w:val="15"/>
          <w:szCs w:val="15"/>
          <w:color w:val="auto"/>
        </w:rPr>
        <w:t>Section 275(2) of the SFA), (2) where such transfer arises from an offer in that corporation’s securities pursuant to Section 275(1A) of the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SFA, (3) where no consideration is or will be given for the transfer, (4) where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00"/>
          </w:cols>
          <w:pgMar w:left="320" w:top="407" w:right="137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45" w:lineRule="auto"/>
        <w:rPr>
          <w:sz w:val="20"/>
          <w:szCs w:val="20"/>
          <w:color w:val="auto"/>
        </w:rPr>
      </w:pPr>
      <w:r>
        <w:rPr>
          <w:rFonts w:ascii="Arial" w:cs="Arial" w:eastAsia="Arial" w:hAnsi="Arial"/>
          <w:sz w:val="15"/>
          <w:szCs w:val="15"/>
          <w:color w:val="auto"/>
        </w:rPr>
        <w:t>the transfer is by operation of law, (5) as specified in Section 276(7) of the SFA, or (6) as specified in Regulation 32 of the Securities and Futures (Offers of Investments) (Shares and Debentures) Regulations 2005 of Singapore (“Regulation 32”).</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Where our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Japan</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Dubai International Financial Centre</w:t>
      </w:r>
    </w:p>
    <w:p>
      <w:pPr>
        <w:spacing w:after="0" w:line="105"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our common stock should conduct their own due diligence on such shares. If you do not understand the contents of this prospectus, you should consult an authorized financial advisor.</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Switzerland</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Neither this document nor any other offering or marketing material relating to the offering, our company or our common stock has been or will be filed with or approved by any Swiss regulatory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180"/>
          </w:cols>
          <w:pgMar w:left="320" w:top="407" w:right="139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authority. In particular, this document will not be filed with, and the offer of common stock will not be supervised by, the Swiss Financial Market Supervisory Authority and the offer of common stock has not been and will not be authorized under the Swiss Federal Act on Collective Investment Schemes (“CISA”). The investor protection afforded to acquirers of interests in collective investment schemes under the CISA does not extend to acquirers of common stock.</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0180"/>
          </w:cols>
          <w:pgMar w:left="320" w:top="407" w:right="139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VALIDITY OF COMMON STOCK</w:t>
      </w:r>
    </w:p>
    <w:p>
      <w:pPr>
        <w:spacing w:after="0" w:line="19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Wilson Sonsini Goodrich &amp; Rosati, P.C., Palo Alto, California, which has acted as our counsel in connection with this offering, will pass upon the validity of the shares of our common stock being offered by this prospectus. The validity of the shares of common stock offered by this prospectus will be passed upon for the underwriters by Sullivan &amp; Cromwell LLP, Palo Alto, California.</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EXPERTS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consolidated financial statements as of December 31, 2019 and 2018 and for each of the three years in the period ended December 31, 2019, included in this prospectus have been audited by Deloitte &amp; Touche LLP, an independent registered public accounting firm, as stated in their report appearing herein. Such consolidated financial statements are included in reliance upon the report of such firm given upon their authority as experts in accounting and auditing.</w:t>
      </w:r>
    </w:p>
    <w:p>
      <w:pPr>
        <w:spacing w:after="0" w:line="33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submitted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74"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As a result of this offering, we will become subject to the information and reporting requirements of the Exchange Act and, in accordance with this law, will file periodic reports, proxy statements, and other information with the SEC. We also maintain a website at www.Upstart.com.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220"/>
          </w:cols>
          <w:pgMar w:left="320" w:top="407" w:right="135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93"/>
        </w:trPr>
        <w:tc>
          <w:tcPr>
            <w:tcW w:w="8520" w:type="dxa"/>
            <w:vAlign w:val="bottom"/>
          </w:tcPr>
          <w:p>
            <w:pPr>
              <w:spacing w:after="0"/>
              <w:rPr>
                <w:rFonts w:ascii="Arial" w:cs="Arial" w:eastAsia="Arial" w:hAnsi="Arial"/>
                <w:sz w:val="15"/>
                <w:szCs w:val="15"/>
                <w:b w:val="1"/>
                <w:bCs w:val="1"/>
                <w:u w:val="single" w:color="auto"/>
                <w:color w:val="0000EE"/>
              </w:rPr>
            </w:pPr>
            <w:hyperlink w:anchor="page11">
              <w:r>
                <w:rPr>
                  <w:rFonts w:ascii="Arial" w:cs="Arial" w:eastAsia="Arial" w:hAnsi="Arial"/>
                  <w:sz w:val="15"/>
                  <w:szCs w:val="15"/>
                  <w:b w:val="1"/>
                  <w:bCs w:val="1"/>
                  <w:u w:val="single" w:color="auto"/>
                  <w:color w:val="0000EE"/>
                </w:rPr>
                <w:t>Table of Contents</w:t>
              </w:r>
            </w:hyperlink>
          </w:p>
        </w:tc>
        <w:tc>
          <w:tcPr>
            <w:tcW w:w="1640" w:type="dxa"/>
            <w:vAlign w:val="bottom"/>
          </w:tcPr>
          <w:p>
            <w:pPr>
              <w:spacing w:after="0"/>
              <w:rPr>
                <w:sz w:val="16"/>
                <w:szCs w:val="16"/>
                <w:color w:val="auto"/>
              </w:rPr>
            </w:pPr>
          </w:p>
        </w:tc>
      </w:tr>
      <w:tr>
        <w:trPr>
          <w:trHeight w:val="428"/>
        </w:trPr>
        <w:tc>
          <w:tcPr>
            <w:tcW w:w="8520" w:type="dxa"/>
            <w:vAlign w:val="bottom"/>
          </w:tcPr>
          <w:p>
            <w:pPr>
              <w:jc w:val="center"/>
              <w:ind w:left="2645"/>
              <w:spacing w:after="0"/>
              <w:rPr>
                <w:sz w:val="20"/>
                <w:szCs w:val="20"/>
                <w:color w:val="auto"/>
              </w:rPr>
            </w:pPr>
            <w:r>
              <w:rPr>
                <w:rFonts w:ascii="Arial" w:cs="Arial" w:eastAsia="Arial" w:hAnsi="Arial"/>
                <w:sz w:val="15"/>
                <w:szCs w:val="15"/>
                <w:b w:val="1"/>
                <w:bCs w:val="1"/>
                <w:color w:val="auto"/>
              </w:rPr>
              <w:t>Upstart Holdings, Inc.</w:t>
            </w:r>
          </w:p>
        </w:tc>
        <w:tc>
          <w:tcPr>
            <w:tcW w:w="1640" w:type="dxa"/>
            <w:vAlign w:val="bottom"/>
          </w:tcPr>
          <w:p>
            <w:pPr>
              <w:spacing w:after="0"/>
              <w:rPr>
                <w:sz w:val="24"/>
                <w:szCs w:val="24"/>
                <w:color w:val="auto"/>
              </w:rPr>
            </w:pPr>
          </w:p>
        </w:tc>
      </w:tr>
      <w:tr>
        <w:trPr>
          <w:trHeight w:val="349"/>
        </w:trPr>
        <w:tc>
          <w:tcPr>
            <w:tcW w:w="8520" w:type="dxa"/>
            <w:vAlign w:val="bottom"/>
          </w:tcPr>
          <w:p>
            <w:pPr>
              <w:jc w:val="center"/>
              <w:ind w:left="2645"/>
              <w:spacing w:after="0"/>
              <w:rPr>
                <w:sz w:val="20"/>
                <w:szCs w:val="20"/>
                <w:color w:val="auto"/>
              </w:rPr>
            </w:pPr>
            <w:r>
              <w:rPr>
                <w:rFonts w:ascii="Arial" w:cs="Arial" w:eastAsia="Arial" w:hAnsi="Arial"/>
                <w:sz w:val="15"/>
                <w:szCs w:val="15"/>
                <w:b w:val="1"/>
                <w:bCs w:val="1"/>
                <w:color w:val="auto"/>
              </w:rPr>
              <w:t>Index to Consolidated Financial Statements</w:t>
            </w:r>
          </w:p>
        </w:tc>
        <w:tc>
          <w:tcPr>
            <w:tcW w:w="1640" w:type="dxa"/>
            <w:vAlign w:val="bottom"/>
          </w:tcPr>
          <w:p>
            <w:pPr>
              <w:spacing w:after="0"/>
              <w:rPr>
                <w:sz w:val="24"/>
                <w:szCs w:val="24"/>
                <w:color w:val="auto"/>
              </w:rPr>
            </w:pPr>
          </w:p>
        </w:tc>
      </w:tr>
      <w:tr>
        <w:trPr>
          <w:trHeight w:val="372"/>
        </w:trPr>
        <w:tc>
          <w:tcPr>
            <w:tcW w:w="8520" w:type="dxa"/>
            <w:vAlign w:val="bottom"/>
          </w:tcPr>
          <w:p>
            <w:pPr>
              <w:ind w:left="1020"/>
              <w:spacing w:after="0"/>
              <w:rPr>
                <w:rFonts w:ascii="Arial" w:cs="Arial" w:eastAsia="Arial" w:hAnsi="Arial"/>
                <w:sz w:val="15"/>
                <w:szCs w:val="15"/>
                <w:u w:val="single" w:color="auto"/>
                <w:color w:val="0000EE"/>
              </w:rPr>
            </w:pPr>
            <w:hyperlink w:anchor="page238">
              <w:r>
                <w:rPr>
                  <w:rFonts w:ascii="Arial" w:cs="Arial" w:eastAsia="Arial" w:hAnsi="Arial"/>
                  <w:sz w:val="15"/>
                  <w:szCs w:val="15"/>
                  <w:u w:val="single" w:color="auto"/>
                  <w:color w:val="0000EE"/>
                </w:rPr>
                <w:t>Report of Independent Registered Public Accounting Firm</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259"/>
        </w:trPr>
        <w:tc>
          <w:tcPr>
            <w:tcW w:w="8520" w:type="dxa"/>
            <w:vAlign w:val="bottom"/>
          </w:tcPr>
          <w:p>
            <w:pPr>
              <w:ind w:left="1020"/>
              <w:spacing w:after="0"/>
              <w:rPr>
                <w:sz w:val="20"/>
                <w:szCs w:val="20"/>
                <w:color w:val="auto"/>
              </w:rPr>
            </w:pPr>
            <w:r>
              <w:rPr>
                <w:rFonts w:ascii="Arial" w:cs="Arial" w:eastAsia="Arial" w:hAnsi="Arial"/>
                <w:sz w:val="15"/>
                <w:szCs w:val="15"/>
                <w:color w:val="auto"/>
              </w:rPr>
              <w:t>Consolidated Financial Statements:</w:t>
            </w:r>
          </w:p>
        </w:tc>
        <w:tc>
          <w:tcPr>
            <w:tcW w:w="1640" w:type="dxa"/>
            <w:vAlign w:val="bottom"/>
          </w:tcPr>
          <w:p>
            <w:pPr>
              <w:spacing w:after="0"/>
              <w:rPr>
                <w:sz w:val="22"/>
                <w:szCs w:val="22"/>
                <w:color w:val="auto"/>
              </w:rPr>
            </w:pP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39">
              <w:r>
                <w:rPr>
                  <w:rFonts w:ascii="Arial" w:cs="Arial" w:eastAsia="Arial" w:hAnsi="Arial"/>
                  <w:sz w:val="15"/>
                  <w:szCs w:val="15"/>
                  <w:u w:val="single" w:color="auto"/>
                  <w:color w:val="0000EE"/>
                </w:rPr>
                <w:t>Consolidated Balance Sheets</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F-3</w:t>
            </w: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41">
              <w:r>
                <w:rPr>
                  <w:rFonts w:ascii="Arial" w:cs="Arial" w:eastAsia="Arial" w:hAnsi="Arial"/>
                  <w:sz w:val="15"/>
                  <w:szCs w:val="15"/>
                  <w:u w:val="single" w:color="auto"/>
                  <w:color w:val="0000EE"/>
                </w:rPr>
                <w:t>Consolidated Statements of Operations and Comprehensive Income (loss)</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F-5</w:t>
            </w: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42">
              <w:r>
                <w:rPr>
                  <w:rFonts w:ascii="Arial" w:cs="Arial" w:eastAsia="Arial" w:hAnsi="Arial"/>
                  <w:sz w:val="15"/>
                  <w:szCs w:val="15"/>
                  <w:u w:val="single" w:color="auto"/>
                  <w:color w:val="0000EE"/>
                </w:rPr>
                <w:t>Consolidated Statements of Convertible Preferred Stock and Stockholders’ Deficit</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F-6</w:t>
            </w: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44">
              <w:r>
                <w:rPr>
                  <w:rFonts w:ascii="Arial" w:cs="Arial" w:eastAsia="Arial" w:hAnsi="Arial"/>
                  <w:sz w:val="15"/>
                  <w:szCs w:val="15"/>
                  <w:u w:val="single" w:color="auto"/>
                  <w:color w:val="0000EE"/>
                </w:rPr>
                <w:t>Consolidated Statements of Cash Flows</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F-8</w:t>
            </w: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47">
              <w:r>
                <w:rPr>
                  <w:rFonts w:ascii="Arial" w:cs="Arial" w:eastAsia="Arial" w:hAnsi="Arial"/>
                  <w:sz w:val="15"/>
                  <w:szCs w:val="15"/>
                  <w:u w:val="single" w:color="auto"/>
                  <w:color w:val="0000EE"/>
                </w:rPr>
                <w:t>Notes to Consolidated Financial Statements</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F-11</w:t>
            </w:r>
          </w:p>
        </w:tc>
      </w:tr>
      <w:tr>
        <w:trPr>
          <w:trHeight w:val="293"/>
        </w:trPr>
        <w:tc>
          <w:tcPr>
            <w:tcW w:w="8520" w:type="dxa"/>
            <w:vAlign w:val="bottom"/>
          </w:tcPr>
          <w:p>
            <w:pPr>
              <w:jc w:val="center"/>
              <w:ind w:left="2665"/>
              <w:spacing w:after="0"/>
              <w:rPr>
                <w:sz w:val="20"/>
                <w:szCs w:val="20"/>
                <w:color w:val="auto"/>
              </w:rPr>
            </w:pPr>
            <w:r>
              <w:rPr>
                <w:rFonts w:ascii="Arial" w:cs="Arial" w:eastAsia="Arial" w:hAnsi="Arial"/>
                <w:sz w:val="15"/>
                <w:szCs w:val="15"/>
                <w:color w:val="auto"/>
                <w:w w:val="97"/>
              </w:rPr>
              <w:t>F-1</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60"/>
          </w:cols>
          <w:pgMar w:left="320" w:top="407" w:right="1419" w:bottom="1440" w:gutter="0" w:footer="0" w:header="0"/>
        </w:sect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stockholders and the Board of Directors of Upstart Holdings, Inc.</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5"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We have audited the accompanying consolidated balance sheets of Upstart Holdings, Inc. and subsidiaries (the “Company”) as of December 31, 2019 and 2018, the related consolidated statements of operations and comprehensive income (loss), convertible preferred stock and stockholders’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Basis for Opinion</w:t>
      </w:r>
    </w:p>
    <w:p>
      <w:pPr>
        <w:spacing w:after="0" w:line="105" w:lineRule="exact"/>
        <w:rPr>
          <w:sz w:val="20"/>
          <w:szCs w:val="20"/>
          <w:color w:val="auto"/>
        </w:rPr>
      </w:pPr>
    </w:p>
    <w:p>
      <w:pPr>
        <w:ind w:left="1020" w:right="180"/>
        <w:spacing w:after="0" w:line="238"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Deloitte &amp; Touche LLP</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San Francisco, CA</w:t>
      </w:r>
    </w:p>
    <w:p>
      <w:pPr>
        <w:ind w:left="1020"/>
        <w:spacing w:after="0"/>
        <w:rPr>
          <w:sz w:val="20"/>
          <w:szCs w:val="20"/>
          <w:color w:val="auto"/>
        </w:rPr>
      </w:pPr>
      <w:r>
        <w:rPr>
          <w:rFonts w:ascii="Arial" w:cs="Arial" w:eastAsia="Arial" w:hAnsi="Arial"/>
          <w:sz w:val="15"/>
          <w:szCs w:val="15"/>
          <w:color w:val="auto"/>
        </w:rPr>
        <w:t>March 3, 2020</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2015.</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00"/>
          </w:cols>
          <w:pgMar w:left="320" w:top="407" w:right="137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Balance Sheets</w:t>
      </w:r>
    </w:p>
    <w:p>
      <w:pPr>
        <w:spacing w:after="0" w:line="17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vMerge w:val="restart"/>
          </w:tcPr>
          <w:p>
            <w:pPr>
              <w:jc w:val="right"/>
              <w:ind w:right="500"/>
              <w:spacing w:after="0"/>
              <w:rPr>
                <w:sz w:val="20"/>
                <w:szCs w:val="20"/>
                <w:color w:val="auto"/>
              </w:rPr>
            </w:pPr>
            <w:r>
              <w:rPr>
                <w:rFonts w:ascii="Arial" w:cs="Arial" w:eastAsia="Arial" w:hAnsi="Arial"/>
                <w:sz w:val="12"/>
                <w:szCs w:val="12"/>
                <w:b w:val="1"/>
                <w:bCs w:val="1"/>
                <w:color w:val="auto"/>
              </w:rPr>
              <w:t>December 31,</w:t>
            </w:r>
          </w:p>
        </w:tc>
        <w:tc>
          <w:tcPr>
            <w:tcW w:w="9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Pro Forma</w:t>
            </w:r>
          </w:p>
        </w:tc>
        <w:tc>
          <w:tcPr>
            <w:tcW w:w="0" w:type="dxa"/>
            <w:vAlign w:val="bottom"/>
          </w:tcPr>
          <w:p>
            <w:pPr>
              <w:spacing w:after="0"/>
              <w:rPr>
                <w:sz w:val="1"/>
                <w:szCs w:val="1"/>
                <w:color w:val="auto"/>
              </w:rPr>
            </w:pPr>
          </w:p>
        </w:tc>
      </w:tr>
      <w:tr>
        <w:trPr>
          <w:trHeight w:val="66"/>
        </w:trPr>
        <w:tc>
          <w:tcPr>
            <w:tcW w:w="2360" w:type="dxa"/>
            <w:vAlign w:val="bottom"/>
          </w:tcPr>
          <w:p>
            <w:pPr>
              <w:spacing w:after="0"/>
              <w:rPr>
                <w:sz w:val="5"/>
                <w:szCs w:val="5"/>
                <w:color w:val="auto"/>
              </w:rPr>
            </w:pPr>
          </w:p>
        </w:tc>
        <w:tc>
          <w:tcPr>
            <w:tcW w:w="3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restart"/>
          </w:tcPr>
          <w:p>
            <w:pPr>
              <w:spacing w:after="0" w:line="136"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49"/>
        </w:trPr>
        <w:tc>
          <w:tcPr>
            <w:tcW w:w="23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7"/>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i w:val="1"/>
                <w:iCs w:val="1"/>
                <w:color w:val="auto"/>
              </w:rPr>
              <w:t>(unaudited)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0"/>
              <w:spacing w:after="0"/>
              <w:rPr>
                <w:sz w:val="20"/>
                <w:szCs w:val="20"/>
                <w:color w:val="auto"/>
              </w:rPr>
            </w:pPr>
            <w:r>
              <w:rPr>
                <w:rFonts w:ascii="Arial" w:cs="Arial" w:eastAsia="Arial" w:hAnsi="Arial"/>
                <w:sz w:val="12"/>
                <w:szCs w:val="12"/>
                <w:i w:val="1"/>
                <w:iCs w:val="1"/>
                <w:color w:val="auto"/>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Assets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line="136" w:lineRule="exact"/>
              <w:rPr>
                <w:sz w:val="20"/>
                <w:szCs w:val="20"/>
                <w:color w:val="auto"/>
              </w:rPr>
            </w:pPr>
            <w:r>
              <w:rPr>
                <w:rFonts w:ascii="Arial" w:cs="Arial" w:eastAsia="Arial" w:hAnsi="Arial"/>
                <w:sz w:val="12"/>
                <w:szCs w:val="12"/>
                <w:color w:val="auto"/>
              </w:rPr>
              <w:t>Cash</w:t>
            </w:r>
          </w:p>
        </w:tc>
        <w:tc>
          <w:tcPr>
            <w:tcW w:w="332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73,038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44,389</w:t>
            </w:r>
          </w:p>
        </w:tc>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53,234</w:t>
            </w:r>
          </w:p>
        </w:tc>
        <w:tc>
          <w:tcPr>
            <w:tcW w:w="18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53,240</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Restricted cash</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49,204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35,678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57,414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57,414</w:t>
            </w:r>
          </w:p>
        </w:tc>
        <w:tc>
          <w:tcPr>
            <w:tcW w:w="0" w:type="dxa"/>
            <w:vAlign w:val="bottom"/>
          </w:tcPr>
          <w:p>
            <w:pPr>
              <w:spacing w:after="0"/>
              <w:rPr>
                <w:sz w:val="1"/>
                <w:szCs w:val="1"/>
                <w:color w:val="auto"/>
              </w:rPr>
            </w:pPr>
          </w:p>
        </w:tc>
      </w:tr>
      <w:tr>
        <w:trPr>
          <w:trHeight w:val="135"/>
        </w:trPr>
        <w:tc>
          <w:tcPr>
            <w:tcW w:w="2360" w:type="dxa"/>
            <w:vAlign w:val="bottom"/>
          </w:tcPr>
          <w:p>
            <w:pPr>
              <w:spacing w:after="0" w:line="136" w:lineRule="exact"/>
              <w:rPr>
                <w:sz w:val="20"/>
                <w:szCs w:val="20"/>
                <w:color w:val="auto"/>
              </w:rPr>
            </w:pPr>
            <w:r>
              <w:rPr>
                <w:rFonts w:ascii="Arial" w:cs="Arial" w:eastAsia="Arial" w:hAnsi="Arial"/>
                <w:sz w:val="12"/>
                <w:szCs w:val="12"/>
                <w:color w:val="auto"/>
              </w:rPr>
              <w:t>Loans (at fair value)</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w w:val="96"/>
              </w:rPr>
              <w:t>502,666</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w w:val="96"/>
              </w:rPr>
              <w:t>232,305</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122,708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122,708</w:t>
            </w: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Notes receivable and residual certificates (at fair value)</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8,314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34,116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22,053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22,053</w:t>
            </w:r>
          </w:p>
        </w:tc>
        <w:tc>
          <w:tcPr>
            <w:tcW w:w="0" w:type="dxa"/>
            <w:vAlign w:val="bottom"/>
          </w:tcPr>
          <w:p>
            <w:pPr>
              <w:spacing w:after="0"/>
              <w:rPr>
                <w:sz w:val="1"/>
                <w:szCs w:val="1"/>
                <w:color w:val="auto"/>
              </w:rPr>
            </w:pPr>
          </w:p>
        </w:tc>
      </w:tr>
      <w:tr>
        <w:trPr>
          <w:trHeight w:val="135"/>
        </w:trPr>
        <w:tc>
          <w:tcPr>
            <w:tcW w:w="2360" w:type="dxa"/>
            <w:vAlign w:val="bottom"/>
          </w:tcPr>
          <w:p>
            <w:pPr>
              <w:spacing w:after="0" w:line="136" w:lineRule="exact"/>
              <w:rPr>
                <w:sz w:val="20"/>
                <w:szCs w:val="20"/>
                <w:color w:val="auto"/>
              </w:rPr>
            </w:pPr>
            <w:r>
              <w:rPr>
                <w:rFonts w:ascii="Arial" w:cs="Arial" w:eastAsia="Arial" w:hAnsi="Arial"/>
                <w:sz w:val="12"/>
                <w:szCs w:val="12"/>
                <w:color w:val="auto"/>
              </w:rPr>
              <w:t>Property, equipment, and software, net</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1,502</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6,030</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9,060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9,060</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Operating lease right of use assets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16,190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13,904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13,904</w:t>
            </w:r>
          </w:p>
        </w:tc>
        <w:tc>
          <w:tcPr>
            <w:tcW w:w="0" w:type="dxa"/>
            <w:vAlign w:val="bottom"/>
          </w:tcPr>
          <w:p>
            <w:pPr>
              <w:spacing w:after="0"/>
              <w:rPr>
                <w:sz w:val="1"/>
                <w:szCs w:val="1"/>
                <w:color w:val="auto"/>
              </w:rPr>
            </w:pPr>
          </w:p>
        </w:tc>
      </w:tr>
      <w:tr>
        <w:trPr>
          <w:trHeight w:val="139"/>
        </w:trPr>
        <w:tc>
          <w:tcPr>
            <w:tcW w:w="5680" w:type="dxa"/>
            <w:vAlign w:val="bottom"/>
            <w:gridSpan w:val="2"/>
          </w:tcPr>
          <w:p>
            <w:pPr>
              <w:spacing w:after="0"/>
              <w:rPr>
                <w:sz w:val="20"/>
                <w:szCs w:val="20"/>
                <w:color w:val="auto"/>
              </w:rPr>
            </w:pPr>
            <w:r>
              <w:rPr>
                <w:rFonts w:ascii="Arial" w:cs="Arial" w:eastAsia="Arial" w:hAnsi="Arial"/>
                <w:sz w:val="12"/>
                <w:szCs w:val="12"/>
                <w:color w:val="auto"/>
              </w:rPr>
              <w:t>Other assets (includes $1,410, $4,725 and $6,558 at fair value as of December 31, 2018 and 2019,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68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and September 30, 2020 (unaudited), respectively)</w:t>
            </w:r>
          </w:p>
        </w:tc>
        <w:tc>
          <w:tcPr>
            <w:tcW w:w="80" w:type="dxa"/>
            <w:vAlign w:val="bottom"/>
          </w:tcPr>
          <w:p>
            <w:pPr>
              <w:spacing w:after="0"/>
              <w:rPr>
                <w:sz w:val="11"/>
                <w:szCs w:val="11"/>
                <w:color w:val="auto"/>
              </w:rPr>
            </w:pPr>
          </w:p>
        </w:tc>
        <w:tc>
          <w:tcPr>
            <w:tcW w:w="440" w:type="dxa"/>
            <w:vAlign w:val="bottom"/>
          </w:tcPr>
          <w:p>
            <w:pPr>
              <w:jc w:val="right"/>
              <w:spacing w:after="0" w:line="132" w:lineRule="exact"/>
              <w:rPr>
                <w:sz w:val="20"/>
                <w:szCs w:val="20"/>
                <w:color w:val="auto"/>
              </w:rPr>
            </w:pPr>
            <w:r>
              <w:rPr>
                <w:rFonts w:ascii="Arial" w:cs="Arial" w:eastAsia="Arial" w:hAnsi="Arial"/>
                <w:sz w:val="12"/>
                <w:szCs w:val="12"/>
                <w:color w:val="auto"/>
              </w:rPr>
              <w:t>11,184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2" w:lineRule="exact"/>
              <w:rPr>
                <w:sz w:val="20"/>
                <w:szCs w:val="20"/>
                <w:color w:val="auto"/>
              </w:rPr>
            </w:pPr>
            <w:r>
              <w:rPr>
                <w:rFonts w:ascii="Arial" w:cs="Arial" w:eastAsia="Arial" w:hAnsi="Arial"/>
                <w:sz w:val="12"/>
                <w:szCs w:val="12"/>
                <w:color w:val="auto"/>
              </w:rPr>
              <w:t>24,754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31,431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31,431</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60" w:type="dxa"/>
            <w:vAlign w:val="bottom"/>
            <w:shd w:val="clear" w:color="auto" w:fill="CCEEFF"/>
          </w:tcPr>
          <w:p>
            <w:pPr>
              <w:ind w:left="480"/>
              <w:spacing w:after="0" w:line="169" w:lineRule="exact"/>
              <w:rPr>
                <w:sz w:val="20"/>
                <w:szCs w:val="20"/>
                <w:color w:val="auto"/>
              </w:rPr>
            </w:pPr>
            <w:r>
              <w:rPr>
                <w:rFonts w:ascii="Arial" w:cs="Arial" w:eastAsia="Arial" w:hAnsi="Arial"/>
                <w:sz w:val="12"/>
                <w:szCs w:val="12"/>
                <w:color w:val="auto"/>
              </w:rPr>
              <w:t>Total assets</w:t>
            </w:r>
            <w:r>
              <w:rPr>
                <w:rFonts w:ascii="Arial" w:cs="Arial" w:eastAsia="Arial" w:hAnsi="Arial"/>
                <w:sz w:val="19"/>
                <w:szCs w:val="19"/>
                <w:color w:val="auto"/>
                <w:vertAlign w:val="superscript"/>
              </w:rPr>
              <w:t>(a)</w:t>
            </w:r>
          </w:p>
        </w:tc>
        <w:tc>
          <w:tcPr>
            <w:tcW w:w="3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u w:val="single" w:color="auto"/>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645,908</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393,462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309,804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309,810</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3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40"/>
              <w:spacing w:after="0" w:line="136" w:lineRule="exact"/>
              <w:rPr>
                <w:sz w:val="20"/>
                <w:szCs w:val="20"/>
                <w:color w:val="auto"/>
              </w:rPr>
            </w:pPr>
            <w:r>
              <w:rPr>
                <w:rFonts w:ascii="Arial" w:cs="Arial" w:eastAsia="Arial" w:hAnsi="Arial"/>
                <w:sz w:val="12"/>
                <w:szCs w:val="12"/>
                <w:color w:val="auto"/>
              </w:rPr>
              <w:t>Accounts payable</w:t>
            </w:r>
          </w:p>
        </w:tc>
        <w:tc>
          <w:tcPr>
            <w:tcW w:w="332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2,923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6,559</w:t>
            </w:r>
          </w:p>
        </w:tc>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6,049</w:t>
            </w:r>
          </w:p>
        </w:tc>
        <w:tc>
          <w:tcPr>
            <w:tcW w:w="18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6,049</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Payable to investors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21,154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19,620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39,192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39,192</w:t>
            </w:r>
          </w:p>
        </w:tc>
        <w:tc>
          <w:tcPr>
            <w:tcW w:w="0" w:type="dxa"/>
            <w:vAlign w:val="bottom"/>
          </w:tcPr>
          <w:p>
            <w:pPr>
              <w:spacing w:after="0"/>
              <w:rPr>
                <w:sz w:val="1"/>
                <w:szCs w:val="1"/>
                <w:color w:val="auto"/>
              </w:rPr>
            </w:pPr>
          </w:p>
        </w:tc>
      </w:tr>
      <w:tr>
        <w:trPr>
          <w:trHeight w:val="135"/>
        </w:trPr>
        <w:tc>
          <w:tcPr>
            <w:tcW w:w="5680" w:type="dxa"/>
            <w:vAlign w:val="bottom"/>
            <w:gridSpan w:val="2"/>
          </w:tcPr>
          <w:p>
            <w:pPr>
              <w:ind w:left="240"/>
              <w:spacing w:after="0" w:line="136" w:lineRule="exact"/>
              <w:rPr>
                <w:sz w:val="20"/>
                <w:szCs w:val="20"/>
                <w:color w:val="auto"/>
              </w:rPr>
            </w:pPr>
            <w:r>
              <w:rPr>
                <w:rFonts w:ascii="Arial" w:cs="Arial" w:eastAsia="Arial" w:hAnsi="Arial"/>
                <w:sz w:val="12"/>
                <w:szCs w:val="12"/>
                <w:color w:val="auto"/>
              </w:rPr>
              <w:t>Notes payable (at fair value; includes $2,447 payable to related parties as of December 31, 2018)</w:t>
            </w: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53,174</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Borrowings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74,983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w w:val="96"/>
              </w:rPr>
              <w:t>118,609</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100,588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100,588</w:t>
            </w:r>
          </w:p>
        </w:tc>
        <w:tc>
          <w:tcPr>
            <w:tcW w:w="0" w:type="dxa"/>
            <w:vAlign w:val="bottom"/>
          </w:tcPr>
          <w:p>
            <w:pPr>
              <w:spacing w:after="0"/>
              <w:rPr>
                <w:sz w:val="1"/>
                <w:szCs w:val="1"/>
                <w:color w:val="auto"/>
              </w:rPr>
            </w:pPr>
          </w:p>
        </w:tc>
      </w:tr>
      <w:tr>
        <w:trPr>
          <w:trHeight w:val="139"/>
        </w:trPr>
        <w:tc>
          <w:tcPr>
            <w:tcW w:w="5680" w:type="dxa"/>
            <w:vAlign w:val="bottom"/>
            <w:gridSpan w:val="2"/>
          </w:tcPr>
          <w:p>
            <w:pPr>
              <w:ind w:left="240"/>
              <w:spacing w:after="0"/>
              <w:rPr>
                <w:sz w:val="20"/>
                <w:szCs w:val="20"/>
                <w:color w:val="auto"/>
              </w:rPr>
            </w:pPr>
            <w:r>
              <w:rPr>
                <w:rFonts w:ascii="Arial" w:cs="Arial" w:eastAsia="Arial" w:hAnsi="Arial"/>
                <w:sz w:val="12"/>
                <w:szCs w:val="12"/>
                <w:color w:val="auto"/>
              </w:rPr>
              <w:t>Payable to securitization note holders and residual certificate holders (includes $353,292 and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80" w:type="dxa"/>
            <w:vAlign w:val="bottom"/>
            <w:gridSpan w:val="2"/>
          </w:tcPr>
          <w:p>
            <w:pPr>
              <w:ind w:left="360"/>
              <w:spacing w:after="0" w:line="136" w:lineRule="exact"/>
              <w:rPr>
                <w:sz w:val="20"/>
                <w:szCs w:val="20"/>
                <w:color w:val="auto"/>
              </w:rPr>
            </w:pPr>
            <w:r>
              <w:rPr>
                <w:rFonts w:ascii="Arial" w:cs="Arial" w:eastAsia="Arial" w:hAnsi="Arial"/>
                <w:sz w:val="12"/>
                <w:szCs w:val="12"/>
                <w:color w:val="auto"/>
              </w:rPr>
              <w:t>$89,672 at fair value, and $61,439 and $41,343 payable to related parties as of December 31,</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360"/>
              <w:spacing w:after="0" w:line="132" w:lineRule="exact"/>
              <w:rPr>
                <w:sz w:val="20"/>
                <w:szCs w:val="20"/>
                <w:color w:val="auto"/>
              </w:rPr>
            </w:pPr>
            <w:r>
              <w:rPr>
                <w:rFonts w:ascii="Arial" w:cs="Arial" w:eastAsia="Arial" w:hAnsi="Arial"/>
                <w:sz w:val="12"/>
                <w:szCs w:val="12"/>
                <w:color w:val="auto"/>
              </w:rPr>
              <w:t>2018 and 2019, respectively)</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2" w:lineRule="exact"/>
              <w:rPr>
                <w:sz w:val="20"/>
                <w:szCs w:val="20"/>
                <w:color w:val="auto"/>
              </w:rPr>
            </w:pPr>
            <w:r>
              <w:rPr>
                <w:rFonts w:ascii="Arial" w:cs="Arial" w:eastAsia="Arial" w:hAnsi="Arial"/>
                <w:sz w:val="12"/>
                <w:szCs w:val="12"/>
                <w:color w:val="auto"/>
                <w:w w:val="96"/>
              </w:rPr>
              <w:t>373,068</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2" w:lineRule="exact"/>
              <w:rPr>
                <w:sz w:val="20"/>
                <w:szCs w:val="20"/>
                <w:color w:val="auto"/>
              </w:rPr>
            </w:pPr>
            <w:r>
              <w:rPr>
                <w:rFonts w:ascii="Arial" w:cs="Arial" w:eastAsia="Arial" w:hAnsi="Arial"/>
                <w:sz w:val="12"/>
                <w:szCs w:val="12"/>
                <w:color w:val="auto"/>
              </w:rPr>
              <w:t>96,107</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5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Other liabilities (includes $11,086, $12,446, and $17,308 at fair value as of December 31, 2018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680" w:type="dxa"/>
            <w:vAlign w:val="bottom"/>
            <w:gridSpan w:val="2"/>
            <w:shd w:val="clear" w:color="auto" w:fill="CCEEFF"/>
          </w:tcPr>
          <w:p>
            <w:pPr>
              <w:ind w:left="360"/>
              <w:spacing w:after="0" w:line="132" w:lineRule="exact"/>
              <w:rPr>
                <w:sz w:val="20"/>
                <w:szCs w:val="20"/>
                <w:color w:val="auto"/>
              </w:rPr>
            </w:pPr>
            <w:r>
              <w:rPr>
                <w:rFonts w:ascii="Arial" w:cs="Arial" w:eastAsia="Arial" w:hAnsi="Arial"/>
                <w:sz w:val="12"/>
                <w:szCs w:val="12"/>
                <w:color w:val="auto"/>
              </w:rPr>
              <w:t>and 2019, and September 30, 2020 (unaudited), respectively)</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17,353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34,648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33,921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26,464</w:t>
            </w:r>
          </w:p>
        </w:tc>
        <w:tc>
          <w:tcPr>
            <w:tcW w:w="0" w:type="dxa"/>
            <w:vAlign w:val="bottom"/>
          </w:tcPr>
          <w:p>
            <w:pPr>
              <w:spacing w:after="0"/>
              <w:rPr>
                <w:sz w:val="1"/>
                <w:szCs w:val="1"/>
                <w:color w:val="auto"/>
              </w:rPr>
            </w:pPr>
          </w:p>
        </w:tc>
      </w:tr>
      <w:tr>
        <w:trPr>
          <w:trHeight w:val="135"/>
        </w:trPr>
        <w:tc>
          <w:tcPr>
            <w:tcW w:w="2360" w:type="dxa"/>
            <w:vAlign w:val="bottom"/>
          </w:tcPr>
          <w:p>
            <w:pPr>
              <w:ind w:left="240"/>
              <w:spacing w:after="0" w:line="136" w:lineRule="exact"/>
              <w:rPr>
                <w:sz w:val="20"/>
                <w:szCs w:val="20"/>
                <w:color w:val="auto"/>
              </w:rPr>
            </w:pPr>
            <w:r>
              <w:rPr>
                <w:rFonts w:ascii="Arial" w:cs="Arial" w:eastAsia="Arial" w:hAnsi="Arial"/>
                <w:sz w:val="12"/>
                <w:szCs w:val="12"/>
                <w:color w:val="auto"/>
              </w:rPr>
              <w:t>Operating lease liabilities</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17,061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14,841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14,841</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shd w:val="clear" w:color="auto" w:fill="CCEEFF"/>
          </w:tcPr>
          <w:p>
            <w:pPr>
              <w:ind w:left="480"/>
              <w:spacing w:after="0" w:line="136" w:lineRule="exact"/>
              <w:rPr>
                <w:sz w:val="20"/>
                <w:szCs w:val="20"/>
                <w:color w:val="auto"/>
              </w:rPr>
            </w:pPr>
            <w:r>
              <w:rPr>
                <w:rFonts w:ascii="Arial" w:cs="Arial" w:eastAsia="Arial" w:hAnsi="Arial"/>
                <w:sz w:val="10"/>
                <w:szCs w:val="10"/>
                <w:color w:val="auto"/>
              </w:rPr>
              <w:t>Total liabilities</w:t>
            </w:r>
            <w:r>
              <w:rPr>
                <w:rFonts w:ascii="Arial" w:cs="Arial" w:eastAsia="Arial" w:hAnsi="Arial"/>
                <w:sz w:val="15"/>
                <w:szCs w:val="15"/>
                <w:color w:val="auto"/>
                <w:vertAlign w:val="superscript"/>
              </w:rPr>
              <w:t>(a)</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542,655</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292,604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194,591</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187,134</w:t>
            </w:r>
          </w:p>
        </w:tc>
        <w:tc>
          <w:tcPr>
            <w:tcW w:w="0" w:type="dxa"/>
            <w:vAlign w:val="bottom"/>
          </w:tcPr>
          <w:p>
            <w:pPr>
              <w:spacing w:after="0"/>
              <w:rPr>
                <w:sz w:val="1"/>
                <w:szCs w:val="1"/>
                <w:color w:val="auto"/>
              </w:rPr>
            </w:pPr>
          </w:p>
        </w:tc>
      </w:tr>
      <w:tr>
        <w:trPr>
          <w:trHeight w:val="151"/>
        </w:trPr>
        <w:tc>
          <w:tcPr>
            <w:tcW w:w="236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3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5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Convertible preferred stock, $0.0001 par value; 53,927,657 shares authorized as of December 31,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2018 and 2019, and September 30, 2020 (unaudited), respectively; aggregate liquidation preference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of $162,757, $166,257, and $166,257 as of December 31, 2018 and 2019, and September 30, 2020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(unaudited), respectively; 46,882,877</w:t>
            </w:r>
          </w:p>
        </w:tc>
        <w:tc>
          <w:tcPr>
            <w:tcW w:w="33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shares issued and outstanding as of December 31,</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2018, and 47,349,577 shares issued and outstanding as of December 31, 2019, and September 30,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2020 (unaudited); no shares outstanding as of September 30, 2020 (unaudited), pro forma</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6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(unaudited)</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w w:val="96"/>
              </w:rPr>
              <w:t>157,923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w w:val="96"/>
              </w:rPr>
              <w:t>162,546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162,546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20"/>
                <w:szCs w:val="20"/>
                <w:color w:val="auto"/>
              </w:rPr>
            </w:pPr>
            <w:r>
              <w:rPr>
                <w:rFonts w:ascii="Arial" w:cs="Arial" w:eastAsia="Arial" w:hAnsi="Arial"/>
                <w:sz w:val="12"/>
                <w:szCs w:val="12"/>
                <w:color w:val="auto"/>
              </w:rPr>
              <w:t>Stockholders’ deficit:</w:t>
            </w: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Common stock, $0.0001 par value; 90,000,000 shares authorized as of December 31, 2018 and</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2"/>
                <w:szCs w:val="12"/>
                <w:color w:val="auto"/>
              </w:rPr>
              <w:t>2019, and September 30, 2020 (unaudited), respectively; 12,991,270, 14,561,398, and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2"/>
                <w:szCs w:val="12"/>
                <w:color w:val="auto"/>
              </w:rPr>
              <w:t>15,044,707 shares issued and outstanding as of December 31, 2018 and 2019, and September</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2"/>
                <w:szCs w:val="12"/>
                <w:color w:val="auto"/>
              </w:rPr>
              <w:t>30, 2020 (unaudited), respectively; 62,994,492 shares outstanding as of September 30, 2020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60" w:type="dxa"/>
            <w:vAlign w:val="bottom"/>
            <w:shd w:val="clear" w:color="auto" w:fill="CCEEFF"/>
          </w:tcPr>
          <w:p>
            <w:pPr>
              <w:ind w:left="360"/>
              <w:spacing w:after="0" w:line="132" w:lineRule="exact"/>
              <w:rPr>
                <w:sz w:val="20"/>
                <w:szCs w:val="20"/>
                <w:color w:val="auto"/>
              </w:rPr>
            </w:pPr>
            <w:r>
              <w:rPr>
                <w:rFonts w:ascii="Arial" w:cs="Arial" w:eastAsia="Arial" w:hAnsi="Arial"/>
                <w:sz w:val="12"/>
                <w:szCs w:val="12"/>
                <w:color w:val="auto"/>
              </w:rPr>
              <w:t>(unaudited), pro forma (unaudited)</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2</w:t>
            </w:r>
          </w:p>
        </w:tc>
        <w:tc>
          <w:tcPr>
            <w:tcW w:w="18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5"/>
        </w:trPr>
        <w:tc>
          <w:tcPr>
            <w:tcW w:w="2360" w:type="dxa"/>
            <w:vAlign w:val="bottom"/>
          </w:tcPr>
          <w:p>
            <w:pPr>
              <w:ind w:left="240"/>
              <w:spacing w:after="0" w:line="136" w:lineRule="exact"/>
              <w:rPr>
                <w:sz w:val="20"/>
                <w:szCs w:val="20"/>
                <w:color w:val="auto"/>
              </w:rPr>
            </w:pPr>
            <w:r>
              <w:rPr>
                <w:rFonts w:ascii="Arial" w:cs="Arial" w:eastAsia="Arial" w:hAnsi="Arial"/>
                <w:sz w:val="12"/>
                <w:szCs w:val="12"/>
                <w:color w:val="auto"/>
              </w:rPr>
              <w:t>Additional paid-in capital</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8,406</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12,489</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22,914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192,919</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Accumulated deficit</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(75,078)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(75,205)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(70,249)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(70,249)</w:t>
            </w: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680" w:type="dxa"/>
            <w:vAlign w:val="bottom"/>
            <w:gridSpan w:val="2"/>
          </w:tcPr>
          <w:p>
            <w:pPr>
              <w:ind w:left="480"/>
              <w:spacing w:after="0"/>
              <w:rPr>
                <w:sz w:val="20"/>
                <w:szCs w:val="20"/>
                <w:color w:val="auto"/>
              </w:rPr>
            </w:pPr>
            <w:r>
              <w:rPr>
                <w:rFonts w:ascii="Arial" w:cs="Arial" w:eastAsia="Arial" w:hAnsi="Arial"/>
                <w:sz w:val="12"/>
                <w:szCs w:val="12"/>
                <w:color w:val="auto"/>
              </w:rPr>
              <w:t>Total Upstart Holdings, Inc. stockholders’ (deficit) equity</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(66,671)</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(62,714)</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(47,333)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122,676</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Noncontrolling interests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12,001</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1,026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60" w:type="dxa"/>
            <w:vAlign w:val="bottom"/>
          </w:tcPr>
          <w:p>
            <w:pPr>
              <w:ind w:left="480"/>
              <w:spacing w:after="0"/>
              <w:rPr>
                <w:sz w:val="20"/>
                <w:szCs w:val="20"/>
                <w:color w:val="auto"/>
              </w:rPr>
            </w:pPr>
            <w:r>
              <w:rPr>
                <w:rFonts w:ascii="Arial" w:cs="Arial" w:eastAsia="Arial" w:hAnsi="Arial"/>
                <w:sz w:val="12"/>
                <w:szCs w:val="12"/>
                <w:color w:val="auto"/>
              </w:rPr>
              <w:t>Total stockholders’ (deficit) equity</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(54,670)</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(61,688)</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(47,333)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122,676</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68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2"/>
                <w:szCs w:val="12"/>
                <w:color w:val="auto"/>
              </w:rPr>
              <w:t>Total liabilities, convertible preferred stock, and stockholders’ (deficit) equity</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w w:val="89"/>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645,908</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393,462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309,804</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309,810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7" w:right="135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Balance Sheets</w:t>
      </w:r>
    </w:p>
    <w:p>
      <w:pPr>
        <w:spacing w:after="0" w:line="17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210185</wp:posOffset>
            </wp:positionV>
            <wp:extent cx="64389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55" w:lineRule="exact"/>
        <w:rPr>
          <w:sz w:val="20"/>
          <w:szCs w:val="20"/>
          <w:color w:val="auto"/>
        </w:rPr>
      </w:pPr>
    </w:p>
    <w:p>
      <w:pPr>
        <w:ind w:left="1480" w:right="20" w:hanging="453"/>
        <w:spacing w:after="0" w:line="238" w:lineRule="auto"/>
        <w:tabs>
          <w:tab w:leader="none" w:pos="14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following table presents information on assets and liabilities related to variable interest entities (“VIEs”) that are consolidated by Upstart Holdings, Inc. as of December 31, 2018 and 2019, and September 30, 2020.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183" w:lineRule="exact"/>
        <w:rPr>
          <w:sz w:val="20"/>
          <w:szCs w:val="20"/>
          <w:color w:val="auto"/>
        </w:rPr>
      </w:pPr>
    </w:p>
    <w:tbl>
      <w:tblPr>
        <w:tblLayout w:type="fixed"/>
        <w:tblInd w:w="1480" w:type="dxa"/>
        <w:tblCellMar>
          <w:top w:w="0" w:type="dxa"/>
          <w:left w:w="0" w:type="dxa"/>
          <w:bottom w:w="0" w:type="dxa"/>
          <w:right w:w="0" w:type="dxa"/>
        </w:tblCellMar>
      </w:tblPr>
      <w:tr>
        <w:trPr>
          <w:trHeight w:val="145"/>
        </w:trPr>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9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top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2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5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6" w:lineRule="exact"/>
              <w:rPr>
                <w:sz w:val="20"/>
                <w:szCs w:val="20"/>
                <w:color w:val="auto"/>
              </w:rPr>
            </w:pPr>
            <w:r>
              <w:rPr>
                <w:rFonts w:ascii="Arial" w:cs="Arial" w:eastAsia="Arial" w:hAnsi="Arial"/>
                <w:sz w:val="12"/>
                <w:szCs w:val="12"/>
                <w:color w:val="auto"/>
              </w:rPr>
              <w:t>Restricted cash</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32,225</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13,839</w:t>
            </w:r>
          </w:p>
        </w:tc>
        <w:tc>
          <w:tcPr>
            <w:tcW w:w="300" w:type="dxa"/>
            <w:vAlign w:val="bottom"/>
            <w:gridSpan w:val="2"/>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16,017</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Loans (at fair value)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501,959</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w w:val="96"/>
              </w:rPr>
              <w:t>231,109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121,761</w:t>
            </w:r>
          </w:p>
        </w:tc>
        <w:tc>
          <w:tcPr>
            <w:tcW w:w="4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6" w:lineRule="exact"/>
              <w:rPr>
                <w:sz w:val="20"/>
                <w:szCs w:val="20"/>
                <w:color w:val="auto"/>
              </w:rPr>
            </w:pPr>
            <w:r>
              <w:rPr>
                <w:rFonts w:ascii="Arial" w:cs="Arial" w:eastAsia="Arial" w:hAnsi="Arial"/>
                <w:sz w:val="12"/>
                <w:szCs w:val="12"/>
                <w:color w:val="auto"/>
              </w:rPr>
              <w:t>Notes receivable and residual certificates (at fair value)</w:t>
            </w: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8,291</w:t>
            </w:r>
          </w:p>
        </w:tc>
        <w:tc>
          <w:tcPr>
            <w:tcW w:w="520" w:type="dxa"/>
            <w:vAlign w:val="bottom"/>
          </w:tcPr>
          <w:p>
            <w:pPr>
              <w:spacing w:after="0"/>
              <w:rPr>
                <w:sz w:val="11"/>
                <w:szCs w:val="11"/>
                <w:color w:val="auto"/>
              </w:rPr>
            </w:pP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30,266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19,820</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2,854</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453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25</w:t>
            </w:r>
          </w:p>
        </w:tc>
      </w:tr>
      <w:tr>
        <w:trPr>
          <w:trHeight w:val="20"/>
        </w:trPr>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8"/>
        </w:trPr>
        <w:tc>
          <w:tcPr>
            <w:tcW w:w="5940" w:type="dxa"/>
            <w:vAlign w:val="bottom"/>
          </w:tcPr>
          <w:p>
            <w:pPr>
              <w:ind w:left="240"/>
              <w:spacing w:after="0"/>
              <w:rPr>
                <w:sz w:val="20"/>
                <w:szCs w:val="20"/>
                <w:color w:val="auto"/>
              </w:rPr>
            </w:pPr>
            <w:r>
              <w:rPr>
                <w:rFonts w:ascii="Arial" w:cs="Arial" w:eastAsia="Arial" w:hAnsi="Arial"/>
                <w:sz w:val="12"/>
                <w:szCs w:val="12"/>
                <w:color w:val="auto"/>
              </w:rPr>
              <w:t>Total assets</w:t>
            </w:r>
          </w:p>
        </w:tc>
        <w:tc>
          <w:tcPr>
            <w:tcW w:w="80" w:type="dxa"/>
            <w:vAlign w:val="bottom"/>
          </w:tcPr>
          <w:p>
            <w:pPr>
              <w:jc w:val="right"/>
              <w:spacing w:after="0"/>
              <w:rPr>
                <w:sz w:val="20"/>
                <w:szCs w:val="20"/>
                <w:color w:val="auto"/>
              </w:rPr>
            </w:pPr>
            <w:r>
              <w:rPr>
                <w:rFonts w:ascii="Arial" w:cs="Arial" w:eastAsia="Arial" w:hAnsi="Arial"/>
                <w:sz w:val="12"/>
                <w:szCs w:val="12"/>
                <w:u w:val="single" w:color="auto"/>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545,329</w:t>
            </w:r>
          </w:p>
        </w:tc>
        <w:tc>
          <w:tcPr>
            <w:tcW w:w="52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275,667</w:t>
            </w:r>
          </w:p>
        </w:tc>
        <w:tc>
          <w:tcPr>
            <w:tcW w:w="300" w:type="dxa"/>
            <w:vAlign w:val="bottom"/>
            <w:gridSpan w:val="2"/>
          </w:tcPr>
          <w:p>
            <w:pPr>
              <w:ind w:left="2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157,623</w:t>
            </w: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
        </w:trPr>
        <w:tc>
          <w:tcPr>
            <w:tcW w:w="59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Liabilities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6" w:lineRule="exact"/>
              <w:rPr>
                <w:sz w:val="20"/>
                <w:szCs w:val="20"/>
                <w:color w:val="auto"/>
              </w:rPr>
            </w:pPr>
            <w:r>
              <w:rPr>
                <w:rFonts w:ascii="Arial" w:cs="Arial" w:eastAsia="Arial" w:hAnsi="Arial"/>
                <w:sz w:val="12"/>
                <w:szCs w:val="12"/>
                <w:color w:val="auto"/>
              </w:rPr>
              <w:t>Accounts payable</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12</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60</w:t>
            </w:r>
          </w:p>
        </w:tc>
        <w:tc>
          <w:tcPr>
            <w:tcW w:w="300" w:type="dxa"/>
            <w:vAlign w:val="bottom"/>
            <w:gridSpan w:val="2"/>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130</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Payable to investors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4,382</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w:t>
            </w:r>
          </w:p>
        </w:tc>
      </w:tr>
      <w:tr>
        <w:trPr>
          <w:trHeight w:val="135"/>
        </w:trPr>
        <w:tc>
          <w:tcPr>
            <w:tcW w:w="5940" w:type="dxa"/>
            <w:vAlign w:val="bottom"/>
          </w:tcPr>
          <w:p>
            <w:pPr>
              <w:spacing w:after="0" w:line="136" w:lineRule="exact"/>
              <w:rPr>
                <w:sz w:val="20"/>
                <w:szCs w:val="20"/>
                <w:color w:val="auto"/>
              </w:rPr>
            </w:pPr>
            <w:r>
              <w:rPr>
                <w:rFonts w:ascii="Arial" w:cs="Arial" w:eastAsia="Arial" w:hAnsi="Arial"/>
                <w:sz w:val="12"/>
                <w:szCs w:val="12"/>
                <w:color w:val="auto"/>
              </w:rPr>
              <w:t>Notes payable (at fair value)</w:t>
            </w: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53,174</w:t>
            </w:r>
          </w:p>
        </w:tc>
        <w:tc>
          <w:tcPr>
            <w:tcW w:w="520" w:type="dxa"/>
            <w:vAlign w:val="bottom"/>
          </w:tcPr>
          <w:p>
            <w:pPr>
              <w:spacing w:after="0"/>
              <w:rPr>
                <w:sz w:val="11"/>
                <w:szCs w:val="11"/>
                <w:color w:val="auto"/>
              </w:rPr>
            </w:pP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Borrowings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53,968</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96,037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79,611</w:t>
            </w:r>
          </w:p>
        </w:tc>
      </w:tr>
      <w:tr>
        <w:trPr>
          <w:trHeight w:val="139"/>
        </w:trPr>
        <w:tc>
          <w:tcPr>
            <w:tcW w:w="5940" w:type="dxa"/>
            <w:vAlign w:val="bottom"/>
          </w:tcPr>
          <w:p>
            <w:pPr>
              <w:spacing w:after="0"/>
              <w:rPr>
                <w:sz w:val="20"/>
                <w:szCs w:val="20"/>
                <w:color w:val="auto"/>
              </w:rPr>
            </w:pPr>
            <w:r>
              <w:rPr>
                <w:rFonts w:ascii="Arial" w:cs="Arial" w:eastAsia="Arial" w:hAnsi="Arial"/>
                <w:sz w:val="12"/>
                <w:szCs w:val="12"/>
                <w:color w:val="auto"/>
              </w:rPr>
              <w:t>Payable to securitization note holders and residual certificate holders (includes $353,292 and $89,672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5940" w:type="dxa"/>
            <w:vAlign w:val="bottom"/>
          </w:tcPr>
          <w:p>
            <w:pPr>
              <w:ind w:left="120"/>
              <w:spacing w:after="0" w:line="136" w:lineRule="exact"/>
              <w:rPr>
                <w:sz w:val="20"/>
                <w:szCs w:val="20"/>
                <w:color w:val="auto"/>
              </w:rPr>
            </w:pPr>
            <w:r>
              <w:rPr>
                <w:rFonts w:ascii="Arial" w:cs="Arial" w:eastAsia="Arial" w:hAnsi="Arial"/>
                <w:sz w:val="12"/>
                <w:szCs w:val="12"/>
                <w:color w:val="auto"/>
              </w:rPr>
              <w:t>at fair value, and $61,439 and $41,343 to related parties as of December 31, 2018 and 2019,</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1"/>
        </w:trPr>
        <w:tc>
          <w:tcPr>
            <w:tcW w:w="5940" w:type="dxa"/>
            <w:vAlign w:val="bottom"/>
          </w:tcPr>
          <w:p>
            <w:pPr>
              <w:ind w:left="120"/>
              <w:spacing w:after="0" w:line="132" w:lineRule="exact"/>
              <w:rPr>
                <w:sz w:val="20"/>
                <w:szCs w:val="20"/>
                <w:color w:val="auto"/>
              </w:rPr>
            </w:pPr>
            <w:r>
              <w:rPr>
                <w:rFonts w:ascii="Arial" w:cs="Arial" w:eastAsia="Arial" w:hAnsi="Arial"/>
                <w:sz w:val="12"/>
                <w:szCs w:val="12"/>
                <w:color w:val="auto"/>
              </w:rPr>
              <w:t>respectively)</w:t>
            </w:r>
          </w:p>
        </w:tc>
        <w:tc>
          <w:tcPr>
            <w:tcW w:w="80" w:type="dxa"/>
            <w:vAlign w:val="bottom"/>
          </w:tcPr>
          <w:p>
            <w:pPr>
              <w:spacing w:after="0"/>
              <w:rPr>
                <w:sz w:val="11"/>
                <w:szCs w:val="11"/>
                <w:color w:val="auto"/>
              </w:rPr>
            </w:pPr>
          </w:p>
        </w:tc>
        <w:tc>
          <w:tcPr>
            <w:tcW w:w="440" w:type="dxa"/>
            <w:vAlign w:val="bottom"/>
          </w:tcPr>
          <w:p>
            <w:pPr>
              <w:jc w:val="right"/>
              <w:spacing w:after="0" w:line="132" w:lineRule="exact"/>
              <w:rPr>
                <w:sz w:val="20"/>
                <w:szCs w:val="20"/>
                <w:color w:val="auto"/>
              </w:rPr>
            </w:pPr>
            <w:r>
              <w:rPr>
                <w:rFonts w:ascii="Arial" w:cs="Arial" w:eastAsia="Arial" w:hAnsi="Arial"/>
                <w:sz w:val="12"/>
                <w:szCs w:val="12"/>
                <w:color w:val="auto"/>
                <w:w w:val="96"/>
              </w:rPr>
              <w:t>373,068</w:t>
            </w:r>
          </w:p>
        </w:tc>
        <w:tc>
          <w:tcPr>
            <w:tcW w:w="520" w:type="dxa"/>
            <w:vAlign w:val="bottom"/>
          </w:tcPr>
          <w:p>
            <w:pPr>
              <w:spacing w:after="0"/>
              <w:rPr>
                <w:sz w:val="11"/>
                <w:szCs w:val="11"/>
                <w:color w:val="auto"/>
              </w:rPr>
            </w:pPr>
          </w:p>
        </w:tc>
        <w:tc>
          <w:tcPr>
            <w:tcW w:w="680" w:type="dxa"/>
            <w:vAlign w:val="bottom"/>
            <w:gridSpan w:val="2"/>
          </w:tcPr>
          <w:p>
            <w:pPr>
              <w:jc w:val="right"/>
              <w:ind w:right="240"/>
              <w:spacing w:after="0" w:line="132" w:lineRule="exact"/>
              <w:rPr>
                <w:sz w:val="20"/>
                <w:szCs w:val="20"/>
                <w:color w:val="auto"/>
              </w:rPr>
            </w:pPr>
            <w:r>
              <w:rPr>
                <w:rFonts w:ascii="Arial" w:cs="Arial" w:eastAsia="Arial" w:hAnsi="Arial"/>
                <w:sz w:val="12"/>
                <w:szCs w:val="12"/>
                <w:color w:val="auto"/>
              </w:rPr>
              <w:t>96,107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1,611</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1,103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33</w:t>
            </w:r>
          </w:p>
        </w:tc>
      </w:tr>
      <w:tr>
        <w:trPr>
          <w:trHeight w:val="20"/>
        </w:trPr>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8"/>
        </w:trPr>
        <w:tc>
          <w:tcPr>
            <w:tcW w:w="5940" w:type="dxa"/>
            <w:vAlign w:val="bottom"/>
          </w:tcPr>
          <w:p>
            <w:pPr>
              <w:ind w:left="240"/>
              <w:spacing w:after="0"/>
              <w:rPr>
                <w:sz w:val="20"/>
                <w:szCs w:val="20"/>
                <w:color w:val="auto"/>
              </w:rPr>
            </w:pPr>
            <w:r>
              <w:rPr>
                <w:rFonts w:ascii="Arial" w:cs="Arial" w:eastAsia="Arial" w:hAnsi="Arial"/>
                <w:sz w:val="12"/>
                <w:szCs w:val="12"/>
                <w:color w:val="auto"/>
              </w:rPr>
              <w:t>Total liabilities</w:t>
            </w:r>
          </w:p>
        </w:tc>
        <w:tc>
          <w:tcPr>
            <w:tcW w:w="80" w:type="dxa"/>
            <w:vAlign w:val="bottom"/>
          </w:tcPr>
          <w:p>
            <w:pPr>
              <w:jc w:val="right"/>
              <w:spacing w:after="0"/>
              <w:rPr>
                <w:sz w:val="20"/>
                <w:szCs w:val="20"/>
                <w:color w:val="auto"/>
              </w:rPr>
            </w:pPr>
            <w:r>
              <w:rPr>
                <w:rFonts w:ascii="Arial" w:cs="Arial" w:eastAsia="Arial" w:hAnsi="Arial"/>
                <w:sz w:val="12"/>
                <w:szCs w:val="12"/>
                <w:u w:val="single" w:color="auto"/>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486,215</w:t>
            </w:r>
          </w:p>
        </w:tc>
        <w:tc>
          <w:tcPr>
            <w:tcW w:w="52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193,307</w:t>
            </w:r>
          </w:p>
        </w:tc>
        <w:tc>
          <w:tcPr>
            <w:tcW w:w="300" w:type="dxa"/>
            <w:vAlign w:val="bottom"/>
            <w:gridSpan w:val="2"/>
          </w:tcPr>
          <w:p>
            <w:pPr>
              <w:ind w:left="2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79,774</w:t>
            </w: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7" w:right="135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5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Operations and Comprehensive Income (Loss)</w:t>
      </w:r>
    </w:p>
    <w:p>
      <w:pPr>
        <w:spacing w:after="0" w:line="1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57"/>
              <w:spacing w:after="0" w:line="126" w:lineRule="exact"/>
              <w:rPr>
                <w:sz w:val="20"/>
                <w:szCs w:val="20"/>
                <w:color w:val="auto"/>
              </w:rPr>
            </w:pPr>
            <w:r>
              <w:rPr>
                <w:rFonts w:ascii="Arial" w:cs="Arial" w:eastAsia="Arial" w:hAnsi="Arial"/>
                <w:sz w:val="12"/>
                <w:szCs w:val="12"/>
                <w:b w:val="1"/>
                <w:bCs w:val="1"/>
                <w:color w:val="auto"/>
              </w:rPr>
              <w:t>2017</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76"/>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56"/>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57"/>
              <w:spacing w:after="0" w:line="126"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56"/>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60"/>
              <w:spacing w:after="0" w:line="136" w:lineRule="exact"/>
              <w:rPr>
                <w:sz w:val="20"/>
                <w:szCs w:val="20"/>
                <w:color w:val="auto"/>
              </w:rPr>
            </w:pPr>
            <w:r>
              <w:rPr>
                <w:rFonts w:ascii="Arial" w:cs="Arial" w:eastAsia="Arial" w:hAnsi="Arial"/>
                <w:sz w:val="13"/>
                <w:szCs w:val="13"/>
                <w:color w:val="auto"/>
              </w:rPr>
              <w:t>Revenue from fees, net</w:t>
            </w: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51,161</w:t>
            </w:r>
          </w:p>
        </w:tc>
        <w:tc>
          <w:tcPr>
            <w:tcW w:w="22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88,482</w:t>
            </w:r>
          </w:p>
        </w:tc>
        <w:tc>
          <w:tcPr>
            <w:tcW w:w="2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159,847</w:t>
            </w: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98,699</w:t>
            </w:r>
          </w:p>
        </w:tc>
        <w:tc>
          <w:tcPr>
            <w:tcW w:w="2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144,179</w:t>
            </w:r>
          </w:p>
        </w:tc>
        <w:tc>
          <w:tcPr>
            <w:tcW w:w="0" w:type="dxa"/>
            <w:vAlign w:val="bottom"/>
          </w:tcPr>
          <w:p>
            <w:pPr>
              <w:spacing w:after="0"/>
              <w:rPr>
                <w:sz w:val="1"/>
                <w:szCs w:val="1"/>
                <w:color w:val="auto"/>
              </w:rPr>
            </w:pPr>
          </w:p>
        </w:tc>
      </w:tr>
      <w:tr>
        <w:trPr>
          <w:trHeight w:val="132"/>
        </w:trPr>
        <w:tc>
          <w:tcPr>
            <w:tcW w:w="4280" w:type="dxa"/>
            <w:vAlign w:val="bottom"/>
            <w:shd w:val="clear" w:color="auto" w:fill="CCEEFF"/>
          </w:tcPr>
          <w:p>
            <w:pPr>
              <w:ind w:left="260"/>
              <w:spacing w:after="0" w:line="133" w:lineRule="exact"/>
              <w:rPr>
                <w:sz w:val="20"/>
                <w:szCs w:val="20"/>
                <w:color w:val="auto"/>
              </w:rPr>
            </w:pPr>
            <w:r>
              <w:rPr>
                <w:rFonts w:ascii="Arial" w:cs="Arial" w:eastAsia="Arial" w:hAnsi="Arial"/>
                <w:sz w:val="13"/>
                <w:szCs w:val="13"/>
                <w:color w:val="auto"/>
              </w:rPr>
              <w:t>Interest income and fair value adjustments, net (includes $573,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380"/>
              <w:spacing w:after="0" w:line="136" w:lineRule="exact"/>
              <w:rPr>
                <w:sz w:val="20"/>
                <w:szCs w:val="20"/>
                <w:color w:val="auto"/>
              </w:rPr>
            </w:pPr>
            <w:r>
              <w:rPr>
                <w:rFonts w:ascii="Arial" w:cs="Arial" w:eastAsia="Arial" w:hAnsi="Arial"/>
                <w:sz w:val="13"/>
                <w:szCs w:val="13"/>
                <w:color w:val="auto"/>
              </w:rPr>
              <w:t>$2,452, $2,963, $2,260, and $1,014 of related parties expense</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380"/>
              <w:spacing w:after="0" w:line="136" w:lineRule="exact"/>
              <w:rPr>
                <w:sz w:val="20"/>
                <w:szCs w:val="20"/>
                <w:color w:val="auto"/>
              </w:rPr>
            </w:pPr>
            <w:r>
              <w:rPr>
                <w:rFonts w:ascii="Arial" w:cs="Arial" w:eastAsia="Arial" w:hAnsi="Arial"/>
                <w:sz w:val="13"/>
                <w:szCs w:val="13"/>
                <w:color w:val="auto"/>
              </w:rPr>
              <w:t>and $0, ($4,031), $7,400, $5,597 and $4,238 of related parties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380"/>
              <w:spacing w:after="0" w:line="136" w:lineRule="exact"/>
              <w:rPr>
                <w:sz w:val="20"/>
                <w:szCs w:val="20"/>
                <w:color w:val="auto"/>
              </w:rPr>
            </w:pPr>
            <w:r>
              <w:rPr>
                <w:rFonts w:ascii="Arial" w:cs="Arial" w:eastAsia="Arial" w:hAnsi="Arial"/>
                <w:sz w:val="13"/>
                <w:szCs w:val="13"/>
                <w:color w:val="auto"/>
              </w:rPr>
              <w:t>fair value adjustments for the years ended December 31, 2017,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380"/>
              <w:spacing w:after="0" w:line="136" w:lineRule="exact"/>
              <w:rPr>
                <w:sz w:val="20"/>
                <w:szCs w:val="20"/>
                <w:color w:val="auto"/>
              </w:rPr>
            </w:pPr>
            <w:r>
              <w:rPr>
                <w:rFonts w:ascii="Arial" w:cs="Arial" w:eastAsia="Arial" w:hAnsi="Arial"/>
                <w:sz w:val="13"/>
                <w:szCs w:val="13"/>
                <w:color w:val="auto"/>
              </w:rPr>
              <w:t>2018 and 2019, and nine months ended September 30, 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(unaudited), and 2020 (unaudited), respectively)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6,128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10,831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4,342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2,918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2,527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80" w:type="dxa"/>
            <w:vAlign w:val="bottom"/>
          </w:tcPr>
          <w:p>
            <w:pPr>
              <w:ind w:left="520"/>
              <w:spacing w:after="0" w:line="138" w:lineRule="exact"/>
              <w:rPr>
                <w:sz w:val="20"/>
                <w:szCs w:val="20"/>
                <w:color w:val="auto"/>
              </w:rPr>
            </w:pPr>
            <w:r>
              <w:rPr>
                <w:rFonts w:ascii="Arial" w:cs="Arial" w:eastAsia="Arial" w:hAnsi="Arial"/>
                <w:sz w:val="13"/>
                <w:szCs w:val="13"/>
                <w:color w:val="auto"/>
              </w:rPr>
              <w:t>Total revenue</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57,289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99,313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164,189</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101,617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146,706</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Operating expenses:</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60"/>
              <w:spacing w:after="0" w:line="136" w:lineRule="exact"/>
              <w:rPr>
                <w:sz w:val="20"/>
                <w:szCs w:val="20"/>
                <w:color w:val="auto"/>
              </w:rPr>
            </w:pPr>
            <w:r>
              <w:rPr>
                <w:rFonts w:ascii="Arial" w:cs="Arial" w:eastAsia="Arial" w:hAnsi="Arial"/>
                <w:sz w:val="13"/>
                <w:szCs w:val="13"/>
                <w:color w:val="auto"/>
              </w:rPr>
              <w:t>Sales and marketing</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33,838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63,633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93,175</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61,236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65,113</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60"/>
              <w:spacing w:after="0" w:line="136" w:lineRule="exact"/>
              <w:rPr>
                <w:sz w:val="20"/>
                <w:szCs w:val="20"/>
                <w:color w:val="auto"/>
              </w:rPr>
            </w:pPr>
            <w:r>
              <w:rPr>
                <w:rFonts w:ascii="Arial" w:cs="Arial" w:eastAsia="Arial" w:hAnsi="Arial"/>
                <w:sz w:val="13"/>
                <w:szCs w:val="13"/>
                <w:color w:val="auto"/>
              </w:rPr>
              <w:t>Customer operations</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10,232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15,416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24,947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16,593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24,792</w:t>
            </w:r>
          </w:p>
        </w:tc>
        <w:tc>
          <w:tcPr>
            <w:tcW w:w="0" w:type="dxa"/>
            <w:vAlign w:val="bottom"/>
          </w:tcPr>
          <w:p>
            <w:pPr>
              <w:spacing w:after="0"/>
              <w:rPr>
                <w:sz w:val="1"/>
                <w:szCs w:val="1"/>
                <w:color w:val="auto"/>
              </w:rPr>
            </w:pPr>
          </w:p>
        </w:tc>
      </w:tr>
      <w:tr>
        <w:trPr>
          <w:trHeight w:val="135"/>
        </w:trPr>
        <w:tc>
          <w:tcPr>
            <w:tcW w:w="4280" w:type="dxa"/>
            <w:vAlign w:val="bottom"/>
          </w:tcPr>
          <w:p>
            <w:pPr>
              <w:ind w:left="260"/>
              <w:spacing w:after="0" w:line="136" w:lineRule="exact"/>
              <w:rPr>
                <w:sz w:val="20"/>
                <w:szCs w:val="20"/>
                <w:color w:val="auto"/>
              </w:rPr>
            </w:pPr>
            <w:r>
              <w:rPr>
                <w:rFonts w:ascii="Arial" w:cs="Arial" w:eastAsia="Arial" w:hAnsi="Arial"/>
                <w:sz w:val="13"/>
                <w:szCs w:val="13"/>
                <w:color w:val="auto"/>
              </w:rPr>
              <w:t>Engineering and product development</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5,324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8,415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18,777</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11,480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24,651</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60"/>
              <w:spacing w:after="0" w:line="136" w:lineRule="exact"/>
              <w:rPr>
                <w:sz w:val="20"/>
                <w:szCs w:val="20"/>
                <w:color w:val="auto"/>
              </w:rPr>
            </w:pPr>
            <w:r>
              <w:rPr>
                <w:rFonts w:ascii="Arial" w:cs="Arial" w:eastAsia="Arial" w:hAnsi="Arial"/>
                <w:sz w:val="13"/>
                <w:szCs w:val="13"/>
                <w:color w:val="auto"/>
              </w:rPr>
              <w:t>General, administrative, and other</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15,431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19,820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31,865</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20,399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30,778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80" w:type="dxa"/>
            <w:vAlign w:val="bottom"/>
          </w:tcPr>
          <w:p>
            <w:pPr>
              <w:ind w:left="520"/>
              <w:spacing w:after="0" w:line="138" w:lineRule="exact"/>
              <w:rPr>
                <w:sz w:val="20"/>
                <w:szCs w:val="20"/>
                <w:color w:val="auto"/>
              </w:rPr>
            </w:pPr>
            <w:r>
              <w:rPr>
                <w:rFonts w:ascii="Arial" w:cs="Arial" w:eastAsia="Arial" w:hAnsi="Arial"/>
                <w:sz w:val="13"/>
                <w:szCs w:val="13"/>
                <w:color w:val="auto"/>
              </w:rPr>
              <w:t>Total operating expenses</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64,825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107,284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168,764</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109,708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145,334</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(Loss) income from operations</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(7,536)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(7,971)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(4,575)</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(8,091)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1,372</w:t>
            </w:r>
          </w:p>
        </w:tc>
        <w:tc>
          <w:tcPr>
            <w:tcW w:w="0" w:type="dxa"/>
            <w:vAlign w:val="bottom"/>
          </w:tcPr>
          <w:p>
            <w:pPr>
              <w:spacing w:after="0"/>
              <w:rPr>
                <w:sz w:val="1"/>
                <w:szCs w:val="1"/>
                <w:color w:val="auto"/>
              </w:rPr>
            </w:pPr>
          </w:p>
        </w:tc>
      </w:tr>
      <w:tr>
        <w:trPr>
          <w:trHeight w:val="135"/>
        </w:trPr>
        <w:tc>
          <w:tcPr>
            <w:tcW w:w="4280" w:type="dxa"/>
            <w:vAlign w:val="bottom"/>
          </w:tcPr>
          <w:p>
            <w:pPr>
              <w:spacing w:after="0" w:line="136" w:lineRule="exact"/>
              <w:rPr>
                <w:sz w:val="20"/>
                <w:szCs w:val="20"/>
                <w:color w:val="auto"/>
              </w:rPr>
            </w:pPr>
            <w:r>
              <w:rPr>
                <w:rFonts w:ascii="Arial" w:cs="Arial" w:eastAsia="Arial" w:hAnsi="Arial"/>
                <w:sz w:val="13"/>
                <w:szCs w:val="13"/>
                <w:color w:val="auto"/>
              </w:rPr>
              <w:t>Other income</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330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487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1,036</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832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5,497</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Expense on warrants and convertible notes, net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(1,649)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(3,734)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(1,407)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(2,626)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(2,317)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3"/>
                <w:szCs w:val="13"/>
                <w:color w:val="auto"/>
              </w:rPr>
              <w:t>Net (loss) income before income taxes</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(8,855)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(11,218)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(4,946)</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(9,885)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4,552</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Provision for income taxes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3"/>
                <w:szCs w:val="13"/>
                <w:color w:val="auto"/>
              </w:rPr>
              <w:t>Net (loss) income before attribution to noncontrolling interests</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(8,861)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(11,218)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(5,020)</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(9,885)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4,552</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(loss) income attributable to noncontrolling interests</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(1,144)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1,101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(4,554)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(3,368)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(loss) income attributable to Upstart Holdings, Inc. common</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80" w:type="dxa"/>
            <w:vAlign w:val="bottom"/>
          </w:tcPr>
          <w:p>
            <w:pPr>
              <w:ind w:left="140"/>
              <w:spacing w:after="0" w:line="138" w:lineRule="exact"/>
              <w:rPr>
                <w:sz w:val="20"/>
                <w:szCs w:val="20"/>
                <w:color w:val="auto"/>
              </w:rPr>
            </w:pPr>
            <w:r>
              <w:rPr>
                <w:rFonts w:ascii="Arial" w:cs="Arial" w:eastAsia="Arial" w:hAnsi="Arial"/>
                <w:sz w:val="13"/>
                <w:szCs w:val="13"/>
                <w:color w:val="auto"/>
              </w:rPr>
              <w:t>stockholders</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(7,717)</w:t>
            </w:r>
          </w:p>
        </w:tc>
        <w:tc>
          <w:tcPr>
            <w:tcW w:w="2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(12,319)</w:t>
            </w:r>
          </w:p>
        </w:tc>
        <w:tc>
          <w:tcPr>
            <w:tcW w:w="2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(466)</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(6,517)</w:t>
            </w:r>
          </w:p>
        </w:tc>
        <w:tc>
          <w:tcPr>
            <w:tcW w:w="2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4,956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Net (loss) income per common share attributable to Upstart Holdings,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Inc. stockholders, basic and diluted</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(0.56)</w:t>
            </w:r>
          </w:p>
        </w:tc>
        <w:tc>
          <w:tcPr>
            <w:tcW w:w="2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(0.87)</w:t>
            </w: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(0.03)</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(0.46)</w:t>
            </w: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outstanding used in computing net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140"/>
              <w:spacing w:after="0" w:line="136" w:lineRule="exact"/>
              <w:rPr>
                <w:sz w:val="20"/>
                <w:szCs w:val="20"/>
                <w:color w:val="auto"/>
              </w:rPr>
            </w:pPr>
            <w:r>
              <w:rPr>
                <w:rFonts w:ascii="Arial" w:cs="Arial" w:eastAsia="Arial" w:hAnsi="Arial"/>
                <w:sz w:val="13"/>
                <w:szCs w:val="13"/>
                <w:color w:val="auto"/>
              </w:rPr>
              <w:t>loss per share attributable to Upstart Holdings, Inc. common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80" w:type="dxa"/>
            <w:vAlign w:val="bottom"/>
          </w:tcPr>
          <w:p>
            <w:pPr>
              <w:ind w:left="140"/>
              <w:spacing w:after="0" w:line="138" w:lineRule="exact"/>
              <w:rPr>
                <w:sz w:val="20"/>
                <w:szCs w:val="20"/>
                <w:color w:val="auto"/>
              </w:rPr>
            </w:pPr>
            <w:r>
              <w:rPr>
                <w:rFonts w:ascii="Arial" w:cs="Arial" w:eastAsia="Arial" w:hAnsi="Arial"/>
                <w:sz w:val="13"/>
                <w:szCs w:val="13"/>
                <w:color w:val="auto"/>
              </w:rPr>
              <w:t>stockholders, basic and diluted</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w w:val="95"/>
              </w:rPr>
              <w:t>13,873,810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5"/>
              </w:rPr>
              <w:t>14,128,183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w w:val="95"/>
              </w:rPr>
              <w:t>14,335,611</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w w:val="95"/>
              </w:rPr>
              <w:t>14,313,262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5"/>
              </w:rPr>
              <w:t>14,663,623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income per share attributable to Upstart Holdings, Inc.</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common stockholders, basic (unaudited)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0.06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used to compute pro forma net</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140"/>
              <w:spacing w:after="0" w:line="136" w:lineRule="exact"/>
              <w:rPr>
                <w:sz w:val="20"/>
                <w:szCs w:val="20"/>
                <w:color w:val="auto"/>
              </w:rPr>
            </w:pPr>
            <w:r>
              <w:rPr>
                <w:rFonts w:ascii="Arial" w:cs="Arial" w:eastAsia="Arial" w:hAnsi="Arial"/>
                <w:sz w:val="13"/>
                <w:szCs w:val="13"/>
                <w:color w:val="auto"/>
              </w:rPr>
              <w:t>income per share attributable to Upstart Holdings, Inc. common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80" w:type="dxa"/>
            <w:vAlign w:val="bottom"/>
          </w:tcPr>
          <w:p>
            <w:pPr>
              <w:ind w:left="140"/>
              <w:spacing w:after="0" w:line="138" w:lineRule="exact"/>
              <w:rPr>
                <w:sz w:val="20"/>
                <w:szCs w:val="20"/>
                <w:color w:val="auto"/>
              </w:rPr>
            </w:pPr>
            <w:r>
              <w:rPr>
                <w:rFonts w:ascii="Arial" w:cs="Arial" w:eastAsia="Arial" w:hAnsi="Arial"/>
                <w:sz w:val="13"/>
                <w:szCs w:val="13"/>
                <w:color w:val="auto"/>
              </w:rPr>
              <w:t>stockholders, basic (unaudited)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w w:val="95"/>
              </w:rPr>
              <w:t>62,249,893</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5"/>
              </w:rPr>
              <w:t>62,613,408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income per share attributable to Upstart Holdings Inc.</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common stockholders, diluted (unaudited)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32"/>
        </w:trPr>
        <w:tc>
          <w:tcPr>
            <w:tcW w:w="4280" w:type="dxa"/>
            <w:vAlign w:val="bottom"/>
          </w:tcPr>
          <w:p>
            <w:pPr>
              <w:spacing w:after="0" w:line="133" w:lineRule="exact"/>
              <w:rPr>
                <w:sz w:val="20"/>
                <w:szCs w:val="20"/>
                <w:color w:val="auto"/>
              </w:rPr>
            </w:pPr>
            <w:r>
              <w:rPr>
                <w:rFonts w:ascii="Arial" w:cs="Arial" w:eastAsia="Arial" w:hAnsi="Arial"/>
                <w:sz w:val="13"/>
                <w:szCs w:val="13"/>
                <w:color w:val="auto"/>
              </w:rPr>
              <w:t>Weighted-average number of shares used to compute pro forma net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140"/>
              <w:spacing w:after="0" w:line="136" w:lineRule="exact"/>
              <w:rPr>
                <w:sz w:val="20"/>
                <w:szCs w:val="20"/>
                <w:color w:val="auto"/>
              </w:rPr>
            </w:pPr>
            <w:r>
              <w:rPr>
                <w:rFonts w:ascii="Arial" w:cs="Arial" w:eastAsia="Arial" w:hAnsi="Arial"/>
                <w:sz w:val="13"/>
                <w:szCs w:val="13"/>
                <w:color w:val="auto"/>
              </w:rPr>
              <w:t>income per share attributable to Upstart Holdings Inc. common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280" w:type="dxa"/>
            <w:vAlign w:val="bottom"/>
          </w:tcPr>
          <w:p>
            <w:pPr>
              <w:ind w:left="140"/>
              <w:spacing w:after="0"/>
              <w:rPr>
                <w:sz w:val="20"/>
                <w:szCs w:val="20"/>
                <w:color w:val="auto"/>
              </w:rPr>
            </w:pPr>
            <w:r>
              <w:rPr>
                <w:rFonts w:ascii="Arial" w:cs="Arial" w:eastAsia="Arial" w:hAnsi="Arial"/>
                <w:sz w:val="13"/>
                <w:szCs w:val="13"/>
                <w:color w:val="auto"/>
              </w:rPr>
              <w:t>stockholders, diluted (unaudited)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w w:val="95"/>
              </w:rPr>
              <w:t>71,497,924</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71,733,580</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7" w:right="135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Convertible Preferred Stock and Stockholders’ Deficit</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(In thousands, except share amounts)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1540" w:type="dxa"/>
            <w:vAlign w:val="bottom"/>
            <w:tcBorders>
              <w:right w:val="single" w:sz="8" w:color="auto"/>
            </w:tcBorders>
            <w:gridSpan w:val="6"/>
            <w:vMerge w:val="restart"/>
          </w:tcPr>
          <w:p>
            <w:pPr>
              <w:jc w:val="right"/>
              <w:ind w:right="540"/>
              <w:spacing w:after="0"/>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7"/>
              </w:rPr>
              <w:t>Total Upstart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220" w:type="dxa"/>
            <w:vAlign w:val="bottom"/>
          </w:tcPr>
          <w:p>
            <w:pPr>
              <w:spacing w:after="0"/>
              <w:rPr>
                <w:sz w:val="4"/>
                <w:szCs w:val="4"/>
                <w:color w:val="auto"/>
              </w:rPr>
            </w:pPr>
          </w:p>
        </w:tc>
        <w:tc>
          <w:tcPr>
            <w:tcW w:w="1540" w:type="dxa"/>
            <w:vAlign w:val="bottom"/>
            <w:tcBorders>
              <w:right w:val="single" w:sz="8" w:color="auto"/>
            </w:tcBorders>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restart"/>
          </w:tcPr>
          <w:p>
            <w:pPr>
              <w:ind w:left="20"/>
              <w:spacing w:after="0" w:line="113"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restart"/>
          </w:tcPr>
          <w:p>
            <w:pPr>
              <w:spacing w:after="0" w:line="113" w:lineRule="exact"/>
              <w:rPr>
                <w:sz w:val="20"/>
                <w:szCs w:val="20"/>
                <w:color w:val="auto"/>
              </w:rPr>
            </w:pPr>
            <w:r>
              <w:rPr>
                <w:rFonts w:ascii="Arial" w:cs="Arial" w:eastAsia="Arial" w:hAnsi="Arial"/>
                <w:sz w:val="11"/>
                <w:szCs w:val="11"/>
                <w:b w:val="1"/>
                <w:bCs w:val="1"/>
                <w:color w:val="auto"/>
              </w:rPr>
              <w:t>Holdings, Inc.</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right"/>
              <w:ind w:right="320"/>
              <w:spacing w:after="0" w:line="113"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6"/>
        </w:trPr>
        <w:tc>
          <w:tcPr>
            <w:tcW w:w="2220" w:type="dxa"/>
            <w:vAlign w:val="bottom"/>
          </w:tcPr>
          <w:p>
            <w:pPr>
              <w:spacing w:after="0"/>
              <w:rPr>
                <w:sz w:val="4"/>
                <w:szCs w:val="4"/>
                <w:color w:val="auto"/>
              </w:rPr>
            </w:pPr>
          </w:p>
        </w:tc>
        <w:tc>
          <w:tcPr>
            <w:tcW w:w="1440" w:type="dxa"/>
            <w:vAlign w:val="bottom"/>
            <w:gridSpan w:val="5"/>
            <w:vMerge w:val="restart"/>
          </w:tcPr>
          <w:p>
            <w:pPr>
              <w:jc w:val="right"/>
              <w:ind w:right="273"/>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Borders>
              <w:right w:val="single" w:sz="8" w:color="auto"/>
            </w:tcBorders>
            <w:vMerge w:val="restart"/>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4"/>
            <w:vMerge w:val="restart"/>
          </w:tcPr>
          <w:p>
            <w:pPr>
              <w:ind w:left="240"/>
              <w:spacing w:after="0"/>
              <w:rPr>
                <w:sz w:val="20"/>
                <w:szCs w:val="20"/>
                <w:color w:val="auto"/>
              </w:rPr>
            </w:pPr>
            <w:r>
              <w:rPr>
                <w:rFonts w:ascii="Arial" w:cs="Arial" w:eastAsia="Arial" w:hAnsi="Arial"/>
                <w:sz w:val="11"/>
                <w:szCs w:val="11"/>
                <w:b w:val="1"/>
                <w:bCs w:val="1"/>
                <w:color w:val="auto"/>
                <w:w w:val="99"/>
              </w:rPr>
              <w:t>Common Stock</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220" w:type="dxa"/>
            <w:vAlign w:val="bottom"/>
          </w:tcPr>
          <w:p>
            <w:pPr>
              <w:spacing w:after="0"/>
              <w:rPr>
                <w:sz w:val="8"/>
                <w:szCs w:val="8"/>
                <w:color w:val="auto"/>
              </w:rPr>
            </w:pPr>
          </w:p>
        </w:tc>
        <w:tc>
          <w:tcPr>
            <w:tcW w:w="1440" w:type="dxa"/>
            <w:vAlign w:val="bottom"/>
            <w:tcBorders>
              <w:bottom w:val="single" w:sz="8" w:color="auto"/>
            </w:tcBorders>
            <w:gridSpan w:val="5"/>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200"/>
              <w:spacing w:after="0" w:line="93" w:lineRule="exact"/>
              <w:rPr>
                <w:sz w:val="20"/>
                <w:szCs w:val="20"/>
                <w:color w:val="auto"/>
              </w:rPr>
            </w:pPr>
            <w:r>
              <w:rPr>
                <w:rFonts w:ascii="Arial" w:cs="Arial" w:eastAsia="Arial" w:hAnsi="Arial"/>
                <w:sz w:val="9"/>
                <w:szCs w:val="9"/>
                <w:b w:val="1"/>
                <w:bCs w:val="1"/>
                <w:color w:val="auto"/>
              </w:rPr>
              <w:t>Paid-in</w:t>
            </w:r>
          </w:p>
        </w:tc>
        <w:tc>
          <w:tcPr>
            <w:tcW w:w="76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8"/>
                <w:szCs w:val="8"/>
                <w:color w:val="auto"/>
              </w:rPr>
            </w:pPr>
          </w:p>
        </w:tc>
        <w:tc>
          <w:tcPr>
            <w:tcW w:w="80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Stockholders’</w:t>
            </w:r>
          </w:p>
        </w:tc>
        <w:tc>
          <w:tcPr>
            <w:tcW w:w="60" w:type="dxa"/>
            <w:vAlign w:val="bottom"/>
          </w:tcPr>
          <w:p>
            <w:pPr>
              <w:spacing w:after="0"/>
              <w:rPr>
                <w:sz w:val="8"/>
                <w:szCs w:val="8"/>
                <w:color w:val="auto"/>
              </w:rPr>
            </w:pPr>
          </w:p>
        </w:tc>
        <w:tc>
          <w:tcPr>
            <w:tcW w:w="86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Noncontrolling</w:t>
            </w:r>
          </w:p>
        </w:tc>
        <w:tc>
          <w:tcPr>
            <w:tcW w:w="60" w:type="dxa"/>
            <w:vAlign w:val="bottom"/>
          </w:tcPr>
          <w:p>
            <w:pPr>
              <w:spacing w:after="0"/>
              <w:rPr>
                <w:sz w:val="8"/>
                <w:szCs w:val="8"/>
                <w:color w:val="auto"/>
              </w:rPr>
            </w:pPr>
          </w:p>
        </w:tc>
        <w:tc>
          <w:tcPr>
            <w:tcW w:w="78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30"/>
        </w:trPr>
        <w:tc>
          <w:tcPr>
            <w:tcW w:w="22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Interests</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Balances as of December 31, 2016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35,137,187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87,756</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12,480,195</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(55,042)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(50,477)</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(50,477)</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Series C-1 convertible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preferred stock</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307,825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1,112</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common stock</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warrants</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272,010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142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1,290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Contributions of interests in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16,689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16,689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Return of capital to interests in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(2,238)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(7,717)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(7,717)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(1,144)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(8,861)</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as of December 31, 2017</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35,445,012</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88,868</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12,752,205</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6,038</w:t>
            </w: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(62,759)</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(56,720)</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13,307</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(43,413)</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Series C-1 convertible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preferred stock upon conversion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of convertible promissory notes</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5,871,382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21,210</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Series D convertible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preferred stock, net of issuance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costs of $2,255</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5,566,483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47,845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239,065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323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323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323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2,045</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2,045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Contributions of interests in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9,166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9,166</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Return of capital to interests in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(11,573)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(11,573)</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 income</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(12,319)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(12,319)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1,101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(11,218)</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December 31, 2018</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46,882,877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157,923</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12,991,270</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8,406</w:t>
            </w: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(75,078)</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(66,671)</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12,001</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(54,670)</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Series D convertible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preferred stock, net of issuance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costs of $8</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444,428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3,992</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Series B convertible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preferred stock upon exercise of</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convertible preferred stock</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warrants</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300,103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1,631</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Repurchase and retirement of</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Series C convertible preferred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(277,831)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60"/>
              <w:spacing w:after="0" w:line="156"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339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339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339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99"/>
              </w:rPr>
              <w:t>Exercise of common stock warrants</w:t>
            </w: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1,297,884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272,244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277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278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3,806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3,806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Return of capital to interests in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(4,960)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Deconsolidation of interests in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(1,461)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(466)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(4,554)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December 31, 2019</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47,349,577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162,546</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14,561,398</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12,489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(75,205)</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(62,714)</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1,026</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20"/>
          </w:cols>
          <w:pgMar w:left="320" w:top="407" w:right="135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Convertible Preferred Stock and Stockholders’ Deficit—(Continued)</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(In thousands, except share amounts)</w:t>
      </w:r>
    </w:p>
    <w:p>
      <w:pPr>
        <w:spacing w:after="0" w:line="39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480" w:type="dxa"/>
            <w:vAlign w:val="bottom"/>
            <w:tcBorders>
              <w:right w:val="single" w:sz="8" w:color="auto"/>
            </w:tcBorders>
            <w:gridSpan w:val="3"/>
            <w:vMerge w:val="restart"/>
          </w:tcPr>
          <w:p>
            <w:pPr>
              <w:jc w:val="right"/>
              <w:ind w:right="414"/>
              <w:spacing w:after="0"/>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7"/>
              </w:rPr>
              <w:t>Total Upstart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280" w:type="dxa"/>
            <w:vAlign w:val="bottom"/>
          </w:tcPr>
          <w:p>
            <w:pPr>
              <w:spacing w:after="0"/>
              <w:rPr>
                <w:sz w:val="4"/>
                <w:szCs w:val="4"/>
                <w:color w:val="auto"/>
              </w:rPr>
            </w:pPr>
          </w:p>
        </w:tc>
        <w:tc>
          <w:tcPr>
            <w:tcW w:w="1480" w:type="dxa"/>
            <w:vAlign w:val="bottom"/>
            <w:tcBorders>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restart"/>
          </w:tcPr>
          <w:p>
            <w:pPr>
              <w:ind w:left="20"/>
              <w:spacing w:after="0" w:line="113"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restart"/>
          </w:tcPr>
          <w:p>
            <w:pPr>
              <w:spacing w:after="0" w:line="113" w:lineRule="exact"/>
              <w:rPr>
                <w:sz w:val="20"/>
                <w:szCs w:val="20"/>
                <w:color w:val="auto"/>
              </w:rPr>
            </w:pPr>
            <w:r>
              <w:rPr>
                <w:rFonts w:ascii="Arial" w:cs="Arial" w:eastAsia="Arial" w:hAnsi="Arial"/>
                <w:sz w:val="11"/>
                <w:szCs w:val="11"/>
                <w:b w:val="1"/>
                <w:bCs w:val="1"/>
                <w:color w:val="auto"/>
              </w:rPr>
              <w:t>Holdings, Inc.</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right"/>
              <w:ind w:right="320"/>
              <w:spacing w:after="0" w:line="113"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6"/>
        </w:trPr>
        <w:tc>
          <w:tcPr>
            <w:tcW w:w="2280" w:type="dxa"/>
            <w:vAlign w:val="bottom"/>
          </w:tcPr>
          <w:p>
            <w:pPr>
              <w:spacing w:after="0"/>
              <w:rPr>
                <w:sz w:val="4"/>
                <w:szCs w:val="4"/>
                <w:color w:val="auto"/>
              </w:rPr>
            </w:pPr>
          </w:p>
        </w:tc>
        <w:tc>
          <w:tcPr>
            <w:tcW w:w="1480" w:type="dxa"/>
            <w:vAlign w:val="bottom"/>
            <w:tcBorders>
              <w:right w:val="single" w:sz="8" w:color="auto"/>
            </w:tcBorders>
            <w:gridSpan w:val="3"/>
            <w:vMerge w:val="restart"/>
          </w:tcPr>
          <w:p>
            <w:pPr>
              <w:jc w:val="right"/>
              <w:ind w:right="314"/>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4"/>
                <w:szCs w:val="4"/>
                <w:color w:val="auto"/>
              </w:rPr>
            </w:pPr>
          </w:p>
        </w:tc>
        <w:tc>
          <w:tcPr>
            <w:tcW w:w="1040" w:type="dxa"/>
            <w:vAlign w:val="bottom"/>
            <w:gridSpan w:val="4"/>
            <w:vMerge w:val="restart"/>
          </w:tcPr>
          <w:p>
            <w:pPr>
              <w:ind w:left="240"/>
              <w:spacing w:after="0"/>
              <w:rPr>
                <w:sz w:val="20"/>
                <w:szCs w:val="20"/>
                <w:color w:val="auto"/>
              </w:rPr>
            </w:pPr>
            <w:r>
              <w:rPr>
                <w:rFonts w:ascii="Arial" w:cs="Arial" w:eastAsia="Arial" w:hAnsi="Arial"/>
                <w:sz w:val="11"/>
                <w:szCs w:val="11"/>
                <w:b w:val="1"/>
                <w:bCs w:val="1"/>
                <w:color w:val="auto"/>
                <w:w w:val="96"/>
              </w:rPr>
              <w:t>Common Stock</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280" w:type="dxa"/>
            <w:vAlign w:val="bottom"/>
          </w:tcPr>
          <w:p>
            <w:pPr>
              <w:spacing w:after="0"/>
              <w:rPr>
                <w:sz w:val="8"/>
                <w:szCs w:val="8"/>
                <w:color w:val="auto"/>
              </w:rPr>
            </w:pPr>
          </w:p>
        </w:tc>
        <w:tc>
          <w:tcPr>
            <w:tcW w:w="1480" w:type="dxa"/>
            <w:vAlign w:val="bottom"/>
            <w:tcBorders>
              <w:bottom w:val="single" w:sz="8" w:color="auto"/>
              <w:right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Borders>
              <w:bottom w:val="single" w:sz="8" w:color="auto"/>
            </w:tcBorders>
            <w:gridSpan w:val="4"/>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ind w:left="20"/>
              <w:spacing w:after="0" w:line="93" w:lineRule="exact"/>
              <w:rPr>
                <w:sz w:val="20"/>
                <w:szCs w:val="20"/>
                <w:color w:val="auto"/>
              </w:rPr>
            </w:pPr>
            <w:r>
              <w:rPr>
                <w:rFonts w:ascii="Arial" w:cs="Arial" w:eastAsia="Arial" w:hAnsi="Arial"/>
                <w:sz w:val="9"/>
                <w:szCs w:val="9"/>
                <w:b w:val="1"/>
                <w:bCs w:val="1"/>
                <w:color w:val="auto"/>
              </w:rPr>
              <w:t>Paid-in</w:t>
            </w:r>
          </w:p>
        </w:tc>
        <w:tc>
          <w:tcPr>
            <w:tcW w:w="76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8"/>
                <w:szCs w:val="8"/>
                <w:color w:val="auto"/>
              </w:rPr>
            </w:pPr>
          </w:p>
        </w:tc>
        <w:tc>
          <w:tcPr>
            <w:tcW w:w="80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Stockholders’</w:t>
            </w:r>
          </w:p>
        </w:tc>
        <w:tc>
          <w:tcPr>
            <w:tcW w:w="60" w:type="dxa"/>
            <w:vAlign w:val="bottom"/>
          </w:tcPr>
          <w:p>
            <w:pPr>
              <w:spacing w:after="0"/>
              <w:rPr>
                <w:sz w:val="8"/>
                <w:szCs w:val="8"/>
                <w:color w:val="auto"/>
              </w:rPr>
            </w:pPr>
          </w:p>
        </w:tc>
        <w:tc>
          <w:tcPr>
            <w:tcW w:w="86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Noncontrolling</w:t>
            </w:r>
          </w:p>
        </w:tc>
        <w:tc>
          <w:tcPr>
            <w:tcW w:w="60" w:type="dxa"/>
            <w:vAlign w:val="bottom"/>
          </w:tcPr>
          <w:p>
            <w:pPr>
              <w:spacing w:after="0"/>
              <w:rPr>
                <w:sz w:val="8"/>
                <w:szCs w:val="8"/>
                <w:color w:val="auto"/>
              </w:rPr>
            </w:pPr>
          </w:p>
        </w:tc>
        <w:tc>
          <w:tcPr>
            <w:tcW w:w="78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30"/>
        </w:trPr>
        <w:tc>
          <w:tcPr>
            <w:tcW w:w="22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Interest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as of December 31, 2018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46,882,877</w:t>
            </w:r>
          </w:p>
        </w:tc>
        <w:tc>
          <w:tcPr>
            <w:tcW w:w="740" w:type="dxa"/>
            <w:vAlign w:val="bottom"/>
            <w:tcBorders>
              <w:right w:val="single" w:sz="8" w:color="auto"/>
            </w:tcBorders>
            <w:gridSpan w:val="2"/>
            <w:shd w:val="clear" w:color="auto" w:fill="CCEEFF"/>
          </w:tcPr>
          <w:p>
            <w:pPr>
              <w:jc w:val="right"/>
              <w:ind w:right="14"/>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157,923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12,991,270</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8,406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(75,078)</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(66,671)</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(54,670)</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Issuance of Series D convertible</w:t>
            </w: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tcPr>
          <w:p>
            <w:pPr>
              <w:ind w:left="140"/>
              <w:spacing w:after="0" w:line="158" w:lineRule="exact"/>
              <w:rPr>
                <w:sz w:val="20"/>
                <w:szCs w:val="20"/>
                <w:color w:val="auto"/>
              </w:rPr>
            </w:pPr>
            <w:r>
              <w:rPr>
                <w:rFonts w:ascii="Arial" w:cs="Arial" w:eastAsia="Arial" w:hAnsi="Arial"/>
                <w:sz w:val="14"/>
                <w:szCs w:val="14"/>
                <w:color w:val="auto"/>
              </w:rPr>
              <w:t>preferred stock, net of issuance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4"/>
                <w:szCs w:val="14"/>
                <w:color w:val="auto"/>
              </w:rPr>
              <w:t>costs of $8 (unaudited)</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444,428</w:t>
            </w:r>
          </w:p>
        </w:tc>
        <w:tc>
          <w:tcPr>
            <w:tcW w:w="740" w:type="dxa"/>
            <w:vAlign w:val="bottom"/>
            <w:tcBorders>
              <w:right w:val="single" w:sz="8" w:color="auto"/>
            </w:tcBorders>
            <w:gridSpan w:val="2"/>
          </w:tcPr>
          <w:p>
            <w:pPr>
              <w:jc w:val="right"/>
              <w:ind w:right="14"/>
              <w:spacing w:after="0" w:line="156" w:lineRule="exact"/>
              <w:rPr>
                <w:sz w:val="20"/>
                <w:szCs w:val="20"/>
                <w:color w:val="auto"/>
              </w:rPr>
            </w:pPr>
            <w:r>
              <w:rPr>
                <w:rFonts w:ascii="Arial" w:cs="Arial" w:eastAsia="Arial" w:hAnsi="Arial"/>
                <w:sz w:val="14"/>
                <w:szCs w:val="14"/>
                <w:color w:val="auto"/>
              </w:rPr>
              <w:t>3,992</w:t>
            </w:r>
          </w:p>
        </w:tc>
        <w:tc>
          <w:tcPr>
            <w:tcW w:w="60" w:type="dxa"/>
            <w:vAlign w:val="bottom"/>
          </w:tcPr>
          <w:p>
            <w:pPr>
              <w:spacing w:after="0"/>
              <w:rPr>
                <w:sz w:val="13"/>
                <w:szCs w:val="13"/>
                <w:color w:val="auto"/>
              </w:rPr>
            </w:pPr>
          </w:p>
        </w:tc>
        <w:tc>
          <w:tcPr>
            <w:tcW w:w="800" w:type="dxa"/>
            <w:vAlign w:val="bottom"/>
            <w:gridSpan w:val="2"/>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Series B convertible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preferred stock upon exercise of</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convertible preferred stock</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warrants (unaudited)</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300,103</w:t>
            </w:r>
          </w:p>
        </w:tc>
        <w:tc>
          <w:tcPr>
            <w:tcW w:w="740" w:type="dxa"/>
            <w:vAlign w:val="bottom"/>
            <w:tcBorders>
              <w:right w:val="single" w:sz="8" w:color="auto"/>
            </w:tcBorders>
            <w:gridSpan w:val="2"/>
            <w:shd w:val="clear" w:color="auto" w:fill="CCEEFF"/>
          </w:tcPr>
          <w:p>
            <w:pPr>
              <w:jc w:val="right"/>
              <w:ind w:right="14"/>
              <w:spacing w:after="0" w:line="156" w:lineRule="exact"/>
              <w:rPr>
                <w:sz w:val="20"/>
                <w:szCs w:val="20"/>
                <w:color w:val="auto"/>
              </w:rPr>
            </w:pPr>
            <w:r>
              <w:rPr>
                <w:rFonts w:ascii="Arial" w:cs="Arial" w:eastAsia="Arial" w:hAnsi="Arial"/>
                <w:sz w:val="14"/>
                <w:szCs w:val="14"/>
                <w:color w:val="auto"/>
              </w:rPr>
              <w:t>1,631</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80" w:type="dxa"/>
            <w:vAlign w:val="bottom"/>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tcPr>
          <w:p>
            <w:pPr>
              <w:ind w:left="140"/>
              <w:spacing w:after="0" w:line="158" w:lineRule="exact"/>
              <w:rPr>
                <w:sz w:val="20"/>
                <w:szCs w:val="20"/>
                <w:color w:val="auto"/>
              </w:rPr>
            </w:pPr>
            <w:r>
              <w:rPr>
                <w:rFonts w:ascii="Arial" w:cs="Arial" w:eastAsia="Arial" w:hAnsi="Arial"/>
                <w:sz w:val="14"/>
                <w:szCs w:val="14"/>
                <w:color w:val="auto"/>
              </w:rPr>
              <w:t>exercise of stock options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54,777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Exercise of common stock warrants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1,297,884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80" w:type="dxa"/>
            <w:vAlign w:val="bottom"/>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120"/>
              <w:spacing w:after="0" w:line="156" w:lineRule="exact"/>
              <w:rPr>
                <w:sz w:val="20"/>
                <w:szCs w:val="20"/>
                <w:color w:val="auto"/>
              </w:rPr>
            </w:pPr>
            <w:r>
              <w:rPr>
                <w:rFonts w:ascii="Arial" w:cs="Arial" w:eastAsia="Arial" w:hAnsi="Arial"/>
                <w:sz w:val="14"/>
                <w:szCs w:val="14"/>
                <w:color w:val="auto"/>
              </w:rPr>
              <w:t>2,204</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2,204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Return of capital to interests in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 (unaudited)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(4,321)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(4,321)</w:t>
            </w:r>
          </w:p>
        </w:tc>
        <w:tc>
          <w:tcPr>
            <w:tcW w:w="0" w:type="dxa"/>
            <w:vAlign w:val="bottom"/>
          </w:tcPr>
          <w:p>
            <w:pPr>
              <w:spacing w:after="0"/>
              <w:rPr>
                <w:sz w:val="1"/>
                <w:szCs w:val="1"/>
                <w:color w:val="auto"/>
              </w:rPr>
            </w:pPr>
          </w:p>
        </w:tc>
      </w:tr>
      <w:tr>
        <w:trPr>
          <w:trHeight w:val="160"/>
        </w:trPr>
        <w:tc>
          <w:tcPr>
            <w:tcW w:w="2280" w:type="dxa"/>
            <w:vAlign w:val="bottom"/>
          </w:tcPr>
          <w:p>
            <w:pPr>
              <w:spacing w:after="0" w:line="158" w:lineRule="exact"/>
              <w:rPr>
                <w:sz w:val="20"/>
                <w:szCs w:val="20"/>
                <w:color w:val="auto"/>
              </w:rPr>
            </w:pPr>
            <w:r>
              <w:rPr>
                <w:rFonts w:ascii="Arial" w:cs="Arial" w:eastAsia="Arial" w:hAnsi="Arial"/>
                <w:sz w:val="14"/>
                <w:szCs w:val="14"/>
                <w:color w:val="auto"/>
              </w:rPr>
              <w:t>Net loss (unaudited)</w:t>
            </w:r>
          </w:p>
        </w:tc>
        <w:tc>
          <w:tcPr>
            <w:tcW w:w="740" w:type="dxa"/>
            <w:vAlign w:val="bottom"/>
          </w:tcPr>
          <w:p>
            <w:pPr>
              <w:jc w:val="right"/>
              <w:ind w:right="15"/>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8"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3"/>
                <w:szCs w:val="13"/>
                <w:color w:val="auto"/>
              </w:rPr>
            </w:pPr>
          </w:p>
        </w:tc>
        <w:tc>
          <w:tcPr>
            <w:tcW w:w="800" w:type="dxa"/>
            <w:vAlign w:val="bottom"/>
            <w:gridSpan w:val="2"/>
          </w:tcPr>
          <w:p>
            <w:pPr>
              <w:ind w:left="5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(6,517)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(6,517)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(3,368)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(9,885)</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Balance as of September 30, 2019</w:t>
            </w: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top w:val="single" w:sz="8" w:color="auto"/>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47,627,408</w:t>
            </w:r>
          </w:p>
        </w:tc>
        <w:tc>
          <w:tcPr>
            <w:tcW w:w="740" w:type="dxa"/>
            <w:vAlign w:val="bottom"/>
            <w:tcBorders>
              <w:right w:val="single" w:sz="8" w:color="auto"/>
            </w:tcBorders>
            <w:gridSpan w:val="2"/>
            <w:shd w:val="clear" w:color="auto" w:fill="CCEEFF"/>
          </w:tcPr>
          <w:p>
            <w:pPr>
              <w:jc w:val="right"/>
              <w:ind w:right="14"/>
              <w:spacing w:after="0" w:line="156" w:lineRule="exact"/>
              <w:rPr>
                <w:sz w:val="20"/>
                <w:szCs w:val="20"/>
                <w:color w:val="auto"/>
              </w:rPr>
            </w:pPr>
            <w:r>
              <w:rPr>
                <w:rFonts w:ascii="Arial" w:cs="Arial" w:eastAsia="Arial" w:hAnsi="Arial"/>
                <w:sz w:val="14"/>
                <w:szCs w:val="14"/>
                <w:color w:val="auto"/>
              </w:rPr>
              <w:t>$163,546</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14,343,931</w:t>
            </w:r>
          </w:p>
        </w:tc>
        <w:tc>
          <w:tcPr>
            <w:tcW w:w="24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76"/>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7"/>
              </w:rPr>
              <w:t>10,722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(81,595)</w:t>
            </w:r>
          </w:p>
        </w:tc>
        <w:tc>
          <w:tcPr>
            <w:tcW w:w="20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(70,872)</w:t>
            </w:r>
          </w:p>
        </w:tc>
        <w:tc>
          <w:tcPr>
            <w:tcW w:w="20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4,312</w:t>
            </w:r>
          </w:p>
        </w:tc>
        <w:tc>
          <w:tcPr>
            <w:tcW w:w="18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(66,560)</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Arial" w:cs="Arial" w:eastAsia="Arial" w:hAnsi="Arial"/>
                <w:sz w:val="14"/>
                <w:szCs w:val="14"/>
                <w:color w:val="auto"/>
              </w:rPr>
              <w:t>Balance as of December 31, 2019</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47,349,577</w:t>
            </w:r>
          </w:p>
        </w:tc>
        <w:tc>
          <w:tcPr>
            <w:tcW w:w="740" w:type="dxa"/>
            <w:vAlign w:val="bottom"/>
            <w:tcBorders>
              <w:right w:val="single" w:sz="8" w:color="auto"/>
            </w:tcBorders>
            <w:gridSpan w:val="2"/>
          </w:tcPr>
          <w:p>
            <w:pPr>
              <w:jc w:val="right"/>
              <w:ind w:right="14"/>
              <w:spacing w:after="0" w:line="158" w:lineRule="exact"/>
              <w:rPr>
                <w:sz w:val="20"/>
                <w:szCs w:val="20"/>
                <w:color w:val="auto"/>
              </w:rPr>
            </w:pPr>
            <w:r>
              <w:rPr>
                <w:rFonts w:ascii="Arial" w:cs="Arial" w:eastAsia="Arial" w:hAnsi="Arial"/>
                <w:sz w:val="14"/>
                <w:szCs w:val="14"/>
                <w:color w:val="auto"/>
              </w:rPr>
              <w:t>$162,546</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14,561,398</w:t>
            </w:r>
          </w:p>
        </w:tc>
        <w:tc>
          <w:tcPr>
            <w:tcW w:w="24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58" w:lineRule="exact"/>
              <w:rPr>
                <w:sz w:val="20"/>
                <w:szCs w:val="20"/>
                <w:color w:val="auto"/>
              </w:rPr>
            </w:pPr>
            <w:r>
              <w:rPr>
                <w:rFonts w:ascii="Arial" w:cs="Arial" w:eastAsia="Arial" w:hAnsi="Arial"/>
                <w:sz w:val="14"/>
                <w:szCs w:val="14"/>
                <w:color w:val="auto"/>
                <w:w w:val="76"/>
              </w:rPr>
              <w:t>2</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w w:val="97"/>
              </w:rPr>
              <w:t>12,489</w:t>
            </w:r>
          </w:p>
        </w:tc>
        <w:tc>
          <w:tcPr>
            <w:tcW w:w="120" w:type="dxa"/>
            <w:vAlign w:val="bottom"/>
          </w:tcPr>
          <w:p>
            <w:pPr>
              <w:spacing w:after="0"/>
              <w:rPr>
                <w:sz w:val="13"/>
                <w:szCs w:val="13"/>
                <w:color w:val="auto"/>
              </w:rPr>
            </w:pPr>
          </w:p>
        </w:tc>
        <w:tc>
          <w:tcPr>
            <w:tcW w:w="1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(75,205)</w:t>
            </w:r>
          </w:p>
        </w:tc>
        <w:tc>
          <w:tcPr>
            <w:tcW w:w="20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(62,714)</w:t>
            </w:r>
          </w:p>
        </w:tc>
        <w:tc>
          <w:tcPr>
            <w:tcW w:w="20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1,026</w:t>
            </w:r>
          </w:p>
        </w:tc>
        <w:tc>
          <w:tcPr>
            <w:tcW w:w="18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exercise of stock options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200,559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tcPr>
          <w:p>
            <w:pPr>
              <w:spacing w:after="0" w:line="159" w:lineRule="exact"/>
              <w:rPr>
                <w:sz w:val="20"/>
                <w:szCs w:val="20"/>
                <w:color w:val="auto"/>
              </w:rPr>
            </w:pPr>
            <w:r>
              <w:rPr>
                <w:rFonts w:ascii="Arial" w:cs="Arial" w:eastAsia="Arial" w:hAnsi="Arial"/>
                <w:sz w:val="14"/>
                <w:szCs w:val="14"/>
                <w:color w:val="auto"/>
              </w:rPr>
              <w:t>Issuance of common stock in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tcPr>
          <w:p>
            <w:pPr>
              <w:ind w:left="140"/>
              <w:spacing w:after="0" w:line="158" w:lineRule="exact"/>
              <w:rPr>
                <w:sz w:val="20"/>
                <w:szCs w:val="20"/>
                <w:color w:val="auto"/>
              </w:rPr>
            </w:pPr>
            <w:r>
              <w:rPr>
                <w:rFonts w:ascii="Arial" w:cs="Arial" w:eastAsia="Arial" w:hAnsi="Arial"/>
                <w:sz w:val="14"/>
                <w:szCs w:val="14"/>
                <w:color w:val="auto"/>
              </w:rPr>
              <w:t>connection with an incentive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4"/>
                <w:szCs w:val="14"/>
                <w:color w:val="auto"/>
              </w:rPr>
              <w:t>agreement (unaudited)</w:t>
            </w:r>
          </w:p>
        </w:tc>
        <w:tc>
          <w:tcPr>
            <w:tcW w:w="740" w:type="dxa"/>
            <w:vAlign w:val="bottom"/>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282,750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120"/>
              <w:spacing w:after="0" w:line="156" w:lineRule="exact"/>
              <w:rPr>
                <w:sz w:val="20"/>
                <w:szCs w:val="20"/>
                <w:color w:val="auto"/>
              </w:rPr>
            </w:pPr>
            <w:r>
              <w:rPr>
                <w:rFonts w:ascii="Arial" w:cs="Arial" w:eastAsia="Arial" w:hAnsi="Arial"/>
                <w:sz w:val="14"/>
                <w:szCs w:val="14"/>
                <w:color w:val="auto"/>
              </w:rPr>
              <w:t>1,696</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1,696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4"/>
                <w:szCs w:val="14"/>
                <w:color w:val="auto"/>
              </w:rPr>
              <w:t>7,432</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7,432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7,432</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Arial" w:cs="Arial" w:eastAsia="Arial" w:hAnsi="Arial"/>
                <w:sz w:val="14"/>
                <w:szCs w:val="14"/>
                <w:color w:val="auto"/>
                <w:w w:val="99"/>
              </w:rPr>
              <w:t>Incentive share expense (unaudited)</w:t>
            </w:r>
          </w:p>
        </w:tc>
        <w:tc>
          <w:tcPr>
            <w:tcW w:w="740" w:type="dxa"/>
            <w:vAlign w:val="bottom"/>
          </w:tcPr>
          <w:p>
            <w:pPr>
              <w:jc w:val="right"/>
              <w:ind w:right="15"/>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787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787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787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Return of capital on interest in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 (unaudited)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(622)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60"/>
        </w:trPr>
        <w:tc>
          <w:tcPr>
            <w:tcW w:w="2280" w:type="dxa"/>
            <w:vAlign w:val="bottom"/>
          </w:tcPr>
          <w:p>
            <w:pPr>
              <w:spacing w:after="0" w:line="158" w:lineRule="exact"/>
              <w:rPr>
                <w:sz w:val="20"/>
                <w:szCs w:val="20"/>
                <w:color w:val="auto"/>
              </w:rPr>
            </w:pPr>
            <w:r>
              <w:rPr>
                <w:rFonts w:ascii="Arial" w:cs="Arial" w:eastAsia="Arial" w:hAnsi="Arial"/>
                <w:sz w:val="14"/>
                <w:szCs w:val="14"/>
                <w:color w:val="auto"/>
              </w:rPr>
              <w:t>Net (loss) income (unaudited)</w:t>
            </w:r>
          </w:p>
        </w:tc>
        <w:tc>
          <w:tcPr>
            <w:tcW w:w="740" w:type="dxa"/>
            <w:vAlign w:val="bottom"/>
          </w:tcPr>
          <w:p>
            <w:pPr>
              <w:jc w:val="right"/>
              <w:ind w:right="15"/>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4,956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4,956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(404)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4,552</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Balance as of September 30, 2020</w:t>
            </w: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top w:val="single" w:sz="8" w:color="auto"/>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47,349,577</w:t>
            </w:r>
          </w:p>
        </w:tc>
        <w:tc>
          <w:tcPr>
            <w:tcW w:w="740" w:type="dxa"/>
            <w:vAlign w:val="bottom"/>
            <w:tcBorders>
              <w:right w:val="single" w:sz="8" w:color="auto"/>
            </w:tcBorders>
            <w:gridSpan w:val="2"/>
            <w:shd w:val="clear" w:color="auto" w:fill="CCEEFF"/>
          </w:tcPr>
          <w:p>
            <w:pPr>
              <w:jc w:val="right"/>
              <w:ind w:right="14"/>
              <w:spacing w:after="0" w:line="156"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162,546</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15,044,707</w:t>
            </w:r>
          </w:p>
        </w:tc>
        <w:tc>
          <w:tcPr>
            <w:tcW w:w="24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76"/>
              </w:rPr>
              <w:t>2</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7"/>
              </w:rPr>
              <w:t>22,914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(70,249)</w:t>
            </w:r>
          </w:p>
        </w:tc>
        <w:tc>
          <w:tcPr>
            <w:tcW w:w="20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(47,333)</w:t>
            </w:r>
          </w:p>
        </w:tc>
        <w:tc>
          <w:tcPr>
            <w:tcW w:w="20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(47,333)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07" w:right="135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(In thousands)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w w:val="99"/>
              </w:rPr>
              <w:t>Year Ended December 31,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2017</w:t>
            </w:r>
          </w:p>
        </w:tc>
        <w:tc>
          <w:tcPr>
            <w:tcW w:w="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72"/>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53"/>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54"/>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7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i w:val="1"/>
                <w:iCs w:val="1"/>
                <w:color w:val="auto"/>
                <w:w w:val="94"/>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r>
      <w:tr>
        <w:trPr>
          <w:trHeight w:val="158"/>
        </w:trPr>
        <w:tc>
          <w:tcPr>
            <w:tcW w:w="39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9"/>
        </w:trPr>
        <w:tc>
          <w:tcPr>
            <w:tcW w:w="3920" w:type="dxa"/>
            <w:vAlign w:val="bottom"/>
          </w:tcPr>
          <w:p>
            <w:pPr>
              <w:ind w:left="280"/>
              <w:spacing w:after="0" w:line="159" w:lineRule="exact"/>
              <w:rPr>
                <w:sz w:val="20"/>
                <w:szCs w:val="20"/>
                <w:color w:val="auto"/>
              </w:rPr>
            </w:pPr>
            <w:r>
              <w:rPr>
                <w:rFonts w:ascii="Arial" w:cs="Arial" w:eastAsia="Arial" w:hAnsi="Arial"/>
                <w:sz w:val="14"/>
                <w:szCs w:val="14"/>
                <w:color w:val="auto"/>
              </w:rPr>
              <w:t>Net (loss) income before attribution to noncontrolling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420"/>
              <w:spacing w:after="0" w:line="156" w:lineRule="exact"/>
              <w:rPr>
                <w:sz w:val="20"/>
                <w:szCs w:val="20"/>
                <w:color w:val="auto"/>
              </w:rPr>
            </w:pPr>
            <w:r>
              <w:rPr>
                <w:rFonts w:ascii="Arial" w:cs="Arial" w:eastAsia="Arial" w:hAnsi="Arial"/>
                <w:sz w:val="14"/>
                <w:szCs w:val="14"/>
                <w:color w:val="auto"/>
              </w:rPr>
              <w:t>interests</w:t>
            </w:r>
          </w:p>
        </w:tc>
        <w:tc>
          <w:tcPr>
            <w:tcW w:w="82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  (8,861)</w:t>
            </w:r>
          </w:p>
        </w:tc>
        <w:tc>
          <w:tcPr>
            <w:tcW w:w="126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   (11,218)</w:t>
            </w:r>
          </w:p>
        </w:tc>
        <w:tc>
          <w:tcPr>
            <w:tcW w:w="26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(5,020)</w:t>
            </w:r>
          </w:p>
        </w:tc>
        <w:tc>
          <w:tcPr>
            <w:tcW w:w="24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(9,885)</w:t>
            </w:r>
          </w:p>
        </w:tc>
        <w:tc>
          <w:tcPr>
            <w:tcW w:w="2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4,552</w:t>
            </w:r>
          </w:p>
        </w:tc>
      </w:tr>
      <w:tr>
        <w:trPr>
          <w:trHeight w:val="159"/>
        </w:trPr>
        <w:tc>
          <w:tcPr>
            <w:tcW w:w="392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Adjustments to reconcile net (loss) income to net cash</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92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(used in) provided by operating activities: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9"/>
        </w:trPr>
        <w:tc>
          <w:tcPr>
            <w:tcW w:w="3920" w:type="dxa"/>
            <w:vAlign w:val="bottom"/>
          </w:tcPr>
          <w:p>
            <w:pPr>
              <w:ind w:left="540"/>
              <w:spacing w:after="0" w:line="159" w:lineRule="exact"/>
              <w:rPr>
                <w:sz w:val="20"/>
                <w:szCs w:val="20"/>
                <w:color w:val="auto"/>
              </w:rPr>
            </w:pPr>
            <w:r>
              <w:rPr>
                <w:rFonts w:ascii="Arial" w:cs="Arial" w:eastAsia="Arial" w:hAnsi="Arial"/>
                <w:sz w:val="14"/>
                <w:szCs w:val="14"/>
                <w:color w:val="auto"/>
              </w:rPr>
              <w:t>Change in fair value of financial instruments (includes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920" w:type="dxa"/>
            <w:vAlign w:val="bottom"/>
          </w:tcPr>
          <w:p>
            <w:pPr>
              <w:ind w:left="680"/>
              <w:spacing w:after="0" w:line="158" w:lineRule="exact"/>
              <w:rPr>
                <w:sz w:val="20"/>
                <w:szCs w:val="20"/>
                <w:color w:val="auto"/>
              </w:rPr>
            </w:pPr>
            <w:r>
              <w:rPr>
                <w:rFonts w:ascii="Arial" w:cs="Arial" w:eastAsia="Arial" w:hAnsi="Arial"/>
                <w:sz w:val="14"/>
                <w:szCs w:val="14"/>
                <w:color w:val="auto"/>
              </w:rPr>
              <w:t>$0, $4,031, ($7,400), ($5,597) and ($4,238) from</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920" w:type="dxa"/>
            <w:vAlign w:val="bottom"/>
          </w:tcPr>
          <w:p>
            <w:pPr>
              <w:ind w:left="680"/>
              <w:spacing w:after="0" w:line="158" w:lineRule="exact"/>
              <w:rPr>
                <w:sz w:val="20"/>
                <w:szCs w:val="20"/>
                <w:color w:val="auto"/>
              </w:rPr>
            </w:pPr>
            <w:r>
              <w:rPr>
                <w:rFonts w:ascii="Arial" w:cs="Arial" w:eastAsia="Arial" w:hAnsi="Arial"/>
                <w:sz w:val="14"/>
                <w:szCs w:val="14"/>
                <w:color w:val="auto"/>
              </w:rPr>
              <w:t>related parties for the years ended December 31,</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920" w:type="dxa"/>
            <w:vAlign w:val="bottom"/>
          </w:tcPr>
          <w:p>
            <w:pPr>
              <w:ind w:left="680"/>
              <w:spacing w:after="0" w:line="158" w:lineRule="exact"/>
              <w:rPr>
                <w:sz w:val="20"/>
                <w:szCs w:val="20"/>
                <w:color w:val="auto"/>
              </w:rPr>
            </w:pPr>
            <w:r>
              <w:rPr>
                <w:rFonts w:ascii="Arial" w:cs="Arial" w:eastAsia="Arial" w:hAnsi="Arial"/>
                <w:sz w:val="14"/>
                <w:szCs w:val="14"/>
                <w:color w:val="auto"/>
              </w:rPr>
              <w:t>2017, 2018 and 2019, and nine months ended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920" w:type="dxa"/>
            <w:vAlign w:val="bottom"/>
          </w:tcPr>
          <w:p>
            <w:pPr>
              <w:ind w:left="680"/>
              <w:spacing w:after="0" w:line="158" w:lineRule="exact"/>
              <w:rPr>
                <w:sz w:val="20"/>
                <w:szCs w:val="20"/>
                <w:color w:val="auto"/>
              </w:rPr>
            </w:pPr>
            <w:r>
              <w:rPr>
                <w:rFonts w:ascii="Arial" w:cs="Arial" w:eastAsia="Arial" w:hAnsi="Arial"/>
                <w:sz w:val="14"/>
                <w:szCs w:val="14"/>
                <w:color w:val="auto"/>
              </w:rPr>
              <w:t>September 30, 2019 (unaudited), and 2020</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680"/>
              <w:spacing w:after="0" w:line="156" w:lineRule="exact"/>
              <w:rPr>
                <w:sz w:val="20"/>
                <w:szCs w:val="20"/>
                <w:color w:val="auto"/>
              </w:rPr>
            </w:pPr>
            <w:r>
              <w:rPr>
                <w:rFonts w:ascii="Arial" w:cs="Arial" w:eastAsia="Arial" w:hAnsi="Arial"/>
                <w:sz w:val="14"/>
                <w:szCs w:val="14"/>
                <w:color w:val="auto"/>
              </w:rPr>
              <w:t>(unaudited), respectively)</w:t>
            </w:r>
          </w:p>
        </w:tc>
        <w:tc>
          <w:tcPr>
            <w:tcW w:w="82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(5,201)</w:t>
            </w: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42,282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34,716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29,608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18,801</w:t>
            </w:r>
          </w:p>
        </w:tc>
        <w:tc>
          <w:tcPr>
            <w:tcW w:w="80" w:type="dxa"/>
            <w:vAlign w:val="bottom"/>
          </w:tcPr>
          <w:p>
            <w:pPr>
              <w:spacing w:after="0"/>
              <w:rPr>
                <w:sz w:val="13"/>
                <w:szCs w:val="13"/>
                <w:color w:val="auto"/>
              </w:rPr>
            </w:pPr>
          </w:p>
        </w:tc>
      </w:tr>
      <w:tr>
        <w:trPr>
          <w:trHeight w:val="158"/>
        </w:trPr>
        <w:tc>
          <w:tcPr>
            <w:tcW w:w="39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1,290</w:t>
            </w:r>
          </w:p>
        </w:tc>
        <w:tc>
          <w:tcPr>
            <w:tcW w:w="12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2,045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3,806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2,204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7,102</w:t>
            </w:r>
          </w:p>
        </w:tc>
      </w:tr>
      <w:tr>
        <w:trPr>
          <w:trHeight w:val="159"/>
        </w:trPr>
        <w:tc>
          <w:tcPr>
            <w:tcW w:w="3920" w:type="dxa"/>
            <w:vAlign w:val="bottom"/>
          </w:tcPr>
          <w:p>
            <w:pPr>
              <w:ind w:left="540"/>
              <w:spacing w:after="0" w:line="159" w:lineRule="exact"/>
              <w:rPr>
                <w:sz w:val="20"/>
                <w:szCs w:val="20"/>
                <w:color w:val="auto"/>
              </w:rPr>
            </w:pPr>
            <w:r>
              <w:rPr>
                <w:rFonts w:ascii="Arial" w:cs="Arial" w:eastAsia="Arial" w:hAnsi="Arial"/>
                <w:sz w:val="14"/>
                <w:szCs w:val="14"/>
                <w:color w:val="auto"/>
              </w:rPr>
              <w:t>Loss (gain) on loan servicing arrangements and sale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3920" w:type="dxa"/>
            <w:vAlign w:val="bottom"/>
          </w:tcPr>
          <w:p>
            <w:pPr>
              <w:ind w:left="680"/>
              <w:spacing w:after="0"/>
              <w:rPr>
                <w:sz w:val="20"/>
                <w:szCs w:val="20"/>
                <w:color w:val="auto"/>
              </w:rPr>
            </w:pPr>
            <w:r>
              <w:rPr>
                <w:rFonts w:ascii="Arial" w:cs="Arial" w:eastAsia="Arial" w:hAnsi="Arial"/>
                <w:sz w:val="14"/>
                <w:szCs w:val="14"/>
                <w:color w:val="auto"/>
              </w:rPr>
              <w:t>of noncontrolling interests, net</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1,515</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2,169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(1,747)</w:t>
            </w:r>
          </w:p>
        </w:tc>
      </w:tr>
      <w:tr>
        <w:trPr>
          <w:trHeight w:val="158"/>
        </w:trPr>
        <w:tc>
          <w:tcPr>
            <w:tcW w:w="39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Depreciation and amortization</w:t>
            </w:r>
          </w:p>
        </w:tc>
        <w:tc>
          <w:tcPr>
            <w:tcW w:w="8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93</w:t>
            </w:r>
          </w:p>
        </w:tc>
        <w:tc>
          <w:tcPr>
            <w:tcW w:w="12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314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1,631</w:t>
            </w:r>
          </w:p>
        </w:tc>
      </w:tr>
      <w:tr>
        <w:trPr>
          <w:trHeight w:val="158"/>
        </w:trPr>
        <w:tc>
          <w:tcPr>
            <w:tcW w:w="3920" w:type="dxa"/>
            <w:vAlign w:val="bottom"/>
          </w:tcPr>
          <w:p>
            <w:pPr>
              <w:ind w:left="540"/>
              <w:spacing w:after="0" w:line="158" w:lineRule="exact"/>
              <w:rPr>
                <w:sz w:val="20"/>
                <w:szCs w:val="20"/>
                <w:color w:val="auto"/>
              </w:rPr>
            </w:pPr>
            <w:r>
              <w:rPr>
                <w:rFonts w:ascii="Arial" w:cs="Arial" w:eastAsia="Arial" w:hAnsi="Arial"/>
                <w:sz w:val="14"/>
                <w:szCs w:val="14"/>
                <w:color w:val="auto"/>
              </w:rPr>
              <w:t>Incentive share expense</w:t>
            </w: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786</w:t>
            </w:r>
          </w:p>
        </w:tc>
        <w:tc>
          <w:tcPr>
            <w:tcW w:w="80" w:type="dxa"/>
            <w:vAlign w:val="bottom"/>
          </w:tcPr>
          <w:p>
            <w:pPr>
              <w:spacing w:after="0"/>
              <w:rPr>
                <w:sz w:val="13"/>
                <w:szCs w:val="13"/>
                <w:color w:val="auto"/>
              </w:rPr>
            </w:pPr>
          </w:p>
        </w:tc>
      </w:tr>
      <w:tr>
        <w:trPr>
          <w:trHeight w:val="158"/>
        </w:trPr>
        <w:tc>
          <w:tcPr>
            <w:tcW w:w="39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Noncash interest expense</w:t>
            </w:r>
          </w:p>
        </w:tc>
        <w:tc>
          <w:tcPr>
            <w:tcW w:w="8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42</w:t>
            </w:r>
          </w:p>
        </w:tc>
        <w:tc>
          <w:tcPr>
            <w:tcW w:w="12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3"/>
                <w:szCs w:val="13"/>
                <w:color w:val="auto"/>
              </w:rPr>
            </w:pPr>
          </w:p>
        </w:tc>
      </w:tr>
      <w:tr>
        <w:trPr>
          <w:trHeight w:val="159"/>
        </w:trPr>
        <w:tc>
          <w:tcPr>
            <w:tcW w:w="3920" w:type="dxa"/>
            <w:vAlign w:val="bottom"/>
          </w:tcPr>
          <w:p>
            <w:pPr>
              <w:ind w:left="540"/>
              <w:spacing w:after="0" w:line="159" w:lineRule="exact"/>
              <w:rPr>
                <w:sz w:val="20"/>
                <w:szCs w:val="20"/>
                <w:color w:val="auto"/>
              </w:rPr>
            </w:pPr>
            <w:r>
              <w:rPr>
                <w:rFonts w:ascii="Arial" w:cs="Arial" w:eastAsia="Arial" w:hAnsi="Arial"/>
                <w:sz w:val="14"/>
                <w:szCs w:val="14"/>
                <w:color w:val="auto"/>
              </w:rPr>
              <w:t>Gain on repurchased and retired convertible preferred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680"/>
              <w:spacing w:after="0" w:line="156" w:lineRule="exact"/>
              <w:rPr>
                <w:sz w:val="20"/>
                <w:szCs w:val="20"/>
                <w:color w:val="auto"/>
              </w:rPr>
            </w:pPr>
            <w:r>
              <w:rPr>
                <w:rFonts w:ascii="Arial" w:cs="Arial" w:eastAsia="Arial" w:hAnsi="Arial"/>
                <w:sz w:val="14"/>
                <w:szCs w:val="14"/>
                <w:color w:val="auto"/>
              </w:rPr>
              <w:t>stock warrants</w:t>
            </w: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(3,657)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9"/>
        </w:trPr>
        <w:tc>
          <w:tcPr>
            <w:tcW w:w="392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Accrued interest on convertible notes (includes $208</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3920" w:type="dxa"/>
            <w:vAlign w:val="bottom"/>
            <w:shd w:val="clear" w:color="auto" w:fill="CCEEFF"/>
          </w:tcPr>
          <w:p>
            <w:pPr>
              <w:ind w:left="680"/>
              <w:spacing w:after="0" w:line="158" w:lineRule="exact"/>
              <w:rPr>
                <w:sz w:val="20"/>
                <w:szCs w:val="20"/>
                <w:color w:val="auto"/>
              </w:rPr>
            </w:pPr>
            <w:r>
              <w:rPr>
                <w:rFonts w:ascii="Arial" w:cs="Arial" w:eastAsia="Arial" w:hAnsi="Arial"/>
                <w:sz w:val="14"/>
                <w:szCs w:val="14"/>
                <w:color w:val="auto"/>
              </w:rPr>
              <w:t>and $397 payable to related parties for the years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92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color w:val="auto"/>
              </w:rPr>
              <w:t>ended December 31, 2017 and 2018, respectively)</w:t>
            </w:r>
          </w:p>
        </w:tc>
        <w:tc>
          <w:tcPr>
            <w:tcW w:w="820" w:type="dxa"/>
            <w:vAlign w:val="bottom"/>
            <w:gridSpan w:val="3"/>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416</w:t>
            </w:r>
          </w:p>
        </w:tc>
        <w:tc>
          <w:tcPr>
            <w:tcW w:w="1260" w:type="dxa"/>
            <w:vAlign w:val="bottom"/>
            <w:gridSpan w:val="3"/>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794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8"/>
        </w:trPr>
        <w:tc>
          <w:tcPr>
            <w:tcW w:w="3920" w:type="dxa"/>
            <w:vAlign w:val="bottom"/>
          </w:tcPr>
          <w:p>
            <w:pPr>
              <w:ind w:left="540"/>
              <w:spacing w:after="0" w:line="158" w:lineRule="exact"/>
              <w:rPr>
                <w:sz w:val="20"/>
                <w:szCs w:val="20"/>
                <w:color w:val="auto"/>
              </w:rPr>
            </w:pPr>
            <w:r>
              <w:rPr>
                <w:rFonts w:ascii="Arial" w:cs="Arial" w:eastAsia="Arial" w:hAnsi="Arial"/>
                <w:sz w:val="14"/>
                <w:szCs w:val="14"/>
                <w:color w:val="auto"/>
              </w:rPr>
              <w:t>Net changes in operating assets and liabilities: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920" w:type="dxa"/>
            <w:vAlign w:val="bottom"/>
            <w:shd w:val="clear" w:color="auto" w:fill="CCEEFF"/>
          </w:tcPr>
          <w:p>
            <w:pPr>
              <w:ind w:left="820"/>
              <w:spacing w:after="0" w:line="159" w:lineRule="exact"/>
              <w:rPr>
                <w:sz w:val="20"/>
                <w:szCs w:val="20"/>
                <w:color w:val="auto"/>
              </w:rPr>
            </w:pPr>
            <w:r>
              <w:rPr>
                <w:rFonts w:ascii="Arial" w:cs="Arial" w:eastAsia="Arial" w:hAnsi="Arial"/>
                <w:sz w:val="14"/>
                <w:szCs w:val="14"/>
                <w:color w:val="auto"/>
              </w:rPr>
              <w:t>Purchase of loans for immediate resale to</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920" w:type="dxa"/>
            <w:vAlign w:val="bottom"/>
            <w:shd w:val="clear" w:color="auto" w:fill="CCEEFF"/>
          </w:tcPr>
          <w:p>
            <w:pPr>
              <w:ind w:left="960"/>
              <w:spacing w:after="0" w:line="156" w:lineRule="exact"/>
              <w:rPr>
                <w:sz w:val="20"/>
                <w:szCs w:val="20"/>
                <w:color w:val="auto"/>
              </w:rPr>
            </w:pPr>
            <w:r>
              <w:rPr>
                <w:rFonts w:ascii="Arial" w:cs="Arial" w:eastAsia="Arial" w:hAnsi="Arial"/>
                <w:sz w:val="14"/>
                <w:szCs w:val="14"/>
                <w:color w:val="auto"/>
              </w:rPr>
              <w:t>investors</w:t>
            </w:r>
          </w:p>
        </w:tc>
        <w:tc>
          <w:tcPr>
            <w:tcW w:w="82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4"/>
                <w:szCs w:val="14"/>
                <w:color w:val="auto"/>
              </w:rPr>
              <w:t>(580,438)</w:t>
            </w:r>
          </w:p>
        </w:tc>
        <w:tc>
          <w:tcPr>
            <w:tcW w:w="1260" w:type="dxa"/>
            <w:vAlign w:val="bottom"/>
            <w:gridSpan w:val="3"/>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(1,115,049)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w w:val="92"/>
              </w:rPr>
              <w:t>(1,779,180)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w w:val="94"/>
              </w:rPr>
              <w:t>(1,069,413)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w w:val="94"/>
              </w:rPr>
              <w:t>(1,554,705)</w:t>
            </w:r>
          </w:p>
        </w:tc>
      </w:tr>
      <w:tr>
        <w:trPr>
          <w:trHeight w:val="159"/>
        </w:trPr>
        <w:tc>
          <w:tcPr>
            <w:tcW w:w="3920" w:type="dxa"/>
            <w:vAlign w:val="bottom"/>
          </w:tcPr>
          <w:p>
            <w:pPr>
              <w:ind w:left="820"/>
              <w:spacing w:after="0" w:line="159" w:lineRule="exact"/>
              <w:rPr>
                <w:sz w:val="20"/>
                <w:szCs w:val="20"/>
                <w:color w:val="auto"/>
              </w:rPr>
            </w:pPr>
            <w:r>
              <w:rPr>
                <w:rFonts w:ascii="Arial" w:cs="Arial" w:eastAsia="Arial" w:hAnsi="Arial"/>
                <w:sz w:val="14"/>
                <w:szCs w:val="14"/>
                <w:color w:val="auto"/>
              </w:rPr>
              <w:t>Proceeds from immediate resale of loans to</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960"/>
              <w:spacing w:after="0" w:line="156" w:lineRule="exact"/>
              <w:rPr>
                <w:sz w:val="20"/>
                <w:szCs w:val="20"/>
                <w:color w:val="auto"/>
              </w:rPr>
            </w:pPr>
            <w:r>
              <w:rPr>
                <w:rFonts w:ascii="Arial" w:cs="Arial" w:eastAsia="Arial" w:hAnsi="Arial"/>
                <w:sz w:val="14"/>
                <w:szCs w:val="14"/>
                <w:color w:val="auto"/>
              </w:rPr>
              <w:t>investors</w:t>
            </w:r>
          </w:p>
        </w:tc>
        <w:tc>
          <w:tcPr>
            <w:tcW w:w="7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580,438</w:t>
            </w:r>
          </w:p>
        </w:tc>
        <w:tc>
          <w:tcPr>
            <w:tcW w:w="40" w:type="dxa"/>
            <w:vAlign w:val="bottom"/>
          </w:tcPr>
          <w:p>
            <w:pPr>
              <w:spacing w:after="0"/>
              <w:rPr>
                <w:sz w:val="13"/>
                <w:szCs w:val="13"/>
                <w:color w:val="auto"/>
              </w:rPr>
            </w:pPr>
          </w:p>
        </w:tc>
        <w:tc>
          <w:tcPr>
            <w:tcW w:w="1260" w:type="dxa"/>
            <w:vAlign w:val="bottom"/>
            <w:gridSpan w:val="3"/>
          </w:tcPr>
          <w:p>
            <w:pPr>
              <w:jc w:val="right"/>
              <w:ind w:right="200"/>
              <w:spacing w:after="0" w:line="156" w:lineRule="exact"/>
              <w:rPr>
                <w:sz w:val="20"/>
                <w:szCs w:val="20"/>
                <w:color w:val="auto"/>
              </w:rPr>
            </w:pPr>
            <w:r>
              <w:rPr>
                <w:rFonts w:ascii="Arial" w:cs="Arial" w:eastAsia="Arial" w:hAnsi="Arial"/>
                <w:sz w:val="14"/>
                <w:szCs w:val="14"/>
                <w:color w:val="auto"/>
              </w:rPr>
              <w:t>1,115,049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w w:val="99"/>
              </w:rPr>
              <w:t>1,779,180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w w:val="99"/>
              </w:rPr>
              <w:t>1,069,413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1,554,705</w:t>
            </w:r>
          </w:p>
        </w:tc>
        <w:tc>
          <w:tcPr>
            <w:tcW w:w="80" w:type="dxa"/>
            <w:vAlign w:val="bottom"/>
          </w:tcPr>
          <w:p>
            <w:pPr>
              <w:spacing w:after="0"/>
              <w:rPr>
                <w:sz w:val="13"/>
                <w:szCs w:val="13"/>
                <w:color w:val="auto"/>
              </w:rPr>
            </w:pPr>
          </w:p>
        </w:tc>
      </w:tr>
      <w:tr>
        <w:trPr>
          <w:trHeight w:val="158"/>
        </w:trPr>
        <w:tc>
          <w:tcPr>
            <w:tcW w:w="39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Purchase of loans held-for-sale</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(109,113)</w:t>
            </w:r>
          </w:p>
        </w:tc>
      </w:tr>
      <w:tr>
        <w:trPr>
          <w:trHeight w:val="159"/>
        </w:trPr>
        <w:tc>
          <w:tcPr>
            <w:tcW w:w="3920" w:type="dxa"/>
            <w:vAlign w:val="bottom"/>
          </w:tcPr>
          <w:p>
            <w:pPr>
              <w:ind w:left="820"/>
              <w:spacing w:after="0" w:line="159" w:lineRule="exact"/>
              <w:rPr>
                <w:sz w:val="20"/>
                <w:szCs w:val="20"/>
                <w:color w:val="auto"/>
              </w:rPr>
            </w:pPr>
            <w:r>
              <w:rPr>
                <w:rFonts w:ascii="Arial" w:cs="Arial" w:eastAsia="Arial" w:hAnsi="Arial"/>
                <w:sz w:val="14"/>
                <w:szCs w:val="14"/>
                <w:color w:val="auto"/>
              </w:rPr>
              <w:t>Principal payments received for loans held for</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960"/>
              <w:spacing w:after="0" w:line="156" w:lineRule="exact"/>
              <w:rPr>
                <w:sz w:val="20"/>
                <w:szCs w:val="20"/>
                <w:color w:val="auto"/>
              </w:rPr>
            </w:pPr>
            <w:r>
              <w:rPr>
                <w:rFonts w:ascii="Arial" w:cs="Arial" w:eastAsia="Arial" w:hAnsi="Arial"/>
                <w:sz w:val="14"/>
                <w:szCs w:val="14"/>
                <w:color w:val="auto"/>
              </w:rPr>
              <w:t>sale</w:t>
            </w: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15,237</w:t>
            </w:r>
          </w:p>
        </w:tc>
        <w:tc>
          <w:tcPr>
            <w:tcW w:w="80" w:type="dxa"/>
            <w:vAlign w:val="bottom"/>
          </w:tcPr>
          <w:p>
            <w:pPr>
              <w:spacing w:after="0"/>
              <w:rPr>
                <w:sz w:val="13"/>
                <w:szCs w:val="13"/>
                <w:color w:val="auto"/>
              </w:rPr>
            </w:pPr>
          </w:p>
        </w:tc>
      </w:tr>
      <w:tr>
        <w:trPr>
          <w:trHeight w:val="158"/>
        </w:trPr>
        <w:tc>
          <w:tcPr>
            <w:tcW w:w="39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Net proceeds from sale of loans held for sale</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6,813</w:t>
            </w:r>
          </w:p>
        </w:tc>
      </w:tr>
      <w:tr>
        <w:trPr>
          <w:trHeight w:val="158"/>
        </w:trPr>
        <w:tc>
          <w:tcPr>
            <w:tcW w:w="3920" w:type="dxa"/>
            <w:vAlign w:val="bottom"/>
          </w:tcPr>
          <w:p>
            <w:pPr>
              <w:ind w:left="820"/>
              <w:spacing w:after="0" w:line="158" w:lineRule="exact"/>
              <w:rPr>
                <w:sz w:val="20"/>
                <w:szCs w:val="20"/>
                <w:color w:val="auto"/>
              </w:rPr>
            </w:pPr>
            <w:r>
              <w:rPr>
                <w:rFonts w:ascii="Arial" w:cs="Arial" w:eastAsia="Arial" w:hAnsi="Arial"/>
                <w:sz w:val="14"/>
                <w:szCs w:val="14"/>
                <w:color w:val="auto"/>
              </w:rPr>
              <w:t>Other assets</w:t>
            </w:r>
          </w:p>
        </w:tc>
        <w:tc>
          <w:tcPr>
            <w:tcW w:w="82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(4,147)</w:t>
            </w:r>
          </w:p>
        </w:tc>
        <w:tc>
          <w:tcPr>
            <w:tcW w:w="126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(3,001)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(11,957)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(8,499)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(4,843)</w:t>
            </w:r>
          </w:p>
        </w:tc>
      </w:tr>
      <w:tr>
        <w:trPr>
          <w:trHeight w:val="158"/>
        </w:trPr>
        <w:tc>
          <w:tcPr>
            <w:tcW w:w="39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Operating lease liability and right-of-use asset</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871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755</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3"/>
                <w:szCs w:val="13"/>
                <w:color w:val="auto"/>
              </w:rPr>
            </w:pPr>
          </w:p>
        </w:tc>
      </w:tr>
      <w:tr>
        <w:trPr>
          <w:trHeight w:val="158"/>
        </w:trPr>
        <w:tc>
          <w:tcPr>
            <w:tcW w:w="3920" w:type="dxa"/>
            <w:vAlign w:val="bottom"/>
          </w:tcPr>
          <w:p>
            <w:pPr>
              <w:ind w:left="820"/>
              <w:spacing w:after="0" w:line="158" w:lineRule="exact"/>
              <w:rPr>
                <w:sz w:val="20"/>
                <w:szCs w:val="20"/>
                <w:color w:val="auto"/>
              </w:rPr>
            </w:pPr>
            <w:r>
              <w:rPr>
                <w:rFonts w:ascii="Arial" w:cs="Arial" w:eastAsia="Arial" w:hAnsi="Arial"/>
                <w:sz w:val="14"/>
                <w:szCs w:val="14"/>
                <w:color w:val="auto"/>
              </w:rPr>
              <w:t>Accounts payable</w:t>
            </w:r>
          </w:p>
        </w:tc>
        <w:tc>
          <w:tcPr>
            <w:tcW w:w="82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946</w:t>
            </w:r>
          </w:p>
        </w:tc>
        <w:tc>
          <w:tcPr>
            <w:tcW w:w="126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1,118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3,613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(1,509)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(592)</w:t>
            </w:r>
          </w:p>
        </w:tc>
      </w:tr>
      <w:tr>
        <w:trPr>
          <w:trHeight w:val="158"/>
        </w:trPr>
        <w:tc>
          <w:tcPr>
            <w:tcW w:w="39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Payable to investors</w:t>
            </w:r>
          </w:p>
        </w:tc>
        <w:tc>
          <w:tcPr>
            <w:tcW w:w="7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23,525</w:t>
            </w:r>
          </w:p>
        </w:tc>
        <w:tc>
          <w:tcPr>
            <w:tcW w:w="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14,100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(14,875)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(5,221)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13,137</w:t>
            </w:r>
          </w:p>
        </w:tc>
        <w:tc>
          <w:tcPr>
            <w:tcW w:w="80" w:type="dxa"/>
            <w:vAlign w:val="bottom"/>
            <w:shd w:val="clear" w:color="auto" w:fill="CCEEFF"/>
          </w:tcPr>
          <w:p>
            <w:pPr>
              <w:spacing w:after="0"/>
              <w:rPr>
                <w:sz w:val="13"/>
                <w:szCs w:val="13"/>
                <w:color w:val="auto"/>
              </w:rPr>
            </w:pPr>
          </w:p>
        </w:tc>
      </w:tr>
      <w:tr>
        <w:trPr>
          <w:trHeight w:val="160"/>
        </w:trPr>
        <w:tc>
          <w:tcPr>
            <w:tcW w:w="3920" w:type="dxa"/>
            <w:vAlign w:val="bottom"/>
          </w:tcPr>
          <w:p>
            <w:pPr>
              <w:ind w:left="820"/>
              <w:spacing w:after="0" w:line="158" w:lineRule="exact"/>
              <w:rPr>
                <w:sz w:val="20"/>
                <w:szCs w:val="20"/>
                <w:color w:val="auto"/>
              </w:rPr>
            </w:pPr>
            <w:r>
              <w:rPr>
                <w:rFonts w:ascii="Arial" w:cs="Arial" w:eastAsia="Arial" w:hAnsi="Arial"/>
                <w:sz w:val="14"/>
                <w:szCs w:val="14"/>
                <w:color w:val="auto"/>
              </w:rPr>
              <w:t>Other liabilities</w:t>
            </w:r>
          </w:p>
        </w:tc>
        <w:tc>
          <w:tcPr>
            <w:tcW w:w="82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739</w:t>
            </w:r>
          </w:p>
        </w:tc>
        <w:tc>
          <w:tcPr>
            <w:tcW w:w="126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1,716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22,381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11,945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(4,701)</w:t>
            </w:r>
          </w:p>
        </w:tc>
      </w:tr>
      <w:tr>
        <w:trPr>
          <w:trHeight w:val="159"/>
        </w:trPr>
        <w:tc>
          <w:tcPr>
            <w:tcW w:w="3920" w:type="dxa"/>
            <w:vAlign w:val="bottom"/>
            <w:shd w:val="clear" w:color="auto" w:fill="CCEEFF"/>
          </w:tcPr>
          <w:p>
            <w:pPr>
              <w:ind w:left="1080"/>
              <w:spacing w:after="0" w:line="159" w:lineRule="exact"/>
              <w:rPr>
                <w:sz w:val="20"/>
                <w:szCs w:val="20"/>
                <w:color w:val="auto"/>
              </w:rPr>
            </w:pPr>
            <w:r>
              <w:rPr>
                <w:rFonts w:ascii="Arial" w:cs="Arial" w:eastAsia="Arial" w:hAnsi="Arial"/>
                <w:sz w:val="14"/>
                <w:szCs w:val="14"/>
                <w:color w:val="auto"/>
              </w:rPr>
              <w:t>Net cash (used in) provided by operating</w:t>
            </w:r>
          </w:p>
        </w:tc>
        <w:tc>
          <w:tcPr>
            <w:tcW w:w="16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920" w:type="dxa"/>
            <w:vAlign w:val="bottom"/>
            <w:shd w:val="clear" w:color="auto" w:fill="CCEEFF"/>
          </w:tcPr>
          <w:p>
            <w:pPr>
              <w:ind w:left="1220"/>
              <w:spacing w:after="0" w:line="156" w:lineRule="exact"/>
              <w:rPr>
                <w:sz w:val="20"/>
                <w:szCs w:val="20"/>
                <w:color w:val="auto"/>
              </w:rPr>
            </w:pPr>
            <w:r>
              <w:rPr>
                <w:rFonts w:ascii="Arial" w:cs="Arial" w:eastAsia="Arial" w:hAnsi="Arial"/>
                <w:sz w:val="14"/>
                <w:szCs w:val="14"/>
                <w:color w:val="auto"/>
              </w:rPr>
              <w:t>activities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10,357</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50,338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31,582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21,027</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(52,817)</w:t>
            </w: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20"/>
          </w:cols>
          <w:pgMar w:left="320" w:top="407" w:right="135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Flows—(Continued)</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(In thousands)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gridSpan w:val="6"/>
          </w:tcPr>
          <w:p>
            <w:pPr>
              <w:jc w:val="right"/>
              <w:ind w:right="1020"/>
              <w:spacing w:after="0"/>
              <w:rPr>
                <w:sz w:val="20"/>
                <w:szCs w:val="20"/>
                <w:color w:val="auto"/>
              </w:rPr>
            </w:pPr>
            <w:r>
              <w:rPr>
                <w:rFonts w:ascii="Arial" w:cs="Arial" w:eastAsia="Arial" w:hAnsi="Arial"/>
                <w:sz w:val="12"/>
                <w:szCs w:val="12"/>
                <w:b w:val="1"/>
                <w:bCs w:val="1"/>
                <w:color w:val="auto"/>
              </w:rPr>
              <w:t>Year Ended December 31,</w:t>
            </w:r>
          </w:p>
        </w:tc>
        <w:tc>
          <w:tcPr>
            <w:tcW w:w="184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Pr>
          <w:p>
            <w:pPr>
              <w:spacing w:after="0"/>
              <w:rPr>
                <w:sz w:val="10"/>
                <w:szCs w:val="10"/>
                <w:color w:val="auto"/>
              </w:rPr>
            </w:pPr>
          </w:p>
        </w:tc>
        <w:tc>
          <w:tcPr>
            <w:tcW w:w="660" w:type="dxa"/>
            <w:vAlign w:val="bottom"/>
            <w:tcBorders>
              <w:top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3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50"/>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7"/>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3"/>
                <w:szCs w:val="13"/>
                <w:color w:val="auto"/>
              </w:rPr>
            </w:pPr>
          </w:p>
        </w:tc>
      </w:tr>
      <w:tr>
        <w:trPr>
          <w:trHeight w:val="67"/>
        </w:trPr>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58"/>
        </w:trPr>
        <w:tc>
          <w:tcPr>
            <w:tcW w:w="40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9"/>
        </w:trPr>
        <w:tc>
          <w:tcPr>
            <w:tcW w:w="4080" w:type="dxa"/>
            <w:vAlign w:val="bottom"/>
          </w:tcPr>
          <w:p>
            <w:pPr>
              <w:ind w:left="280"/>
              <w:spacing w:after="0" w:line="159" w:lineRule="exact"/>
              <w:rPr>
                <w:sz w:val="20"/>
                <w:szCs w:val="20"/>
                <w:color w:val="auto"/>
              </w:rPr>
            </w:pPr>
            <w:r>
              <w:rPr>
                <w:rFonts w:ascii="Arial" w:cs="Arial" w:eastAsia="Arial" w:hAnsi="Arial"/>
                <w:sz w:val="14"/>
                <w:szCs w:val="14"/>
                <w:color w:val="auto"/>
              </w:rPr>
              <w:t>Principal payments received for loans held by consolidated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080" w:type="dxa"/>
            <w:vAlign w:val="bottom"/>
          </w:tcPr>
          <w:p>
            <w:pPr>
              <w:ind w:left="420"/>
              <w:spacing w:after="0" w:line="156" w:lineRule="exact"/>
              <w:rPr>
                <w:sz w:val="20"/>
                <w:szCs w:val="20"/>
                <w:color w:val="auto"/>
              </w:rPr>
            </w:pPr>
            <w:r>
              <w:rPr>
                <w:rFonts w:ascii="Arial" w:cs="Arial" w:eastAsia="Arial" w:hAnsi="Arial"/>
                <w:sz w:val="14"/>
                <w:szCs w:val="14"/>
                <w:color w:val="auto"/>
              </w:rPr>
              <w:t>securitizations</w:t>
            </w:r>
          </w:p>
        </w:tc>
        <w:tc>
          <w:tcPr>
            <w:tcW w:w="8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  49,556</w:t>
            </w:r>
          </w:p>
        </w:tc>
        <w:tc>
          <w:tcPr>
            <w:tcW w:w="42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w w:val="96"/>
              </w:rPr>
              <w:t>$ 199,325</w:t>
            </w:r>
          </w:p>
        </w:tc>
        <w:tc>
          <w:tcPr>
            <w:tcW w:w="40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w w:val="96"/>
              </w:rPr>
              <w:t>$ 158,921</w:t>
            </w:r>
          </w:p>
        </w:tc>
        <w:tc>
          <w:tcPr>
            <w:tcW w:w="420" w:type="dxa"/>
            <w:vAlign w:val="bottom"/>
          </w:tcPr>
          <w:p>
            <w:pPr>
              <w:spacing w:after="0"/>
              <w:rPr>
                <w:sz w:val="13"/>
                <w:szCs w:val="13"/>
                <w:color w:val="auto"/>
              </w:rPr>
            </w:pPr>
          </w:p>
        </w:tc>
        <w:tc>
          <w:tcPr>
            <w:tcW w:w="9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w w:val="96"/>
              </w:rPr>
              <w:t>$  130,103</w:t>
            </w:r>
          </w:p>
        </w:tc>
        <w:tc>
          <w:tcPr>
            <w:tcW w:w="8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   24,018</w:t>
            </w:r>
          </w:p>
        </w:tc>
        <w:tc>
          <w:tcPr>
            <w:tcW w:w="80" w:type="dxa"/>
            <w:vAlign w:val="bottom"/>
          </w:tcPr>
          <w:p>
            <w:pPr>
              <w:spacing w:after="0"/>
              <w:rPr>
                <w:sz w:val="13"/>
                <w:szCs w:val="13"/>
                <w:color w:val="auto"/>
              </w:rPr>
            </w:pP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proceeds from sale of loans held-for-investment</w:t>
            </w: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45,084</w:t>
            </w: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45,698</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100,678</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64,182</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88,136</w:t>
            </w:r>
          </w:p>
        </w:tc>
        <w:tc>
          <w:tcPr>
            <w:tcW w:w="80" w:type="dxa"/>
            <w:vAlign w:val="bottom"/>
            <w:shd w:val="clear" w:color="auto" w:fill="CCEEFF"/>
          </w:tcPr>
          <w:p>
            <w:pPr>
              <w:spacing w:after="0"/>
              <w:rPr>
                <w:sz w:val="13"/>
                <w:szCs w:val="13"/>
                <w:color w:val="auto"/>
              </w:rPr>
            </w:pP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Principal payments received for loans held-for-investment</w:t>
            </w: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26,660</w:t>
            </w:r>
          </w:p>
        </w:tc>
        <w:tc>
          <w:tcPr>
            <w:tcW w:w="4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38,678</w:t>
            </w:r>
          </w:p>
        </w:tc>
        <w:tc>
          <w:tcPr>
            <w:tcW w:w="4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48,124</w:t>
            </w:r>
          </w:p>
        </w:tc>
        <w:tc>
          <w:tcPr>
            <w:tcW w:w="4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40,792</w:t>
            </w:r>
          </w:p>
        </w:tc>
        <w:tc>
          <w:tcPr>
            <w:tcW w:w="8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12,277</w:t>
            </w:r>
          </w:p>
        </w:tc>
        <w:tc>
          <w:tcPr>
            <w:tcW w:w="80" w:type="dxa"/>
            <w:vAlign w:val="bottom"/>
          </w:tcPr>
          <w:p>
            <w:pPr>
              <w:spacing w:after="0"/>
              <w:rPr>
                <w:sz w:val="13"/>
                <w:szCs w:val="13"/>
                <w:color w:val="auto"/>
              </w:rPr>
            </w:pPr>
          </w:p>
        </w:tc>
      </w:tr>
      <w:tr>
        <w:trPr>
          <w:trHeight w:val="159"/>
        </w:trPr>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Principal payments received for notes receivable and</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repayments of residual certificates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0"/>
              <w:spacing w:after="0" w:line="156" w:lineRule="exact"/>
              <w:rPr>
                <w:sz w:val="20"/>
                <w:szCs w:val="20"/>
                <w:color w:val="auto"/>
              </w:rPr>
            </w:pPr>
            <w:r>
              <w:rPr>
                <w:rFonts w:ascii="Arial" w:cs="Arial" w:eastAsia="Arial" w:hAnsi="Arial"/>
                <w:sz w:val="14"/>
                <w:szCs w:val="14"/>
                <w:color w:val="auto"/>
              </w:rPr>
              <w:t>1,229</w:t>
            </w:r>
          </w:p>
        </w:tc>
        <w:tc>
          <w:tcPr>
            <w:tcW w:w="10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8,760</w:t>
            </w:r>
          </w:p>
        </w:tc>
        <w:tc>
          <w:tcPr>
            <w:tcW w:w="90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5,050</w:t>
            </w:r>
          </w:p>
        </w:tc>
        <w:tc>
          <w:tcPr>
            <w:tcW w:w="8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11,306</w:t>
            </w:r>
          </w:p>
        </w:tc>
        <w:tc>
          <w:tcPr>
            <w:tcW w:w="80" w:type="dxa"/>
            <w:vAlign w:val="bottom"/>
            <w:shd w:val="clear" w:color="auto" w:fill="CCEEFF"/>
          </w:tcPr>
          <w:p>
            <w:pPr>
              <w:spacing w:after="0"/>
              <w:rPr>
                <w:sz w:val="13"/>
                <w:szCs w:val="13"/>
                <w:color w:val="auto"/>
              </w:rPr>
            </w:pP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Purchase of loans held-for-investment</w:t>
            </w:r>
          </w:p>
        </w:tc>
        <w:tc>
          <w:tcPr>
            <w:tcW w:w="1220" w:type="dxa"/>
            <w:vAlign w:val="bottom"/>
            <w:gridSpan w:val="3"/>
          </w:tcPr>
          <w:p>
            <w:pPr>
              <w:jc w:val="right"/>
              <w:ind w:right="380"/>
              <w:spacing w:after="0" w:line="158" w:lineRule="exact"/>
              <w:rPr>
                <w:sz w:val="20"/>
                <w:szCs w:val="20"/>
                <w:color w:val="auto"/>
              </w:rPr>
            </w:pPr>
            <w:r>
              <w:rPr>
                <w:rFonts w:ascii="Arial" w:cs="Arial" w:eastAsia="Arial" w:hAnsi="Arial"/>
                <w:sz w:val="14"/>
                <w:szCs w:val="14"/>
                <w:color w:val="auto"/>
              </w:rPr>
              <w:t>(102,541)</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(169,442)</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(265,286)</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(185,340)</w:t>
            </w:r>
          </w:p>
        </w:tc>
        <w:tc>
          <w:tcPr>
            <w:tcW w:w="94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(3,774)</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Purchase of notes receivable and residual certificates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(485)</w:t>
            </w: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Purchase of property and equipment</w:t>
            </w: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(148)</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(4,004)</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(253)</w:t>
            </w:r>
          </w:p>
        </w:tc>
        <w:tc>
          <w:tcPr>
            <w:tcW w:w="94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(1,282)</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Capitalized software costs</w:t>
            </w:r>
          </w:p>
        </w:tc>
        <w:tc>
          <w:tcPr>
            <w:tcW w:w="1220" w:type="dxa"/>
            <w:vAlign w:val="bottom"/>
            <w:gridSpan w:val="3"/>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(773)</w:t>
            </w:r>
          </w:p>
        </w:tc>
        <w:tc>
          <w:tcPr>
            <w:tcW w:w="102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(896)</w:t>
            </w:r>
          </w:p>
        </w:tc>
        <w:tc>
          <w:tcPr>
            <w:tcW w:w="104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(1,275)</w:t>
            </w:r>
          </w:p>
        </w:tc>
        <w:tc>
          <w:tcPr>
            <w:tcW w:w="9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(1,014)</w:t>
            </w:r>
          </w:p>
        </w:tc>
        <w:tc>
          <w:tcPr>
            <w:tcW w:w="94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(2,967)</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Purchase of loans held by consolidated securitizations</w:t>
            </w: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(411,407)</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(251,681)</w:t>
            </w: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23"/>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08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Net cash (used in) provided by investing activities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(393,421)</w:t>
            </w:r>
          </w:p>
        </w:tc>
        <w:tc>
          <w:tcPr>
            <w:tcW w:w="102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(137,237)</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45,433</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53,520</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127,710</w:t>
            </w:r>
          </w:p>
        </w:tc>
        <w:tc>
          <w:tcPr>
            <w:tcW w:w="80" w:type="dxa"/>
            <w:vAlign w:val="bottom"/>
            <w:shd w:val="clear" w:color="auto" w:fill="CCEEFF"/>
          </w:tcPr>
          <w:p>
            <w:pPr>
              <w:spacing w:after="0"/>
              <w:rPr>
                <w:sz w:val="13"/>
                <w:szCs w:val="13"/>
                <w:color w:val="auto"/>
              </w:rPr>
            </w:pPr>
          </w:p>
        </w:tc>
      </w:tr>
      <w:tr>
        <w:trPr>
          <w:trHeight w:val="250"/>
        </w:trPr>
        <w:tc>
          <w:tcPr>
            <w:tcW w:w="40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59"/>
        </w:trPr>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Payments made on securitization notes and certificates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0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(includes $0, $7,607, $3,262, $2,265 and $1,034 paid to</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0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related parties for the years ended December 31, 2017,</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0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2018 and 2019, and nine months ended September 30,</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2019 (unaudited), and 2020 (unaudited), respectively)</w:t>
            </w:r>
          </w:p>
        </w:tc>
        <w:tc>
          <w:tcPr>
            <w:tcW w:w="1220" w:type="dxa"/>
            <w:vAlign w:val="bottom"/>
            <w:gridSpan w:val="3"/>
            <w:shd w:val="clear" w:color="auto" w:fill="CCEEFF"/>
          </w:tcPr>
          <w:p>
            <w:pPr>
              <w:jc w:val="right"/>
              <w:ind w:right="380"/>
              <w:spacing w:after="0" w:line="156" w:lineRule="exact"/>
              <w:rPr>
                <w:sz w:val="20"/>
                <w:szCs w:val="20"/>
                <w:color w:val="auto"/>
              </w:rPr>
            </w:pPr>
            <w:r>
              <w:rPr>
                <w:rFonts w:ascii="Arial" w:cs="Arial" w:eastAsia="Arial" w:hAnsi="Arial"/>
                <w:sz w:val="14"/>
                <w:szCs w:val="14"/>
                <w:color w:val="auto"/>
              </w:rPr>
              <w:t>(49,262)</w:t>
            </w:r>
          </w:p>
        </w:tc>
        <w:tc>
          <w:tcPr>
            <w:tcW w:w="102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(226,775)</w:t>
            </w:r>
          </w:p>
        </w:tc>
        <w:tc>
          <w:tcPr>
            <w:tcW w:w="104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(176,742)</w:t>
            </w:r>
          </w:p>
        </w:tc>
        <w:tc>
          <w:tcPr>
            <w:tcW w:w="9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(144,956)</w:t>
            </w:r>
          </w:p>
        </w:tc>
        <w:tc>
          <w:tcPr>
            <w:tcW w:w="940" w:type="dxa"/>
            <w:vAlign w:val="bottom"/>
            <w:gridSpan w:val="3"/>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(26,126)</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Repayments of borrowings</w:t>
            </w:r>
          </w:p>
        </w:tc>
        <w:tc>
          <w:tcPr>
            <w:tcW w:w="1220" w:type="dxa"/>
            <w:vAlign w:val="bottom"/>
            <w:gridSpan w:val="3"/>
          </w:tcPr>
          <w:p>
            <w:pPr>
              <w:jc w:val="right"/>
              <w:ind w:right="380"/>
              <w:spacing w:after="0" w:line="158" w:lineRule="exact"/>
              <w:rPr>
                <w:sz w:val="20"/>
                <w:szCs w:val="20"/>
                <w:color w:val="auto"/>
              </w:rPr>
            </w:pPr>
            <w:r>
              <w:rPr>
                <w:rFonts w:ascii="Arial" w:cs="Arial" w:eastAsia="Arial" w:hAnsi="Arial"/>
                <w:sz w:val="14"/>
                <w:szCs w:val="14"/>
                <w:color w:val="auto"/>
              </w:rPr>
              <w:t>(111,139)</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(92,954)</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(109,939)</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(78,036)</w:t>
            </w:r>
          </w:p>
        </w:tc>
        <w:tc>
          <w:tcPr>
            <w:tcW w:w="94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(99,835)</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Repayments of notes payable</w:t>
            </w:r>
          </w:p>
        </w:tc>
        <w:tc>
          <w:tcPr>
            <w:tcW w:w="1220" w:type="dxa"/>
            <w:vAlign w:val="bottom"/>
            <w:gridSpan w:val="3"/>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(13,634)</w:t>
            </w:r>
          </w:p>
        </w:tc>
        <w:tc>
          <w:tcPr>
            <w:tcW w:w="102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(21,468)</w:t>
            </w:r>
          </w:p>
        </w:tc>
        <w:tc>
          <w:tcPr>
            <w:tcW w:w="104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(22,637)</w:t>
            </w:r>
          </w:p>
        </w:tc>
        <w:tc>
          <w:tcPr>
            <w:tcW w:w="9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(22,637)</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Distributions made to noncontrolling interests</w:t>
            </w:r>
          </w:p>
        </w:tc>
        <w:tc>
          <w:tcPr>
            <w:tcW w:w="1220" w:type="dxa"/>
            <w:vAlign w:val="bottom"/>
            <w:gridSpan w:val="3"/>
          </w:tcPr>
          <w:p>
            <w:pPr>
              <w:jc w:val="right"/>
              <w:ind w:right="380"/>
              <w:spacing w:after="0" w:line="158" w:lineRule="exact"/>
              <w:rPr>
                <w:sz w:val="20"/>
                <w:szCs w:val="20"/>
                <w:color w:val="auto"/>
              </w:rPr>
            </w:pPr>
            <w:r>
              <w:rPr>
                <w:rFonts w:ascii="Arial" w:cs="Arial" w:eastAsia="Arial" w:hAnsi="Arial"/>
                <w:sz w:val="14"/>
                <w:szCs w:val="14"/>
                <w:color w:val="auto"/>
              </w:rPr>
              <w:t>(2,238)</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(11,238)</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(4,960)</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(4,321)</w:t>
            </w:r>
          </w:p>
        </w:tc>
        <w:tc>
          <w:tcPr>
            <w:tcW w:w="94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(622)</w:t>
            </w:r>
          </w:p>
        </w:tc>
      </w:tr>
      <w:tr>
        <w:trPr>
          <w:trHeight w:val="159"/>
        </w:trPr>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Repurchase and retirement of convertible preferred stock</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warrants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0"/>
              <w:spacing w:after="0" w:line="156"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(1,426)</w:t>
            </w:r>
          </w:p>
        </w:tc>
        <w:tc>
          <w:tcPr>
            <w:tcW w:w="90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Repurchase and retirement of convertible preferred stock</w:t>
            </w: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(661)</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borrowings</w:t>
            </w: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118,780</w:t>
            </w: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144,048</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153,491</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110,830</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81,761</w:t>
            </w:r>
          </w:p>
        </w:tc>
        <w:tc>
          <w:tcPr>
            <w:tcW w:w="80" w:type="dxa"/>
            <w:vAlign w:val="bottom"/>
            <w:shd w:val="clear" w:color="auto" w:fill="CCEEFF"/>
          </w:tcPr>
          <w:p>
            <w:pPr>
              <w:spacing w:after="0"/>
              <w:rPr>
                <w:sz w:val="13"/>
                <w:szCs w:val="13"/>
                <w:color w:val="auto"/>
              </w:rPr>
            </w:pP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Proceeds from issuance of notes payable</w:t>
            </w: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31,399</w:t>
            </w:r>
          </w:p>
        </w:tc>
        <w:tc>
          <w:tcPr>
            <w:tcW w:w="4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42,537</w:t>
            </w:r>
          </w:p>
        </w:tc>
        <w:tc>
          <w:tcPr>
            <w:tcW w:w="4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39,863</w:t>
            </w:r>
          </w:p>
        </w:tc>
        <w:tc>
          <w:tcPr>
            <w:tcW w:w="4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39,863</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9"/>
        </w:trPr>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Proceeds from issuance of convertible preferred stock, net of</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issuance costs</w:t>
            </w:r>
          </w:p>
        </w:tc>
        <w:tc>
          <w:tcPr>
            <w:tcW w:w="1220" w:type="dxa"/>
            <w:vAlign w:val="bottom"/>
            <w:gridSpan w:val="3"/>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1,112</w:t>
            </w: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49,925</w:t>
            </w:r>
          </w:p>
        </w:tc>
        <w:tc>
          <w:tcPr>
            <w:tcW w:w="4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1,912</w:t>
            </w:r>
          </w:p>
        </w:tc>
        <w:tc>
          <w:tcPr>
            <w:tcW w:w="90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1,912</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9"/>
        </w:trPr>
        <w:tc>
          <w:tcPr>
            <w:tcW w:w="4080" w:type="dxa"/>
            <w:vAlign w:val="bottom"/>
          </w:tcPr>
          <w:p>
            <w:pPr>
              <w:ind w:left="280"/>
              <w:spacing w:after="0" w:line="159" w:lineRule="exact"/>
              <w:rPr>
                <w:sz w:val="20"/>
                <w:szCs w:val="20"/>
                <w:color w:val="auto"/>
              </w:rPr>
            </w:pPr>
            <w:r>
              <w:rPr>
                <w:rFonts w:ascii="Arial" w:cs="Arial" w:eastAsia="Arial" w:hAnsi="Arial"/>
                <w:sz w:val="14"/>
                <w:szCs w:val="14"/>
                <w:color w:val="auto"/>
              </w:rPr>
              <w:t>Proceeds from exercise of convertible preferred stock</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080" w:type="dxa"/>
            <w:vAlign w:val="bottom"/>
          </w:tcPr>
          <w:p>
            <w:pPr>
              <w:ind w:left="420"/>
              <w:spacing w:after="0" w:line="156" w:lineRule="exact"/>
              <w:rPr>
                <w:sz w:val="20"/>
                <w:szCs w:val="20"/>
                <w:color w:val="auto"/>
              </w:rPr>
            </w:pPr>
            <w:r>
              <w:rPr>
                <w:rFonts w:ascii="Arial" w:cs="Arial" w:eastAsia="Arial" w:hAnsi="Arial"/>
                <w:sz w:val="14"/>
                <w:szCs w:val="14"/>
                <w:color w:val="auto"/>
              </w:rPr>
              <w:t>warrants</w:t>
            </w: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line="156"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1,631</w:t>
            </w:r>
          </w:p>
        </w:tc>
        <w:tc>
          <w:tcPr>
            <w:tcW w:w="9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exercise of stock options</w:t>
            </w: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142</w:t>
            </w: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323</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278</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112</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3"/>
                <w:szCs w:val="13"/>
                <w:color w:val="auto"/>
              </w:rPr>
            </w:pPr>
          </w:p>
        </w:tc>
      </w:tr>
    </w:tbl>
    <w:p>
      <w:pPr>
        <w:spacing w:after="0" w:line="12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20"/>
          </w:cols>
          <w:pgMar w:left="320" w:top="407" w:right="135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Flows—(Continued)</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(In thousands)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9"/>
          </w:tcPr>
          <w:p>
            <w:pPr>
              <w:jc w:val="right"/>
              <w:ind w:right="820"/>
              <w:spacing w:after="0"/>
              <w:rPr>
                <w:sz w:val="20"/>
                <w:szCs w:val="20"/>
                <w:color w:val="auto"/>
              </w:rPr>
            </w:pPr>
            <w:r>
              <w:rPr>
                <w:rFonts w:ascii="Arial" w:cs="Arial" w:eastAsia="Arial" w:hAnsi="Arial"/>
                <w:sz w:val="12"/>
                <w:szCs w:val="12"/>
                <w:b w:val="1"/>
                <w:bCs w:val="1"/>
                <w:color w:val="auto"/>
              </w:rPr>
              <w:t>Year Ended December 31,</w:t>
            </w:r>
          </w:p>
        </w:tc>
        <w:tc>
          <w:tcPr>
            <w:tcW w:w="120" w:type="dxa"/>
            <w:vAlign w:val="bottom"/>
          </w:tcPr>
          <w:p>
            <w:pPr>
              <w:spacing w:after="0"/>
              <w:rPr>
                <w:sz w:val="12"/>
                <w:szCs w:val="12"/>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2018</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34"/>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3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4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r>
      <w:tr>
        <w:trPr>
          <w:trHeight w:val="159"/>
        </w:trPr>
        <w:tc>
          <w:tcPr>
            <w:tcW w:w="45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Proceeds from issuance of securitization notes and certificates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56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(includes $9,750 and $54,839 from related parties for the years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5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ended December 31, 2017 and 2018, respectively)</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400,866</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242,454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8"/>
        </w:trPr>
        <w:tc>
          <w:tcPr>
            <w:tcW w:w="4560" w:type="dxa"/>
            <w:vAlign w:val="bottom"/>
          </w:tcPr>
          <w:p>
            <w:pPr>
              <w:ind w:left="280"/>
              <w:spacing w:after="0" w:line="158" w:lineRule="exact"/>
              <w:rPr>
                <w:sz w:val="20"/>
                <w:szCs w:val="20"/>
                <w:color w:val="auto"/>
              </w:rPr>
            </w:pPr>
            <w:r>
              <w:rPr>
                <w:rFonts w:ascii="Arial" w:cs="Arial" w:eastAsia="Arial" w:hAnsi="Arial"/>
                <w:sz w:val="14"/>
                <w:szCs w:val="14"/>
                <w:color w:val="auto"/>
              </w:rPr>
              <w:t>Proceeds from sale of noncontrolling interests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16,689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8,914</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9"/>
        </w:trPr>
        <w:tc>
          <w:tcPr>
            <w:tcW w:w="45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Proceeds from issuance of convertible notes (includes $10,000 from</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5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related parties for the year ended December 31, 2017)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560" w:type="dxa"/>
            <w:vAlign w:val="bottom"/>
          </w:tcPr>
          <w:p>
            <w:pPr>
              <w:ind w:left="82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412,715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135,766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(119,190)</w:t>
            </w: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(96,733)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(44,312)</w:t>
            </w:r>
          </w:p>
        </w:tc>
      </w:tr>
      <w:tr>
        <w:trPr>
          <w:trHeight w:val="23"/>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56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Net increase (decrease) in cash and restricted cash</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29,651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48,867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(42,175)</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(22,186)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30,581</w:t>
            </w:r>
          </w:p>
        </w:tc>
        <w:tc>
          <w:tcPr>
            <w:tcW w:w="80" w:type="dxa"/>
            <w:vAlign w:val="bottom"/>
            <w:shd w:val="clear" w:color="auto" w:fill="CCEEFF"/>
          </w:tcPr>
          <w:p>
            <w:pPr>
              <w:spacing w:after="0"/>
              <w:rPr>
                <w:sz w:val="13"/>
                <w:szCs w:val="13"/>
                <w:color w:val="auto"/>
              </w:rPr>
            </w:pPr>
          </w:p>
        </w:tc>
      </w:tr>
      <w:tr>
        <w:trPr>
          <w:trHeight w:val="248"/>
        </w:trPr>
        <w:tc>
          <w:tcPr>
            <w:tcW w:w="4560" w:type="dxa"/>
            <w:vAlign w:val="bottom"/>
          </w:tcPr>
          <w:p>
            <w:pPr>
              <w:spacing w:after="0"/>
              <w:rPr>
                <w:sz w:val="20"/>
                <w:szCs w:val="20"/>
                <w:color w:val="auto"/>
              </w:rPr>
            </w:pPr>
            <w:r>
              <w:rPr>
                <w:rFonts w:ascii="Arial" w:cs="Arial" w:eastAsia="Arial" w:hAnsi="Arial"/>
                <w:sz w:val="14"/>
                <w:szCs w:val="14"/>
                <w:b w:val="1"/>
                <w:bCs w:val="1"/>
                <w:color w:val="auto"/>
              </w:rPr>
              <w:t>Cash and restricted cash</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Beginning of period</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43,724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73,375</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122,242</w:t>
            </w:r>
          </w:p>
        </w:tc>
        <w:tc>
          <w:tcPr>
            <w:tcW w:w="3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122,242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80,067</w:t>
            </w:r>
          </w:p>
        </w:tc>
        <w:tc>
          <w:tcPr>
            <w:tcW w:w="80" w:type="dxa"/>
            <w:vAlign w:val="bottom"/>
            <w:shd w:val="clear" w:color="auto" w:fill="CCEEFF"/>
          </w:tcPr>
          <w:p>
            <w:pPr>
              <w:spacing w:after="0"/>
              <w:rPr>
                <w:sz w:val="13"/>
                <w:szCs w:val="13"/>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End of period</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73,375</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122,242</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80,067</w:t>
            </w:r>
          </w:p>
        </w:tc>
        <w:tc>
          <w:tcPr>
            <w:tcW w:w="3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100,056</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110,648</w:t>
            </w:r>
          </w:p>
        </w:tc>
        <w:tc>
          <w:tcPr>
            <w:tcW w:w="80" w:type="dxa"/>
            <w:vAlign w:val="bottom"/>
          </w:tcPr>
          <w:p>
            <w:pPr>
              <w:spacing w:after="0"/>
              <w:rPr>
                <w:sz w:val="13"/>
                <w:szCs w:val="13"/>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5"/>
        </w:trPr>
        <w:tc>
          <w:tcPr>
            <w:tcW w:w="4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560" w:type="dxa"/>
            <w:vAlign w:val="bottom"/>
          </w:tcPr>
          <w:p>
            <w:pPr>
              <w:spacing w:after="0" w:line="158" w:lineRule="exact"/>
              <w:rPr>
                <w:sz w:val="20"/>
                <w:szCs w:val="20"/>
                <w:color w:val="auto"/>
              </w:rPr>
            </w:pPr>
            <w:r>
              <w:rPr>
                <w:rFonts w:ascii="Arial" w:cs="Arial" w:eastAsia="Arial" w:hAnsi="Arial"/>
                <w:sz w:val="14"/>
                <w:szCs w:val="14"/>
                <w:color w:val="auto"/>
              </w:rPr>
              <w:t>Cash paid for interest</w:t>
            </w:r>
          </w:p>
        </w:tc>
        <w:tc>
          <w:tcPr>
            <w:tcW w:w="2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9,603</w:t>
            </w:r>
          </w:p>
        </w:tc>
        <w:tc>
          <w:tcPr>
            <w:tcW w:w="2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26,676</w:t>
            </w:r>
          </w:p>
        </w:tc>
        <w:tc>
          <w:tcPr>
            <w:tcW w:w="30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26,871</w:t>
            </w:r>
          </w:p>
        </w:tc>
        <w:tc>
          <w:tcPr>
            <w:tcW w:w="360" w:type="dxa"/>
            <w:vAlign w:val="bottom"/>
          </w:tcPr>
          <w:p>
            <w:pPr>
              <w:spacing w:after="0"/>
              <w:rPr>
                <w:sz w:val="13"/>
                <w:szCs w:val="13"/>
                <w:color w:val="auto"/>
              </w:rPr>
            </w:pPr>
          </w:p>
        </w:tc>
        <w:tc>
          <w:tcPr>
            <w:tcW w:w="1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22,512</w:t>
            </w:r>
          </w:p>
        </w:tc>
        <w:tc>
          <w:tcPr>
            <w:tcW w:w="28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6,954</w:t>
            </w: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paid for amounts included in the measurement of lease liabilities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1,905</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1,275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3,101</w:t>
            </w:r>
          </w:p>
        </w:tc>
      </w:tr>
      <w:tr>
        <w:trPr>
          <w:trHeight w:val="248"/>
        </w:trPr>
        <w:tc>
          <w:tcPr>
            <w:tcW w:w="456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operating activities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right-of-use assets capitalized</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16,190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17,084</w:t>
            </w:r>
          </w:p>
        </w:tc>
        <w:tc>
          <w:tcPr>
            <w:tcW w:w="28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3"/>
                <w:szCs w:val="13"/>
                <w:color w:val="auto"/>
              </w:rPr>
            </w:pPr>
          </w:p>
        </w:tc>
      </w:tr>
      <w:tr>
        <w:trPr>
          <w:trHeight w:val="233"/>
        </w:trPr>
        <w:tc>
          <w:tcPr>
            <w:tcW w:w="456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investing and financing</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2"/>
        </w:trPr>
        <w:tc>
          <w:tcPr>
            <w:tcW w:w="4560" w:type="dxa"/>
            <w:vAlign w:val="bottom"/>
          </w:tcPr>
          <w:p>
            <w:pPr>
              <w:ind w:left="140"/>
              <w:spacing w:after="0"/>
              <w:rPr>
                <w:sz w:val="20"/>
                <w:szCs w:val="20"/>
                <w:color w:val="auto"/>
              </w:rPr>
            </w:pPr>
            <w:r>
              <w:rPr>
                <w:rFonts w:ascii="Arial" w:cs="Arial" w:eastAsia="Arial" w:hAnsi="Arial"/>
                <w:sz w:val="14"/>
                <w:szCs w:val="14"/>
                <w:b w:val="1"/>
                <w:bCs w:val="1"/>
                <w:color w:val="auto"/>
              </w:rPr>
              <w:t>activities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Derecognition of loans held-for-investment in consolidated VIE</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154,864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72,757</w:t>
            </w:r>
          </w:p>
        </w:tc>
        <w:tc>
          <w:tcPr>
            <w:tcW w:w="28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57,222</w:t>
            </w:r>
          </w:p>
        </w:tc>
        <w:tc>
          <w:tcPr>
            <w:tcW w:w="80" w:type="dxa"/>
            <w:vAlign w:val="bottom"/>
            <w:shd w:val="clear" w:color="auto" w:fill="CCEEFF"/>
          </w:tcPr>
          <w:p>
            <w:pPr>
              <w:spacing w:after="0"/>
              <w:rPr>
                <w:sz w:val="13"/>
                <w:szCs w:val="13"/>
                <w:color w:val="auto"/>
              </w:rPr>
            </w:pPr>
          </w:p>
        </w:tc>
      </w:tr>
      <w:tr>
        <w:trPr>
          <w:trHeight w:val="159"/>
        </w:trPr>
        <w:tc>
          <w:tcPr>
            <w:tcW w:w="4560" w:type="dxa"/>
            <w:vAlign w:val="bottom"/>
          </w:tcPr>
          <w:p>
            <w:pPr>
              <w:spacing w:after="0" w:line="159" w:lineRule="exact"/>
              <w:rPr>
                <w:sz w:val="20"/>
                <w:szCs w:val="20"/>
                <w:color w:val="auto"/>
              </w:rPr>
            </w:pPr>
            <w:r>
              <w:rPr>
                <w:rFonts w:ascii="Arial" w:cs="Arial" w:eastAsia="Arial" w:hAnsi="Arial"/>
                <w:sz w:val="14"/>
                <w:szCs w:val="14"/>
                <w:color w:val="auto"/>
              </w:rPr>
              <w:t>Derecognition of payable to securitization note holders and residual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560" w:type="dxa"/>
            <w:vAlign w:val="bottom"/>
          </w:tcPr>
          <w:p>
            <w:pPr>
              <w:ind w:left="140"/>
              <w:spacing w:after="0" w:line="156" w:lineRule="exact"/>
              <w:rPr>
                <w:sz w:val="20"/>
                <w:szCs w:val="20"/>
                <w:color w:val="auto"/>
              </w:rPr>
            </w:pPr>
            <w:r>
              <w:rPr>
                <w:rFonts w:ascii="Arial" w:cs="Arial" w:eastAsia="Arial" w:hAnsi="Arial"/>
                <w:sz w:val="14"/>
                <w:szCs w:val="14"/>
                <w:color w:val="auto"/>
              </w:rPr>
              <w:t>certificate holders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Arial" w:cs="Arial" w:eastAsia="Arial" w:hAnsi="Arial"/>
                <w:sz w:val="14"/>
                <w:szCs w:val="14"/>
                <w:color w:val="auto"/>
              </w:rPr>
              <w:t>80,825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Arial" w:cs="Arial" w:eastAsia="Arial" w:hAnsi="Arial"/>
                <w:sz w:val="14"/>
                <w:szCs w:val="14"/>
                <w:color w:val="auto"/>
              </w:rPr>
              <w:t>58,017</w:t>
            </w:r>
          </w:p>
        </w:tc>
        <w:tc>
          <w:tcPr>
            <w:tcW w:w="80" w:type="dxa"/>
            <w:vAlign w:val="bottom"/>
          </w:tcPr>
          <w:p>
            <w:pPr>
              <w:spacing w:after="0"/>
              <w:rPr>
                <w:sz w:val="13"/>
                <w:szCs w:val="13"/>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Derecognition of notes payable held in consolidated VIE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69,419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69,419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4560" w:type="dxa"/>
            <w:vAlign w:val="bottom"/>
          </w:tcPr>
          <w:p>
            <w:pPr>
              <w:spacing w:after="0" w:line="158" w:lineRule="exact"/>
              <w:rPr>
                <w:sz w:val="20"/>
                <w:szCs w:val="20"/>
                <w:color w:val="auto"/>
              </w:rPr>
            </w:pPr>
            <w:r>
              <w:rPr>
                <w:rFonts w:ascii="Arial" w:cs="Arial" w:eastAsia="Arial" w:hAnsi="Arial"/>
                <w:sz w:val="14"/>
                <w:szCs w:val="14"/>
                <w:color w:val="auto"/>
              </w:rPr>
              <w:t>Securities retained under consolidated securitization transactions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9,501</w:t>
            </w:r>
          </w:p>
        </w:tc>
        <w:tc>
          <w:tcPr>
            <w:tcW w:w="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31,160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31,160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9"/>
        </w:trPr>
        <w:tc>
          <w:tcPr>
            <w:tcW w:w="4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Transfer of notes receivable and residual certificate on deconsolidation of</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5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VIE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3,699</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3,339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9"/>
        </w:trPr>
        <w:tc>
          <w:tcPr>
            <w:tcW w:w="4560" w:type="dxa"/>
            <w:vAlign w:val="bottom"/>
          </w:tcPr>
          <w:p>
            <w:pPr>
              <w:spacing w:after="0" w:line="159" w:lineRule="exact"/>
              <w:rPr>
                <w:sz w:val="20"/>
                <w:szCs w:val="20"/>
                <w:color w:val="auto"/>
              </w:rPr>
            </w:pPr>
            <w:r>
              <w:rPr>
                <w:rFonts w:ascii="Arial" w:cs="Arial" w:eastAsia="Arial" w:hAnsi="Arial"/>
                <w:sz w:val="14"/>
                <w:szCs w:val="14"/>
                <w:color w:val="auto"/>
              </w:rPr>
              <w:t>Conversion of notes as part of issuance of convertible preferred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560" w:type="dxa"/>
            <w:vAlign w:val="bottom"/>
          </w:tcPr>
          <w:p>
            <w:pPr>
              <w:ind w:left="140"/>
              <w:spacing w:after="0" w:line="158" w:lineRule="exact"/>
              <w:rPr>
                <w:sz w:val="20"/>
                <w:szCs w:val="20"/>
                <w:color w:val="auto"/>
              </w:rPr>
            </w:pPr>
            <w:r>
              <w:rPr>
                <w:rFonts w:ascii="Arial" w:cs="Arial" w:eastAsia="Arial" w:hAnsi="Arial"/>
                <w:sz w:val="14"/>
                <w:szCs w:val="14"/>
                <w:color w:val="auto"/>
                <w:w w:val="99"/>
              </w:rPr>
              <w:t>(includes $10,605 from related parties for the year ended 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560" w:type="dxa"/>
            <w:vAlign w:val="bottom"/>
          </w:tcPr>
          <w:p>
            <w:pPr>
              <w:ind w:left="140"/>
              <w:spacing w:after="0" w:line="156"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21,210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9"/>
        </w:trPr>
        <w:tc>
          <w:tcPr>
            <w:tcW w:w="4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Accrued convertible preferred stock issuance costs included in other</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5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2,080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4"/>
        </w:trPr>
        <w:tc>
          <w:tcPr>
            <w:tcW w:w="4560" w:type="dxa"/>
            <w:vAlign w:val="bottom"/>
          </w:tcPr>
          <w:p>
            <w:pPr>
              <w:spacing w:after="0"/>
              <w:rPr>
                <w:sz w:val="20"/>
                <w:szCs w:val="20"/>
                <w:color w:val="auto"/>
              </w:rPr>
            </w:pPr>
            <w:r>
              <w:rPr>
                <w:rFonts w:ascii="Arial" w:cs="Arial" w:eastAsia="Arial" w:hAnsi="Arial"/>
                <w:sz w:val="14"/>
                <w:szCs w:val="14"/>
                <w:color w:val="auto"/>
              </w:rPr>
              <w:t>Capitalized stock-based compensation expense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80" w:type="dxa"/>
            <w:vAlign w:val="bottom"/>
          </w:tcPr>
          <w:p>
            <w:pPr>
              <w:spacing w:after="0"/>
              <w:rPr>
                <w:sz w:val="14"/>
                <w:szCs w:val="14"/>
                <w:color w:val="auto"/>
              </w:rPr>
            </w:pPr>
          </w:p>
        </w:tc>
      </w:tr>
    </w:tbl>
    <w:p>
      <w:pPr>
        <w:spacing w:after="0" w:line="173"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20"/>
          </w:cols>
          <w:pgMar w:left="320" w:top="407" w:right="135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 Description of Business and Significant Accounting Policies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Description of Business</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Upstart Holdings, Inc. and its subsidiaries (together “Upstart,” or the “Company”) apply modern data science and technology to the process of originating consumer credit. The Company helps bank partners originate credit by providing them with a proprietary, cloud-based, artificial intelligence lending platform. As the Company’s technology continues to improve and additional banks adopt the Upstart platform, consumers benefit from improved access to affordable and frictionless credit.</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Upstart Network, Inc. was incorporated in Delaware in 2012. Pursuant to a restructuring, Upstart Holdings, Inc. was incorporated in December 2013 and became the holding company of Upstart Network, Inc. The Company currently operates in the United States and is headquartered in San Mateo, California and Columbus, Ohio. The Company’s fiscal year ends on December 31.</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Basis of Presentation and Consolidation</w:t>
      </w:r>
    </w:p>
    <w:p>
      <w:pPr>
        <w:spacing w:after="0" w:line="105" w:lineRule="exact"/>
        <w:rPr>
          <w:sz w:val="20"/>
          <w:szCs w:val="20"/>
          <w:color w:val="auto"/>
        </w:rPr>
      </w:pPr>
    </w:p>
    <w:p>
      <w:pPr>
        <w:ind w:left="1020" w:right="460" w:firstLine="460"/>
        <w:spacing w:after="0" w:line="238" w:lineRule="auto"/>
        <w:rPr>
          <w:sz w:val="20"/>
          <w:szCs w:val="20"/>
          <w:color w:val="auto"/>
        </w:rPr>
      </w:pPr>
      <w:r>
        <w:rPr>
          <w:rFonts w:ascii="Arial" w:cs="Arial" w:eastAsia="Arial" w:hAnsi="Arial"/>
          <w:sz w:val="15"/>
          <w:szCs w:val="15"/>
          <w:color w:val="auto"/>
        </w:rPr>
        <w:t>The accompanying consolidated financial statements have been prepared in conformity with accounting principles generally accepted in the United States of America (“GAAP”) and include the accounts of the Company, its wholly-owned subsidiaries, and consolidated variable interest entities (“VIEs”). All intercompany accounts and transactions have been eliminated. The Company’s functional and reporting currency is the U.S. dollar.</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preparation of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and (iv) provision for income taxes, net of valuation allowance for deferred tax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Interim Financial Statements</w:t>
      </w:r>
    </w:p>
    <w:p>
      <w:pPr>
        <w:spacing w:after="0" w:line="105" w:lineRule="exact"/>
        <w:rPr>
          <w:sz w:val="20"/>
          <w:szCs w:val="20"/>
          <w:color w:val="auto"/>
        </w:rPr>
      </w:pPr>
    </w:p>
    <w:p>
      <w:pPr>
        <w:ind w:left="1020" w:right="580" w:firstLine="460"/>
        <w:spacing w:after="0" w:line="238" w:lineRule="auto"/>
        <w:rPr>
          <w:sz w:val="20"/>
          <w:szCs w:val="20"/>
          <w:color w:val="auto"/>
        </w:rPr>
      </w:pPr>
      <w:r>
        <w:rPr>
          <w:rFonts w:ascii="Arial" w:cs="Arial" w:eastAsia="Arial" w:hAnsi="Arial"/>
          <w:sz w:val="15"/>
          <w:szCs w:val="15"/>
          <w:color w:val="auto"/>
        </w:rPr>
        <w:t>The accompanying interim consolidated balance sheets as of September 30, 2020, the interim consolidated statements of operations and comprehensive income (loss) for the nine months ended September 30, 2019 and 2020, the interim consolidated statements of convertible preferred stock and stockholders’ deficit for the nine months ended September 30, 2020, the interim consolidated statements of cash flows for the nine months ended September 30, 2019 and 2020 and related note information are unaudited.</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The unaudited interim financial statements have been prepared on the same basis as the annual consolidated financial statements and in the Company’s opinion, reflect all adjustments that are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160"/>
          </w:cols>
          <w:pgMar w:left="320" w:top="407" w:right="141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necessary to present fairly the Company’s consolidated balance sheet as of September 30, 2020, and the related statements of operations and the comprehensive income (loss), the statements of convertible preferred stock and stockholders’ deficit, and the cash flow statements for the nine months ended September 30, 2019 and 2020. The financial data and the other information disclosed in these notes to the consolidated financial statements related to these nine-month periods are unaudited.</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The results of the nine months ended September 30, 2020 are not necessarily indicative of the results to be expected for the year ending December 31, 2020 or for any other future periods.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Balance Sheet Information</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unaudited pro forma balance sheet information as of September 30, 2020 is presented as though all of the Company’s outstanding shares of convertible preferred stock have been converted into shares of common stock upon the completion of an initial public offering (“IPO”) of the Company’s common stock. In addition, the pro forma balance sheet information assumes the reclassification of the convertible preferred stock warrant liability to additional paid-in capital upon the exercise of the convertible preferred stock warrant prior to the completion of the IPO, and the subsequent automatic conversion of preferred stock shares into common stock upon the completion of the IPO. The unaudited pro forma balance sheet information does not assume any proceeds from the IPO.</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Variable Interest Entities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Noncontrolling Interests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Noncontrolling interests represent a portion of the equity of consolidated VIEs that are not held by the Company. These interests are recognized as a result of the admission of non-voting members into consolidated majority-owned affiliates (“MOAs”), which were formed in conjunction with the 2017-1, 2017-2, and 2018-1 securitizations for the purpose of holding subordinated certificates in sponsored securitizations for risk retention purposes. See “</w:t>
      </w:r>
      <w:r>
        <w:rPr>
          <w:rFonts w:ascii="Arial" w:cs="Arial" w:eastAsia="Arial" w:hAnsi="Arial"/>
          <w:sz w:val="15"/>
          <w:szCs w:val="15"/>
          <w:i w:val="1"/>
          <w:iCs w:val="1"/>
          <w:color w:val="auto"/>
        </w:rPr>
        <w:t>Note 3. Securitizations and Variable Interest Entities</w:t>
      </w:r>
      <w:r>
        <w:rPr>
          <w:rFonts w:ascii="Arial" w:cs="Arial" w:eastAsia="Arial" w:hAnsi="Arial"/>
          <w:sz w:val="15"/>
          <w:szCs w:val="15"/>
          <w:color w:val="auto"/>
        </w:rPr>
        <w:t>” for details. Earnings and losses associated with these VIEs, are allocated to noncontrolling interests proportionally to their ownership interests in these entities in the period they are incurred. Cash distributions to holders of noncontrolling interests are made in the period following the allocation of earnings and losses. Noncontrolling interests and associated income or losses for each year presented are disclosed as separate line items on the consolidated balance sheets and consolidated statements of operations and comprehensive income (loss), respectively.</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00"/>
          </w:cols>
          <w:pgMar w:left="320" w:top="407" w:right="137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and Restricted Cash</w:t>
      </w:r>
    </w:p>
    <w:p>
      <w:pPr>
        <w:spacing w:after="0" w:line="105" w:lineRule="exact"/>
        <w:rPr>
          <w:sz w:val="20"/>
          <w:szCs w:val="20"/>
          <w:color w:val="auto"/>
        </w:rPr>
      </w:pPr>
    </w:p>
    <w:p>
      <w:pPr>
        <w:jc w:val="both"/>
        <w:ind w:left="1020" w:right="280" w:firstLine="460"/>
        <w:spacing w:after="0"/>
        <w:rPr>
          <w:sz w:val="20"/>
          <w:szCs w:val="20"/>
          <w:color w:val="auto"/>
        </w:rPr>
      </w:pPr>
      <w:r>
        <w:rPr>
          <w:rFonts w:ascii="Arial" w:cs="Arial" w:eastAsia="Arial" w:hAnsi="Arial"/>
          <w:sz w:val="15"/>
          <w:szCs w:val="15"/>
          <w:color w:val="auto"/>
        </w:rPr>
        <w:t>Cash consists of bank deposits held in business checking and interest-bearing deposit accounts. As of December 31, 2018 and 2019, and September 30, 2020 (unaudited), the Company did not have any cash equivalent balances, defined as highly liquid financial instruments purchased with original maturities of three months or less.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Restricted cash primarily consists of bank deposits that are: (i) received from borrowers for interest and applied to loans as part of loan servicing, but not yet distributed to investors; (ii) received from investors as collateral for financing of loan purchases on the Upstart platform but not yet invested in issued loans; and (iii) collateral for a letter of credit the Company is required to maintain under its operating lease agreement.</w:t>
      </w:r>
    </w:p>
    <w:p>
      <w:pPr>
        <w:spacing w:after="0" w:line="172"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following table provides a reconciliation of cash and restricted cash reported within the consolidated balance sheets that sum to the total of the same amounts shown in the consolidated statements of cash flows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4"/>
          </w:tcPr>
          <w:p>
            <w:pPr>
              <w:ind w:left="200"/>
              <w:spacing w:after="0"/>
              <w:rPr>
                <w:sz w:val="20"/>
                <w:szCs w:val="20"/>
                <w:color w:val="auto"/>
              </w:rPr>
            </w:pPr>
            <w:r>
              <w:rPr>
                <w:rFonts w:ascii="Arial" w:cs="Arial" w:eastAsia="Arial" w:hAnsi="Arial"/>
                <w:sz w:val="12"/>
                <w:szCs w:val="12"/>
                <w:b w:val="1"/>
                <w:bCs w:val="1"/>
                <w:color w:val="auto"/>
              </w:rPr>
              <w:t>December 31,</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8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5"/>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5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5"/>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5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Cash</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$42,020</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73,038</w:t>
            </w: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$44,389</w:t>
            </w:r>
          </w:p>
        </w:tc>
        <w:tc>
          <w:tcPr>
            <w:tcW w:w="40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53,234</w:t>
            </w:r>
          </w:p>
        </w:tc>
        <w:tc>
          <w:tcPr>
            <w:tcW w:w="40" w:type="dxa"/>
            <w:vAlign w:val="bottom"/>
            <w:shd w:val="clear" w:color="auto" w:fill="CCEEFF"/>
          </w:tcPr>
          <w:p>
            <w:pPr>
              <w:spacing w:after="0"/>
              <w:rPr>
                <w:sz w:val="13"/>
                <w:szCs w:val="13"/>
                <w:color w:val="auto"/>
              </w:rPr>
            </w:pPr>
          </w:p>
        </w:tc>
      </w:tr>
      <w:tr>
        <w:trPr>
          <w:trHeight w:val="160"/>
        </w:trPr>
        <w:tc>
          <w:tcPr>
            <w:tcW w:w="5820" w:type="dxa"/>
            <w:vAlign w:val="bottom"/>
          </w:tcPr>
          <w:p>
            <w:pPr>
              <w:ind w:left="280"/>
              <w:spacing w:after="0" w:line="158" w:lineRule="exact"/>
              <w:rPr>
                <w:sz w:val="20"/>
                <w:szCs w:val="20"/>
                <w:color w:val="auto"/>
              </w:rPr>
            </w:pPr>
            <w:r>
              <w:rPr>
                <w:rFonts w:ascii="Arial" w:cs="Arial" w:eastAsia="Arial" w:hAnsi="Arial"/>
                <w:sz w:val="14"/>
                <w:szCs w:val="14"/>
                <w:color w:val="auto"/>
              </w:rPr>
              <w:t>Restricted cash</w:t>
            </w: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31,355</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49,204</w:t>
            </w:r>
          </w:p>
        </w:tc>
        <w:tc>
          <w:tcPr>
            <w:tcW w:w="3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35,678</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57,414</w:t>
            </w:r>
          </w:p>
        </w:tc>
        <w:tc>
          <w:tcPr>
            <w:tcW w:w="40" w:type="dxa"/>
            <w:vAlign w:val="bottom"/>
          </w:tcPr>
          <w:p>
            <w:pPr>
              <w:spacing w:after="0"/>
              <w:rPr>
                <w:sz w:val="13"/>
                <w:szCs w:val="13"/>
                <w:color w:val="auto"/>
              </w:rPr>
            </w:pPr>
          </w:p>
        </w:tc>
      </w:tr>
      <w:tr>
        <w:trPr>
          <w:trHeight w:val="158"/>
        </w:trPr>
        <w:tc>
          <w:tcPr>
            <w:tcW w:w="5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cash and restricted cash</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73,375</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122,242</w:t>
            </w: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80,067</w:t>
            </w:r>
          </w:p>
        </w:tc>
        <w:tc>
          <w:tcPr>
            <w:tcW w:w="40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110,648</w:t>
            </w:r>
          </w:p>
        </w:tc>
        <w:tc>
          <w:tcPr>
            <w:tcW w:w="40" w:type="dxa"/>
            <w:vAlign w:val="bottom"/>
            <w:shd w:val="clear" w:color="auto" w:fill="CCEEFF"/>
          </w:tcPr>
          <w:p>
            <w:pPr>
              <w:spacing w:after="0"/>
              <w:rPr>
                <w:sz w:val="13"/>
                <w:szCs w:val="13"/>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Financial Instruments not Measured at Fair Value</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Company’s financial instruments not measured at fair value consist primarily of cash, restricted cash, and other assets (excluding certain financial instruments, which are measured at fair value), accounts payable, payable to investors, and other liabilities (excluding certain financial instruments, including loan servicing assets and liabilities, common stock warrant liabilities and convertible preferred stock warrant liabilities, which are measured at fair value). The carrying values of these financial instruments are considered to be representative of their respective fair values due to their short-term nature.</w:t>
      </w:r>
    </w:p>
    <w:p>
      <w:pPr>
        <w:spacing w:after="0" w:line="170"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Similarly, distributions payable to investors in securitization transactions, included in payable to securitization note holders and residual certificates holders in the Company’s consolidated balance sheets, are settled monthly as part of the waterfall payments and are not carried at fair value. Payable to investors includes amounts of loan repayments not yet distributed to investors, as well as amounts received from investors but not yet invested directly in whole loans or notes payable. Borrowings are presented at par, net of debt issuance costs and amortized over the contractual term, with accrued interest included as part of accounts payable on the consolidated balance sheets. The carrying value of borrowings approximates the fair value due to their relatively short maturities.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Measurement</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20"/>
          </w:cols>
          <w:pgMar w:left="320" w:top="407" w:right="135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170"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authoritative guidance on fair value measurements establishes a three-tier fair value hierarchy for disclosure of fair value measurements as follows:</w:t>
      </w:r>
    </w:p>
    <w:p>
      <w:pPr>
        <w:spacing w:after="0" w:line="166"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Level 1—Unadjusted quoted market prices in active markets for identical assets or liabilities;</w:t>
      </w:r>
    </w:p>
    <w:p>
      <w:pPr>
        <w:spacing w:after="0" w:line="87" w:lineRule="exact"/>
        <w:rPr>
          <w:sz w:val="20"/>
          <w:szCs w:val="20"/>
          <w:color w:val="auto"/>
        </w:rPr>
      </w:pPr>
    </w:p>
    <w:p>
      <w:pPr>
        <w:ind w:left="1300" w:right="100" w:firstLine="268"/>
        <w:spacing w:after="0"/>
        <w:rPr>
          <w:sz w:val="20"/>
          <w:szCs w:val="20"/>
          <w:color w:val="auto"/>
        </w:rPr>
      </w:pPr>
      <w:r>
        <w:rPr>
          <w:rFonts w:ascii="Arial" w:cs="Arial" w:eastAsia="Arial" w:hAnsi="Arial"/>
          <w:sz w:val="15"/>
          <w:szCs w:val="15"/>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80" w:lineRule="exact"/>
        <w:rPr>
          <w:sz w:val="20"/>
          <w:szCs w:val="20"/>
          <w:color w:val="auto"/>
        </w:rPr>
      </w:pPr>
    </w:p>
    <w:p>
      <w:pPr>
        <w:ind w:left="1300" w:right="340" w:firstLine="268"/>
        <w:spacing w:after="0" w:line="245" w:lineRule="auto"/>
        <w:rPr>
          <w:sz w:val="20"/>
          <w:szCs w:val="20"/>
          <w:color w:val="auto"/>
        </w:rPr>
      </w:pPr>
      <w:r>
        <w:rPr>
          <w:rFonts w:ascii="Arial" w:cs="Arial" w:eastAsia="Arial" w:hAnsi="Arial"/>
          <w:sz w:val="15"/>
          <w:szCs w:val="15"/>
          <w:color w:val="auto"/>
        </w:rPr>
        <w:t>Level 3— Unobservable inputs that are supported by little or no market activity and that are significant to the fair value of the assets or liabilities.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Assets and liabilities measured at fair value on a recurring basis include loans, notes receivable and residual certificates, notes payable, payable to securitization note holders and residual certificate holders, other assets, common stock warrant liabilities, convertible preferred stock warrant liabilities, loan servicing assets and liabilities, and other liabilities. When developing fair value measurements, the Company maximizes the use of observable inputs and minimizes the use of unobservable inputs. 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Transfer of Financial Assets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Upstart-powered loans originated by bank partners are either retained by the bank partners, purchased by the Company for immediate resale to institutional investors under loan sale agreements, or purchased and held by the Company. Loans retained and held on the Company’s consolidated balance sheets are classified as either held-for-investment or held-for-sale,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bank partner and the Company’s subsequent acquisition of the loans from the originating bank partner. Loans sold to institutional investors are derecognized from the Company’s consolidated balance sheets at the time of sale in accordance with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The Company records an asset or a liability at fair value for its estimated post-sale servicing obligations. The Company also records liabilities at fair value for contingent obligations to repurchase loans that do not conform to the representations and warranties made to the loan purchaser at the time of sale. The net liability is included in other liabilities on the Company’s consolidated balance sheets.</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140"/>
          </w:cols>
          <w:pgMar w:left="320" w:top="407" w:right="143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The Company retains certain loans purchased from originating bank partners upon completion of the required holding period primarily for product development purposes. Refer to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for further details.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 Servicing Assets and Liabilities</w:t>
      </w:r>
    </w:p>
    <w:p>
      <w:pPr>
        <w:spacing w:after="0" w:line="105"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Loan servicing assets and liabilities are recognized at fair value when the Company transfers loans, which qualify as sales under Topic 860 with servicing rights retained or when the Company enters into servicing agreements with bank partners who retain Upstart-powered loans. A loan servicing asset or liability exists depending on whether the revenue from servicing is expected to more than adequately compensate the Company for carrying out its servicing obligations.</w:t>
      </w:r>
    </w:p>
    <w:p>
      <w:pPr>
        <w:spacing w:after="0" w:line="172"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Loan servicing assets and liabilities are recorded in other assets and other liabilities, respectively, in the consolidated balance sheets, with changes in fair value recorded in servicing revenue, net, which is part of revenue from fees, net in the consolidated statements of operations and comprehensive income (loss) in the periods presented. Refer to “</w:t>
      </w:r>
      <w:r>
        <w:rPr>
          <w:rFonts w:ascii="Arial" w:cs="Arial" w:eastAsia="Arial" w:hAnsi="Arial"/>
          <w:sz w:val="15"/>
          <w:szCs w:val="15"/>
          <w:i w:val="1"/>
          <w:iCs w:val="1"/>
          <w:color w:val="auto"/>
        </w:rPr>
        <w:t>Note 2. Revenue</w:t>
      </w:r>
      <w:r>
        <w:rPr>
          <w:rFonts w:ascii="Arial" w:cs="Arial" w:eastAsia="Arial" w:hAnsi="Arial"/>
          <w:sz w:val="15"/>
          <w:szCs w:val="15"/>
          <w:color w:val="auto"/>
        </w:rPr>
        <w:t>” for further details.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Equipment, and Software, Net</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equipment, and furniture and fixtures. Leasehold improvements are depreciated over the shorter of the remaining lease term or the estimated useful life.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Company evaluates its long-lived assets for potential impairment when events or changes in circumstances indicate that the carrying amount of the assets may not be recoverable. When such an event occurs, the Company determines whether there has been an impairment by comparing the anticipated undiscounted future net cash flows to the related asset group’s carrying value. If an asset group is considered impaired, it is written down to its fair value, which is determined based on discounted cash flows or appraised values, depending on the nature of the assets. There were no impairments of long-lived assets as of December 31, 2018 and 2019, and September 30, 2020 (unaudited).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Leases</w:t>
      </w:r>
    </w:p>
    <w:p>
      <w:pPr>
        <w:spacing w:after="0" w:line="89" w:lineRule="exact"/>
        <w:rPr>
          <w:sz w:val="20"/>
          <w:szCs w:val="20"/>
          <w:color w:val="auto"/>
        </w:rPr>
      </w:pPr>
    </w:p>
    <w:p>
      <w:pPr>
        <w:ind w:left="1020" w:right="160" w:firstLine="460"/>
        <w:spacing w:after="0" w:line="251" w:lineRule="auto"/>
        <w:rPr>
          <w:sz w:val="20"/>
          <w:szCs w:val="20"/>
          <w:color w:val="auto"/>
        </w:rPr>
      </w:pPr>
      <w:r>
        <w:rPr>
          <w:rFonts w:ascii="Arial" w:cs="Arial" w:eastAsia="Arial" w:hAnsi="Arial"/>
          <w:sz w:val="15"/>
          <w:szCs w:val="15"/>
          <w:color w:val="auto"/>
        </w:rPr>
        <w:t xml:space="preserve">As of January 1, 2019, the Company adopted Accounting Standards Update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Periods subsequent to the adoption date are presented and disclosed in accordance with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while comparative periods continue to be presented and disclosed in accordance with legacy guidance in Topic 840,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0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20"/>
          </w:cols>
          <w:pgMar w:left="320" w:top="407" w:right="135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 determines if an arrangement is or contains a lease at inception. Operating leases are recorded on the consolidated balance sheet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 As of December 31, 2019 and September 30, 2020 (unaudited), the Company did not have any material finance leases.</w:t>
      </w:r>
    </w:p>
    <w:p>
      <w:pPr>
        <w:spacing w:after="0" w:line="171"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Company has elected not to separate lease and non-lease components for any leases within its existing classes of assets and, as a result, accounts for any lease and non-lease components as a single lease component. The Company does not have any material leases with a term of 12 months or less.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Warrant Liabilities</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Company issued common stock warrants in connection with loan agreements executed during the year ended December 31, 2018. These common stock warrants are exercisable at any time and have a repurchase option in the event of a qualified sale of the Company. Upon a qualified sale of the Company, the common stock warrant holder has the option to require the Company to repurchase the warrant in its entirety for a predetermined price based on the time that has elapsed between the issuance of the warrant and the date of acquisition. The warrants are contingently subject to repurchase at the option of the holder and are therefore, classified as liabilities and reported in other liabilities on the consolidated balance sheet at their estimated fair value. The warrants are subject to re-measurement at each balance sheet date and the change in fair value, if any, is recognized as expense on warrants and convertible notes, net in the consolidated statements of operations. The Company will continue to adjust the liability for changes in fair value until the repurchase, exercise or expiration of the warrants.</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 Warrant Liabilities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Company issued convertible preferred stock warrants to institutional investors that are exercisable at any time. Such warrants are recorded within other liabilities on the consolidated balance sheets at their estimated fair value because the shares underlying the warrants may obligate the Company to transfer assets to the holders at a future date under certain circumstances such as a deemed liquidation event. The fair value of the convertible preferred stock warrant liabilities is estimated using the Black-Scholes option-pricing model and the change in fair value, if any, is included in expense on warrants and convertible notes, net in the consolidated statements of operations and</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00"/>
          </w:cols>
          <w:pgMar w:left="320" w:top="407" w:right="137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comprehensive income (loss). The Company will continue to remeasure these warrants until the earlier of the (i) expiration; (ii) exercise; or</w:t>
      </w:r>
    </w:p>
    <w:p>
      <w:pPr>
        <w:ind w:left="1020" w:right="320" w:firstLine="7"/>
        <w:spacing w:after="0" w:line="245" w:lineRule="auto"/>
        <w:tabs>
          <w:tab w:leader="none" w:pos="126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consummation of an IPO, at which time all convertible preferred stock warrants will be net exercised into common stock. Upon exercise, the related convertible preferred stock warrant liability will be reclassified to additional paid-in capital.</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The Company’s revenue consists of two components: revenue from fees, net and interest income and fair value adjustments, net. The revenue from fees, net line item on the consolidated statements of operations is primarily comprised of platform and referral fees, net, which are recognized based on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The Company adopted Topic 606 as of January 1, 2019, using the modified retrospective method for all contracts that were not complete as of the date of adoption. The adoption of Topic 606 did not have a material impact on the Company’s consolidated balance sheets, consolidated statements of operations and comprehensive income (loss) and consolidated statements of cash flows as of the adoption date.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Topic 606 outlines a single comprehensive model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 Refer to “</w:t>
      </w:r>
      <w:r>
        <w:rPr>
          <w:rFonts w:ascii="Arial" w:cs="Arial" w:eastAsia="Arial" w:hAnsi="Arial"/>
          <w:sz w:val="15"/>
          <w:szCs w:val="15"/>
          <w:i w:val="1"/>
          <w:iCs w:val="1"/>
          <w:color w:val="auto"/>
        </w:rPr>
        <w:t>Note 2. Revenue</w:t>
      </w:r>
      <w:r>
        <w:rPr>
          <w:rFonts w:ascii="Arial" w:cs="Arial" w:eastAsia="Arial" w:hAnsi="Arial"/>
          <w:sz w:val="15"/>
          <w:szCs w:val="15"/>
          <w:color w:val="auto"/>
        </w:rPr>
        <w:t>” for further details.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103"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Customer operations</w:t>
      </w:r>
    </w:p>
    <w:p>
      <w:pPr>
        <w:spacing w:after="0" w:line="103"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Engineering and product development</w:t>
      </w:r>
    </w:p>
    <w:p>
      <w:pPr>
        <w:spacing w:after="0" w:line="103"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Engineering and product development expenses primarily consist of payroll and other employee-related expenses, including stock-based compensation expenses, for the engineering and product development teams as well the costs of systems and tools used by these teams. These costs are recognized in the period incurred.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00"/>
          </w:cols>
          <w:pgMar w:left="320" w:top="407" w:right="137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administrative, and other</w:t>
      </w:r>
    </w:p>
    <w:p>
      <w:pPr>
        <w:spacing w:after="0" w:line="103"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Company issues stock options to employees and nonemployees, including directors and third-party service providers, which are initially measured at fair value at the date of grant using the Black-Scholes option-pricing model. Expenses associated with the stock options are recognized based on their respective grant-date fair values. Forfeitures of stock options are estimated at the time of grant and revised, as necessary, in subsequent periods if actual forfeitures differ from initial estimates. Stock-based compensation expense is recorded net of estimated forfeitures, such that the expense is recorded only for those stock options that are expected to vest.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Income</w:t>
      </w:r>
    </w:p>
    <w:p>
      <w:pPr>
        <w:spacing w:after="0" w:line="10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In the years ended December 31, 2017, 2018, and 2019, other income primarily consists of dividend income earned by the Company on its unrestricted cash balance. It is recognized in the period earned. In the years ended December 31, 2017 and 2018, other income also included amounts recognized by the Company in relation to a sublease agreement for an office space, which expired in the year ended December 31, 2018.</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Unaudited</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 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has determined that forgiveness of the loan under the CARES Act is reasonably assured and has recorded the full amount of proceeds as other income in the consolidated statement of operations and comprehensive income (loss).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Income Taxes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70"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The effect on deferred tax assets and liabilities of a change in tax rates is recognized in income in the period that includes the enactment date. A valuation allowance may be established to reduce the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20"/>
          </w:cols>
          <w:pgMar w:left="320" w:top="407" w:right="135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20"/>
        <w:spacing w:after="0"/>
        <w:rPr>
          <w:sz w:val="20"/>
          <w:szCs w:val="20"/>
          <w:color w:val="auto"/>
        </w:rPr>
      </w:pPr>
      <w:r>
        <w:rPr>
          <w:rFonts w:ascii="Arial" w:cs="Arial" w:eastAsia="Arial" w:hAnsi="Arial"/>
          <w:sz w:val="15"/>
          <w:szCs w:val="15"/>
          <w:color w:val="auto"/>
        </w:rPr>
        <w:t>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carryback or carryforward periods.</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Net Loss Per Share Attributable to Common Stockholders of Upstart Holdings, Inc. Stockholders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The Company follows the two-class method when computing net loss per common share when shares are issued that meet the definition of participating securities. The two-class method determines net loss per common share for each class of common stock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 Accordingly, for the periods where the Company is in a net loss position, the Company does not allocate any net loss attributable to common stockholders to the convertible preferred stock.</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Diluted net loss per share is the amount of net loss available to each share of common stock outstanding during the reporting period, adjusted to include the effect of potentially dilutive common shares. For periods in which the Company reports net losses, basic and diluted net loss per share attributable to Upstart Holdings, Inc.’s common stockholders are the same because potentially dilutive common shares are not assumed to have been issued if their effect is anti-dilutive. Potentially dilutive common shares include incremental shares issued for convertible preferred stock, stock options, warrants to purchase convertible preferred stock and warrants to purchase common stock.</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Net Income per Share Attributable to Common Stockholders of Upstart Holdings, Inc.</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contemplation of the IPO, the Company has presented the unaudited pro forma basic and diluted net income per share attributable to Upstart Holdings, Inc. common stockholders, which has been computed to give effect to the conversion of the convertible preferred stock, including additional preferred stock shares from the exercise of the preferred stock warrant prior to the completion of the IPO. In addition, the numerator in the pro forma basic and diluted net income per common share calculation has been adjusted to remove gains or losses resulting from the remeasurement of the convertible preferred stock warrant liability as the related convertible preferred stock warrant liability will be reclassified to additional paid-in capital upon exercise prior to the completion of the IPO. The unaudited pro forma net income per share attributable to Upstart Holdings, Inc. common stockholders does not include the shares to be sold in the IPO.</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180"/>
          </w:cols>
          <w:pgMar w:left="320" w:top="407" w:right="1399"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Comprehensive Income (Loss)</w:t>
      </w:r>
    </w:p>
    <w:p>
      <w:pPr>
        <w:spacing w:after="0" w:line="105" w:lineRule="exact"/>
        <w:rPr>
          <w:sz w:val="20"/>
          <w:szCs w:val="20"/>
          <w:color w:val="auto"/>
        </w:rPr>
      </w:pPr>
    </w:p>
    <w:p>
      <w:pPr>
        <w:ind w:left="1020" w:right="360" w:firstLine="460"/>
        <w:spacing w:after="0" w:line="238" w:lineRule="auto"/>
        <w:rPr>
          <w:sz w:val="20"/>
          <w:szCs w:val="20"/>
          <w:color w:val="auto"/>
        </w:rPr>
      </w:pPr>
      <w:r>
        <w:rPr>
          <w:rFonts w:ascii="Arial" w:cs="Arial" w:eastAsia="Arial" w:hAnsi="Arial"/>
          <w:sz w:val="15"/>
          <w:szCs w:val="15"/>
          <w:color w:val="auto"/>
        </w:rPr>
        <w:t>Comprehensive (loss) income represents all changes in equity of the Company during the periods presented, resulting from transactions with non-owner sources. The Company’s comprehensive (loss) income was equal to its net loss for the years ended December 31, 2017, 2018 and 2019, nine months ended September 30, 2019 (unaudited) and net income for the nine months ended September 30, 2020 (unaudited).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05"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principally of cash, restricted cash, and loans. The Company’s cash and restricted cash are held in financial institutions in the United States. From time to time, amounts on deposit may exceed federally insured limits. The Company is exposed to credit risk in the event of default by these financial institutions to the extent the amount recorded on the Company’s consolidated balance sheets exceeds the insured amounts by the Federal Deposit Insurance Corporation (“FDIC”). The Company reduces credit risk by placing its cash in high-credit-quality financial instruments that are managed by reputable institutions. The Company is further exposed to credit risks on loans held on our consolidated balance sheets from changes in economic conditions that may cause individual borrower default due to inability or unwillingness to meet their financial obligations. The Company manages credit risk on loans by leveraging its AI models to effectively evaluate a borrower’s credit worthiness and likelihood of default.</w:t>
      </w:r>
    </w:p>
    <w:p>
      <w:pPr>
        <w:spacing w:after="0" w:line="17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Significant customers are those which represent 10% or more of the Company’s total revenue for each respective period presented. For the years ended December 31, 2017, 2018 and 2019, and nine months ended September 30, 2019 (unaudited) and 2020 (unaudited), the Company had one two customers that comprised the following percentages of total revenue for each of the periods below:</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Years ended December 31</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480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2017</w:t>
            </w: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2018</w:t>
            </w: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580" w:type="dxa"/>
            <w:vAlign w:val="bottom"/>
          </w:tcPr>
          <w:p>
            <w:pPr>
              <w:spacing w:after="0"/>
              <w:rPr>
                <w:sz w:val="10"/>
                <w:szCs w:val="10"/>
                <w:color w:val="auto"/>
              </w:rPr>
            </w:pPr>
          </w:p>
        </w:tc>
        <w:tc>
          <w:tcPr>
            <w:tcW w:w="1080" w:type="dxa"/>
            <w:vAlign w:val="bottom"/>
            <w:tcBorders>
              <w:top w:val="single" w:sz="8" w:color="auto"/>
              <w:bottom w:val="single" w:sz="8" w:color="auto"/>
            </w:tcBorders>
          </w:tcPr>
          <w:p>
            <w:pPr>
              <w:jc w:val="right"/>
              <w:ind w:right="695"/>
              <w:spacing w:after="0" w:line="126" w:lineRule="exact"/>
              <w:rPr>
                <w:sz w:val="20"/>
                <w:szCs w:val="20"/>
                <w:color w:val="auto"/>
              </w:rPr>
            </w:pPr>
            <w:r>
              <w:rPr>
                <w:rFonts w:ascii="Arial" w:cs="Arial" w:eastAsia="Arial" w:hAnsi="Arial"/>
                <w:sz w:val="12"/>
                <w:szCs w:val="12"/>
                <w:b w:val="1"/>
                <w:bCs w:val="1"/>
                <w:color w:val="auto"/>
              </w:rPr>
              <w:t>2019</w:t>
            </w:r>
          </w:p>
        </w:tc>
        <w:tc>
          <w:tcPr>
            <w:tcW w:w="3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0"/>
                <w:szCs w:val="10"/>
                <w:color w:val="auto"/>
              </w:rPr>
            </w:pPr>
          </w:p>
        </w:tc>
      </w:tr>
      <w:tr>
        <w:trPr>
          <w:trHeight w:val="126"/>
        </w:trPr>
        <w:tc>
          <w:tcPr>
            <w:tcW w:w="4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center"/>
              <w:ind w:left="315"/>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9"/>
        </w:trPr>
        <w:tc>
          <w:tcPr>
            <w:tcW w:w="4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Customer A</w:t>
            </w:r>
          </w:p>
        </w:tc>
        <w:tc>
          <w:tcPr>
            <w:tcW w:w="9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83%</w:t>
            </w:r>
          </w:p>
        </w:tc>
        <w:tc>
          <w:tcPr>
            <w:tcW w:w="94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81%</w:t>
            </w:r>
          </w:p>
        </w:tc>
        <w:tc>
          <w:tcPr>
            <w:tcW w:w="92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80%</w:t>
            </w:r>
          </w:p>
        </w:tc>
        <w:tc>
          <w:tcPr>
            <w:tcW w:w="1080" w:type="dxa"/>
            <w:vAlign w:val="bottom"/>
            <w:shd w:val="clear" w:color="auto" w:fill="CCEEFF"/>
          </w:tcPr>
          <w:p>
            <w:pPr>
              <w:jc w:val="right"/>
              <w:ind w:right="495"/>
              <w:spacing w:after="0" w:line="169" w:lineRule="exact"/>
              <w:rPr>
                <w:sz w:val="20"/>
                <w:szCs w:val="20"/>
                <w:color w:val="auto"/>
              </w:rPr>
            </w:pPr>
            <w:r>
              <w:rPr>
                <w:rFonts w:ascii="Arial" w:cs="Arial" w:eastAsia="Arial" w:hAnsi="Arial"/>
                <w:sz w:val="15"/>
                <w:szCs w:val="15"/>
                <w:color w:val="auto"/>
              </w:rPr>
              <w:t>81%</w:t>
            </w:r>
          </w:p>
        </w:tc>
        <w:tc>
          <w:tcPr>
            <w:tcW w:w="5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65%</w:t>
            </w:r>
          </w:p>
        </w:tc>
      </w:tr>
      <w:tr>
        <w:trPr>
          <w:trHeight w:val="180"/>
        </w:trPr>
        <w:tc>
          <w:tcPr>
            <w:tcW w:w="4800" w:type="dxa"/>
            <w:vAlign w:val="bottom"/>
          </w:tcPr>
          <w:p>
            <w:pPr>
              <w:spacing w:after="0"/>
              <w:rPr>
                <w:sz w:val="20"/>
                <w:szCs w:val="20"/>
                <w:color w:val="auto"/>
              </w:rPr>
            </w:pPr>
            <w:r>
              <w:rPr>
                <w:rFonts w:ascii="Arial" w:cs="Arial" w:eastAsia="Arial" w:hAnsi="Arial"/>
                <w:sz w:val="15"/>
                <w:szCs w:val="15"/>
                <w:color w:val="auto"/>
              </w:rPr>
              <w:t>Customer B</w:t>
            </w:r>
          </w:p>
        </w:tc>
        <w:tc>
          <w:tcPr>
            <w:tcW w:w="90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15"/>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6" w:lineRule="exact"/>
        <w:rPr>
          <w:sz w:val="20"/>
          <w:szCs w:val="20"/>
          <w:color w:val="auto"/>
        </w:rPr>
      </w:pPr>
    </w:p>
    <w:p>
      <w:pPr>
        <w:ind w:left="1480" w:hanging="453"/>
        <w:spacing w:after="0"/>
        <w:tabs>
          <w:tab w:leader="none" w:pos="14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Less than 10%</w:t>
      </w:r>
    </w:p>
    <w:p>
      <w:pPr>
        <w:spacing w:after="0" w:line="177"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Company did not have a significant concentration of credit risk in its accounts receivable balance as of December 31, 2018 and 2019 and had one customer that comprised 49% of accounts receivable within other assets as of September 30, 2020 (unaudited).</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Segments</w:t>
      </w:r>
    </w:p>
    <w:p>
      <w:pPr>
        <w:spacing w:after="0" w:line="105" w:lineRule="exact"/>
        <w:rPr>
          <w:sz w:val="20"/>
          <w:szCs w:val="20"/>
          <w:color w:val="auto"/>
        </w:rPr>
      </w:pPr>
    </w:p>
    <w:p>
      <w:pPr>
        <w:ind w:left="1020" w:right="240" w:firstLine="460"/>
        <w:spacing w:after="0" w:line="280" w:lineRule="auto"/>
        <w:rPr>
          <w:sz w:val="20"/>
          <w:szCs w:val="20"/>
          <w:color w:val="auto"/>
        </w:rPr>
      </w:pPr>
      <w:r>
        <w:rPr>
          <w:rFonts w:ascii="Arial" w:cs="Arial" w:eastAsia="Arial" w:hAnsi="Arial"/>
          <w:sz w:val="14"/>
          <w:szCs w:val="14"/>
          <w:color w:val="auto"/>
        </w:rPr>
        <w:t>The Company has one reportable segment. The Company’s chief operating decision maker, the Chief Executive Officer, reviews financial information presented on a consolidated basis for purposes of allocating resources and evaluating financial performance.</w:t>
      </w:r>
    </w:p>
    <w:p>
      <w:pPr>
        <w:spacing w:after="0" w:line="21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Emerging Growth Company Status</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(the “JOBS Act”). Under the JOBS Act, emerging growth companies can delay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20"/>
          </w:cols>
          <w:pgMar w:left="320" w:top="407" w:right="1359"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 xml:space="preserve">The JOBS Act does not preclude an emerging growth company from early adopting new or revised accounting standards. The Company early adopted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effective January 1, 2019. The Company expects to use the extended transition period for any other new or revised accounting standards during the period which the Company remains an emerging growth company.</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7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color w:val="auto"/>
        </w:rPr>
        <w:t xml:space="preserve">ASU 2014 -09,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Under the standard, revenue from contracts with customers is recognized when a customer obtains control of promised goods or services in an amount that reflects the consideration the entity expects to receive in exchange for those goods or services. The Financial Accounting Standards Board (“FASB”) subsequently issued several amendments, including ASU 2016-08 - </w:t>
      </w:r>
      <w:r>
        <w:rPr>
          <w:rFonts w:ascii="Arial" w:cs="Arial" w:eastAsia="Arial" w:hAnsi="Arial"/>
          <w:sz w:val="15"/>
          <w:szCs w:val="15"/>
          <w:i w:val="1"/>
          <w:iCs w:val="1"/>
          <w:color w:val="auto"/>
        </w:rPr>
        <w:t>Principal versus Agent Considerations</w:t>
      </w:r>
      <w:r>
        <w:rPr>
          <w:rFonts w:ascii="Arial" w:cs="Arial" w:eastAsia="Arial" w:hAnsi="Arial"/>
          <w:sz w:val="15"/>
          <w:szCs w:val="15"/>
          <w:color w:val="auto"/>
        </w:rPr>
        <w:t xml:space="preserve">, ASU 2016-10 - </w:t>
      </w:r>
      <w:r>
        <w:rPr>
          <w:rFonts w:ascii="Arial" w:cs="Arial" w:eastAsia="Arial" w:hAnsi="Arial"/>
          <w:sz w:val="15"/>
          <w:szCs w:val="15"/>
          <w:i w:val="1"/>
          <w:iCs w:val="1"/>
          <w:color w:val="auto"/>
        </w:rPr>
        <w:t>Identifying Performance Obligations and</w:t>
      </w:r>
      <w:r>
        <w:rPr>
          <w:rFonts w:ascii="Arial" w:cs="Arial" w:eastAsia="Arial" w:hAnsi="Arial"/>
          <w:sz w:val="15"/>
          <w:szCs w:val="15"/>
          <w:color w:val="auto"/>
        </w:rPr>
        <w:t xml:space="preserve"> </w:t>
      </w:r>
      <w:r>
        <w:rPr>
          <w:rFonts w:ascii="Arial" w:cs="Arial" w:eastAsia="Arial" w:hAnsi="Arial"/>
          <w:sz w:val="15"/>
          <w:szCs w:val="15"/>
          <w:i w:val="1"/>
          <w:iCs w:val="1"/>
          <w:color w:val="auto"/>
        </w:rPr>
        <w:t>Licensing</w:t>
      </w:r>
      <w:r>
        <w:rPr>
          <w:rFonts w:ascii="Arial" w:cs="Arial" w:eastAsia="Arial" w:hAnsi="Arial"/>
          <w:sz w:val="15"/>
          <w:szCs w:val="15"/>
          <w:color w:val="auto"/>
        </w:rPr>
        <w:t>, and ASU 2016-12 -</w:t>
      </w:r>
      <w:r>
        <w:rPr>
          <w:rFonts w:ascii="Arial" w:cs="Arial" w:eastAsia="Arial" w:hAnsi="Arial"/>
          <w:sz w:val="15"/>
          <w:szCs w:val="15"/>
          <w:i w:val="1"/>
          <w:iCs w:val="1"/>
          <w:color w:val="auto"/>
        </w:rPr>
        <w:t xml:space="preserve"> Narrow-Scope Improvements and Practical Expedients</w:t>
      </w:r>
      <w:r>
        <w:rPr>
          <w:rFonts w:ascii="Arial" w:cs="Arial" w:eastAsia="Arial" w:hAnsi="Arial"/>
          <w:sz w:val="15"/>
          <w:szCs w:val="15"/>
          <w:color w:val="auto"/>
        </w:rPr>
        <w:t>. These amendments all have the same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date and transition requirements as Topic 606. Income that was historically recognized under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xml:space="preserve"> and Topic 310, </w:t>
      </w:r>
      <w:r>
        <w:rPr>
          <w:rFonts w:ascii="Arial" w:cs="Arial" w:eastAsia="Arial" w:hAnsi="Arial"/>
          <w:sz w:val="15"/>
          <w:szCs w:val="15"/>
          <w:i w:val="1"/>
          <w:iCs w:val="1"/>
          <w:color w:val="auto"/>
        </w:rPr>
        <w:t>Receivables</w:t>
      </w:r>
      <w:r>
        <w:rPr>
          <w:rFonts w:ascii="Arial" w:cs="Arial" w:eastAsia="Arial" w:hAnsi="Arial"/>
          <w:sz w:val="15"/>
          <w:szCs w:val="15"/>
          <w:color w:val="auto"/>
        </w:rPr>
        <w:t xml:space="preserve"> is excluded from the scope of the standard; as such, the Company has concluded that its accounting for interest income and fair value adjustments, net and income from servicing fees will not change under the standard.</w:t>
      </w:r>
    </w:p>
    <w:p>
      <w:pPr>
        <w:spacing w:after="0" w:line="174"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 adopted Topic 606 on January 1, 2019 using the modified retrospective method for all contracts that were not complete as of the date of adoption. The Company did not have modifications of contracts that were not complete as of the effective date. Results for reporting periods beginning after January 1, 2019 are presented under Topic 606, while comparative information has not been restated and continues to be reported under the accounting standards in effect for those periods.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adoption of Topic 606 did not change (1) the timing and pattern of revenue recognition for revenue streams in the scope of Topic 606, which includes platform and referral fees, net within revenue from fees, net, or (2) the presentation of revenue as gross versus net. The Company did not have any material balances of contract assets, contract liabilities, and deferred contract costs prior to or after the adoption of Topic 606. Therefore, the adoption of Topic 606 did not have a material impact on the Company’s consolidated balance sheets, consolidated statements of operations and comprehensive income (loss) and consolidated statements of cash flows as of the adoption date or for the year ended December 31, 2019. The Company has included the disclosures required by Topic 606 in “</w:t>
      </w:r>
      <w:r>
        <w:rPr>
          <w:rFonts w:ascii="Arial" w:cs="Arial" w:eastAsia="Arial" w:hAnsi="Arial"/>
          <w:sz w:val="15"/>
          <w:szCs w:val="15"/>
          <w:i w:val="1"/>
          <w:iCs w:val="1"/>
          <w:color w:val="auto"/>
        </w:rPr>
        <w:t>Note 2</w:t>
      </w:r>
      <w:r>
        <w:rPr>
          <w:rFonts w:ascii="Arial" w:cs="Arial" w:eastAsia="Arial" w:hAnsi="Arial"/>
          <w:sz w:val="15"/>
          <w:szCs w:val="15"/>
          <w:color w:val="auto"/>
        </w:rPr>
        <w:t xml:space="preserve">. </w:t>
      </w:r>
      <w:r>
        <w:rPr>
          <w:rFonts w:ascii="Arial" w:cs="Arial" w:eastAsia="Arial" w:hAnsi="Arial"/>
          <w:sz w:val="15"/>
          <w:szCs w:val="15"/>
          <w:i w:val="1"/>
          <w:iCs w:val="1"/>
          <w:color w:val="auto"/>
        </w:rPr>
        <w:t>Revenue.”</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ASU 2016-01, </w:t>
      </w:r>
      <w:r>
        <w:rPr>
          <w:rFonts w:ascii="Arial" w:cs="Arial" w:eastAsia="Arial" w:hAnsi="Arial"/>
          <w:sz w:val="15"/>
          <w:szCs w:val="15"/>
          <w:i w:val="1"/>
          <w:iCs w:val="1"/>
          <w:color w:val="auto"/>
        </w:rPr>
        <w:t>Financial Instruments – Overall (Subtopic 825-10): Recognition and Measurement of Financial Assets and Financial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 xml:space="preserve">Liabilities: </w:t>
      </w:r>
      <w:r>
        <w:rPr>
          <w:rFonts w:ascii="Arial" w:cs="Arial" w:eastAsia="Arial" w:hAnsi="Arial"/>
          <w:sz w:val="15"/>
          <w:szCs w:val="15"/>
          <w:color w:val="auto"/>
        </w:rPr>
        <w:t>This standard, which amends the accounting for equity</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140"/>
          </w:cols>
          <w:pgMar w:left="320" w:top="407" w:right="143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60"/>
        <w:spacing w:after="0" w:line="237" w:lineRule="auto"/>
        <w:rPr>
          <w:sz w:val="20"/>
          <w:szCs w:val="20"/>
          <w:color w:val="auto"/>
        </w:rPr>
      </w:pPr>
      <w:r>
        <w:rPr>
          <w:rFonts w:ascii="Arial" w:cs="Arial" w:eastAsia="Arial" w:hAnsi="Arial"/>
          <w:sz w:val="15"/>
          <w:szCs w:val="15"/>
          <w:color w:val="auto"/>
        </w:rPr>
        <w:t>investments, changes disclosure requirements related to instruments at amortized cost and fair value, and clarifies how entities should evaluate deferred tax assets for securities classified as available for sale. The guidance also requires an entity to present separately in other comprehensive income the portion of the total change in fair value of a liability resulting from a change in the instrument-specific credit risk when the entity has elected to measure the liability under the fair value option. The Company adopted ASU 2016-01 on January 1, 2019. The adoption did not impact the Company’s consolidated balance sheets, consolidated statements of operations and comprehensive income (loss) and consolidated statements of cash flows. The Company has included the disclosures required by ASU 2016-01 in “</w:t>
      </w:r>
      <w:r>
        <w:rPr>
          <w:rFonts w:ascii="Arial" w:cs="Arial" w:eastAsia="Arial" w:hAnsi="Arial"/>
          <w:sz w:val="15"/>
          <w:szCs w:val="15"/>
          <w:i w:val="1"/>
          <w:iCs w:val="1"/>
          <w:color w:val="auto"/>
        </w:rPr>
        <w:t>Note 4. Fair Value Measurement.”</w:t>
      </w:r>
    </w:p>
    <w:p>
      <w:pPr>
        <w:spacing w:after="0" w:line="155" w:lineRule="exact"/>
        <w:rPr>
          <w:sz w:val="20"/>
          <w:szCs w:val="20"/>
          <w:color w:val="auto"/>
        </w:rPr>
      </w:pPr>
    </w:p>
    <w:p>
      <w:pPr>
        <w:ind w:left="1020" w:right="140" w:firstLine="460"/>
        <w:spacing w:after="0" w:line="239" w:lineRule="auto"/>
        <w:rPr>
          <w:sz w:val="20"/>
          <w:szCs w:val="20"/>
          <w:color w:val="auto"/>
        </w:rPr>
      </w:pPr>
      <w:r>
        <w:rPr>
          <w:rFonts w:ascii="Arial" w:cs="Arial" w:eastAsia="Arial" w:hAnsi="Arial"/>
          <w:sz w:val="15"/>
          <w:szCs w:val="15"/>
          <w:color w:val="auto"/>
        </w:rPr>
        <w:t xml:space="preserve">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This standard requires lessees to record on their balance sheets a lease liability for the obligation to make lease payments and a ROU asset for the right to use the underlying asset for the lease term. The Company adopted Topic 842 as of January 1, 2019 and has elected not to restate comparative periods presented in the consolidated financial statements. The new standard allows for several transition-related practical expedients. The Company elected the package of practical expedients permitted, which among other things, permits entities to not reassess: (i) whether any expired or existing contracts are or contain leases,</w:t>
      </w:r>
    </w:p>
    <w:p>
      <w:pPr>
        <w:spacing w:after="0" w:line="2" w:lineRule="exact"/>
        <w:rPr>
          <w:sz w:val="20"/>
          <w:szCs w:val="20"/>
          <w:color w:val="auto"/>
        </w:rPr>
      </w:pPr>
    </w:p>
    <w:p>
      <w:pPr>
        <w:ind w:left="1020" w:right="360" w:firstLine="7"/>
        <w:spacing w:after="0" w:line="245" w:lineRule="auto"/>
        <w:tabs>
          <w:tab w:leader="none" w:pos="1228" w:val="left"/>
        </w:tabs>
        <w:numPr>
          <w:ilvl w:val="0"/>
          <w:numId w:val="138"/>
        </w:numPr>
        <w:rPr>
          <w:rFonts w:ascii="Arial" w:cs="Arial" w:eastAsia="Arial" w:hAnsi="Arial"/>
          <w:sz w:val="15"/>
          <w:szCs w:val="15"/>
          <w:color w:val="auto"/>
        </w:rPr>
      </w:pPr>
      <w:r>
        <w:rPr>
          <w:rFonts w:ascii="Arial" w:cs="Arial" w:eastAsia="Arial" w:hAnsi="Arial"/>
          <w:sz w:val="15"/>
          <w:szCs w:val="15"/>
          <w:color w:val="auto"/>
        </w:rPr>
        <w:t>lease classification for any expired or existing leases and, (iii) initial direct costs for any existing leases. At the time of adoption, all leases within the Company’s portfolio are classified as operating leases.</w:t>
      </w:r>
    </w:p>
    <w:p>
      <w:pPr>
        <w:spacing w:after="0" w:line="16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Adoption of Topic 842 had an impact on the Company’s consolidated balance sheets but did not have an impact on the Company’s consolidated statements of operations and comprehensive income (loss) or consolidated statements of cash flows. The most significant impact was the recognition of ROU assets and lease liabilities of $1.0 million and $1.0 million as of January 1, 2019, respectively, with no cumulative effect in retained earnings. The operating lease expenses are included in general and administrative expense in the Company’s consolidated statements of operations and comprehensive income (loss). The Company included the disclosures required by ASU 2016-02 in “</w:t>
      </w:r>
      <w:r>
        <w:rPr>
          <w:rFonts w:ascii="Arial" w:cs="Arial" w:eastAsia="Arial" w:hAnsi="Arial"/>
          <w:sz w:val="15"/>
          <w:szCs w:val="15"/>
          <w:i w:val="1"/>
          <w:iCs w:val="1"/>
          <w:color w:val="auto"/>
        </w:rPr>
        <w:t>Note 12. Leases</w:t>
      </w:r>
      <w:r>
        <w:rPr>
          <w:rFonts w:ascii="Arial" w:cs="Arial" w:eastAsia="Arial" w:hAnsi="Arial"/>
          <w:sz w:val="15"/>
          <w:szCs w:val="15"/>
          <w:color w:val="auto"/>
        </w:rPr>
        <w:t>.”</w:t>
      </w:r>
    </w:p>
    <w:p>
      <w:pPr>
        <w:spacing w:after="0" w:line="156" w:lineRule="exact"/>
        <w:rPr>
          <w:sz w:val="20"/>
          <w:szCs w:val="20"/>
          <w:color w:val="auto"/>
        </w:rPr>
      </w:pPr>
    </w:p>
    <w:p>
      <w:pPr>
        <w:ind w:left="1020" w:right="100" w:firstLine="460"/>
        <w:spacing w:after="0" w:line="251" w:lineRule="auto"/>
        <w:rPr>
          <w:sz w:val="20"/>
          <w:szCs w:val="20"/>
          <w:color w:val="auto"/>
        </w:rPr>
      </w:pPr>
      <w:r>
        <w:rPr>
          <w:rFonts w:ascii="Arial" w:cs="Arial" w:eastAsia="Arial" w:hAnsi="Arial"/>
          <w:sz w:val="15"/>
          <w:szCs w:val="15"/>
          <w:color w:val="auto"/>
        </w:rPr>
        <w:t xml:space="preserve">ASU 2017-09, </w:t>
      </w:r>
      <w:r>
        <w:rPr>
          <w:rFonts w:ascii="Arial" w:cs="Arial" w:eastAsia="Arial" w:hAnsi="Arial"/>
          <w:sz w:val="15"/>
          <w:szCs w:val="15"/>
          <w:i w:val="1"/>
          <w:iCs w:val="1"/>
          <w:color w:val="auto"/>
        </w:rPr>
        <w:t>Compensation – Stock Compensation (Topic 718): Scope of Modification Accounting</w:t>
      </w:r>
      <w:r>
        <w:rPr>
          <w:rFonts w:ascii="Arial" w:cs="Arial" w:eastAsia="Arial" w:hAnsi="Arial"/>
          <w:sz w:val="15"/>
          <w:szCs w:val="15"/>
          <w:color w:val="auto"/>
        </w:rPr>
        <w:t>, which clarifies when to account for a change to the terms or conditions of a share-based payment award as a modification. The Company prospectively adopted ASU 2017-09 on January 1, 2019. The effect of the adoption on the consolidated financial statements was not material.</w:t>
      </w:r>
    </w:p>
    <w:p>
      <w:pPr>
        <w:spacing w:after="0" w:line="146" w:lineRule="exact"/>
        <w:rPr>
          <w:sz w:val="20"/>
          <w:szCs w:val="20"/>
          <w:color w:val="auto"/>
        </w:rPr>
      </w:pPr>
    </w:p>
    <w:p>
      <w:pPr>
        <w:ind w:left="1020" w:right="160" w:firstLine="460"/>
        <w:spacing w:after="0" w:line="246" w:lineRule="auto"/>
        <w:rPr>
          <w:sz w:val="20"/>
          <w:szCs w:val="20"/>
          <w:color w:val="auto"/>
        </w:rPr>
      </w:pPr>
      <w:r>
        <w:rPr>
          <w:rFonts w:ascii="Arial" w:cs="Arial" w:eastAsia="Arial" w:hAnsi="Arial"/>
          <w:sz w:val="15"/>
          <w:szCs w:val="15"/>
          <w:color w:val="auto"/>
        </w:rPr>
        <w:t xml:space="preserve">ASU 2018-07, </w:t>
      </w:r>
      <w:r>
        <w:rPr>
          <w:rFonts w:ascii="Arial" w:cs="Arial" w:eastAsia="Arial" w:hAnsi="Arial"/>
          <w:sz w:val="15"/>
          <w:szCs w:val="15"/>
          <w:i w:val="1"/>
          <w:iCs w:val="1"/>
          <w:color w:val="auto"/>
        </w:rPr>
        <w:t>Compensation – Stock Compensation (Topic 718): Improvements to Nonemployee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w:t>
      </w:r>
      <w:r>
        <w:rPr>
          <w:rFonts w:ascii="Arial" w:cs="Arial" w:eastAsia="Arial" w:hAnsi="Arial"/>
          <w:sz w:val="15"/>
          <w:szCs w:val="15"/>
          <w:color w:val="auto"/>
        </w:rPr>
        <w:t>simplifies the accounting for share-based payments to nonemployees by aligning it with the accounting for share-based</w:t>
      </w:r>
      <w:r>
        <w:rPr>
          <w:rFonts w:ascii="Arial" w:cs="Arial" w:eastAsia="Arial" w:hAnsi="Arial"/>
          <w:sz w:val="15"/>
          <w:szCs w:val="15"/>
          <w:i w:val="1"/>
          <w:iCs w:val="1"/>
          <w:color w:val="auto"/>
        </w:rPr>
        <w:t xml:space="preserve"> </w:t>
      </w:r>
      <w:r>
        <w:rPr>
          <w:rFonts w:ascii="Arial" w:cs="Arial" w:eastAsia="Arial" w:hAnsi="Arial"/>
          <w:sz w:val="15"/>
          <w:szCs w:val="15"/>
          <w:color w:val="auto"/>
        </w:rPr>
        <w:t>payments to employees, with certain exceptions. The Company adopted ASU 2018-07 as of January 1, 2019. The effect of the adoption on the consolidated financial statements was not material.</w:t>
      </w:r>
    </w:p>
    <w:p>
      <w:pPr>
        <w:spacing w:after="0" w:line="149"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color w:val="auto"/>
        </w:rPr>
        <w:t xml:space="preserve">ASU 2018-13, Fair Value Measurement (Topic 820): </w:t>
      </w:r>
      <w:r>
        <w:rPr>
          <w:rFonts w:ascii="Arial" w:cs="Arial" w:eastAsia="Arial" w:hAnsi="Arial"/>
          <w:sz w:val="15"/>
          <w:szCs w:val="15"/>
          <w:i w:val="1"/>
          <w:iCs w:val="1"/>
          <w:color w:val="auto"/>
        </w:rPr>
        <w:t>Disclosure Framework – Changes to the Disclosure Requirements for Fair</w:t>
      </w:r>
      <w:r>
        <w:rPr>
          <w:rFonts w:ascii="Arial" w:cs="Arial" w:eastAsia="Arial" w:hAnsi="Arial"/>
          <w:sz w:val="15"/>
          <w:szCs w:val="15"/>
          <w:color w:val="auto"/>
        </w:rPr>
        <w:t xml:space="preserve"> </w:t>
      </w:r>
      <w:r>
        <w:rPr>
          <w:rFonts w:ascii="Arial" w:cs="Arial" w:eastAsia="Arial" w:hAnsi="Arial"/>
          <w:sz w:val="15"/>
          <w:szCs w:val="15"/>
          <w:i w:val="1"/>
          <w:iCs w:val="1"/>
          <w:color w:val="auto"/>
        </w:rPr>
        <w:t>Value Measurement</w:t>
      </w:r>
      <w:r>
        <w:rPr>
          <w:rFonts w:ascii="Arial" w:cs="Arial" w:eastAsia="Arial" w:hAnsi="Arial"/>
          <w:sz w:val="15"/>
          <w:szCs w:val="15"/>
          <w:color w:val="auto"/>
        </w:rPr>
        <w:t>, modifies the disclosure requirements for fair value measurements by removing, modifying, or adding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disclosures. The ASU eliminates disclosures such as the amount of and reasons for transfers between Level 1 and Level 2 of the fair value hierarchy and valuation processes for Level 3 fair value measurements. The ASU also adds new disclosure requirements for Level 3 measurements. The company adopted ASU 2018-13 on January 1, 2020. The effect of the adoption did not have a material impact on the Company’s related disclosures.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200"/>
          </w:cols>
          <w:pgMar w:left="320" w:top="407" w:right="137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Issued Accounting Pronouncements</w:t>
      </w:r>
    </w:p>
    <w:p>
      <w:pPr>
        <w:spacing w:after="0" w:line="89"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 xml:space="preserve">In June 2016, the FASB amended guidance related to impairment of financial instruments as part of ASU 2016-13,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 – Credit Losses (Topic 326): Measurement of Credit Losses on Financial Instruments</w:t>
      </w:r>
      <w:r>
        <w:rPr>
          <w:rFonts w:ascii="Arial" w:cs="Arial" w:eastAsia="Arial" w:hAnsi="Arial"/>
          <w:sz w:val="15"/>
          <w:szCs w:val="15"/>
          <w:color w:val="auto"/>
        </w:rPr>
        <w:t>, which will be effective January 1, 2023</w:t>
      </w:r>
      <w:r>
        <w:rPr>
          <w:rFonts w:ascii="Arial" w:cs="Arial" w:eastAsia="Arial" w:hAnsi="Arial"/>
          <w:sz w:val="15"/>
          <w:szCs w:val="15"/>
          <w:i w:val="1"/>
          <w:iCs w:val="1"/>
          <w:color w:val="auto"/>
        </w:rPr>
        <w:t xml:space="preserve"> </w:t>
      </w:r>
      <w:r>
        <w:rPr>
          <w:rFonts w:ascii="Arial" w:cs="Arial" w:eastAsia="Arial" w:hAnsi="Arial"/>
          <w:sz w:val="15"/>
          <w:szCs w:val="15"/>
          <w:color w:val="auto"/>
        </w:rPr>
        <w:t>for emerging growth companies that have adopted the private company relief. The guidance replaces the incurred loss impairment methodology with an expected credit loss model for which a company recognizes an allowance based on the estimate of expected credit loss. The Company accounts for its loans at fair value through net income, which is outside the scope of Topic 326. For available for sale debt securities, the guidance will require recognition of expected credit losses by recognizing an allowance for credit losses when the fair value of the security is below amortized cost and the recognition of this allowance is limited to the difference between the security’s amortized cost basis and fair value. The Company is evaluating the impact this ASU will have on its consolidated balance sheets, consolidated statements of operations and comprehensive income (loss) and consolidated statements of cash flows. The Company plans to adopt Topic 326 effective as of January 1, 2023.</w:t>
      </w:r>
    </w:p>
    <w:p>
      <w:pPr>
        <w:spacing w:after="0" w:line="160"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 (Subtopic 350-40):</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Accounting for Implementation Costs Incurred in a Cloud Computing Arrangement That Is a Service Contract</w:t>
      </w:r>
      <w:r>
        <w:rPr>
          <w:rFonts w:ascii="Arial" w:cs="Arial" w:eastAsia="Arial" w:hAnsi="Arial"/>
          <w:sz w:val="15"/>
          <w:szCs w:val="15"/>
          <w:color w:val="auto"/>
        </w:rPr>
        <w:t>, which requires</w:t>
      </w:r>
      <w:r>
        <w:rPr>
          <w:rFonts w:ascii="Arial" w:cs="Arial" w:eastAsia="Arial" w:hAnsi="Arial"/>
          <w:sz w:val="15"/>
          <w:szCs w:val="15"/>
          <w:i w:val="1"/>
          <w:iCs w:val="1"/>
          <w:color w:val="auto"/>
        </w:rPr>
        <w:t xml:space="preserve"> </w:t>
      </w:r>
      <w:r>
        <w:rPr>
          <w:rFonts w:ascii="Arial" w:cs="Arial" w:eastAsia="Arial" w:hAnsi="Arial"/>
          <w:sz w:val="15"/>
          <w:szCs w:val="15"/>
          <w:color w:val="auto"/>
        </w:rPr>
        <w:t>a customer in a hosting arrangement that is a service contract to follow the internal-use software guidance in 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Company is evaluating the impact this ASU will have on its consolidated financial statements. The Company plans to adopt the ASU 2018-15 effective as of January 1, 2021.</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 Revenue</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disaggregates revenue from fees by type of service for the periods presented as follows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7"/>
          </w:tcPr>
          <w:p>
            <w:pPr>
              <w:jc w:val="right"/>
              <w:ind w:right="280"/>
              <w:spacing w:after="0"/>
              <w:rPr>
                <w:sz w:val="20"/>
                <w:szCs w:val="20"/>
                <w:color w:val="auto"/>
              </w:rPr>
            </w:pPr>
            <w:r>
              <w:rPr>
                <w:rFonts w:ascii="Arial" w:cs="Arial" w:eastAsia="Arial" w:hAnsi="Arial"/>
                <w:sz w:val="12"/>
                <w:szCs w:val="12"/>
                <w:b w:val="1"/>
                <w:bCs w:val="1"/>
                <w:color w:val="auto"/>
              </w:rPr>
              <w:t>Years ended December 31,</w:t>
            </w:r>
          </w:p>
        </w:tc>
        <w:tc>
          <w:tcPr>
            <w:tcW w:w="220" w:type="dxa"/>
            <w:vAlign w:val="bottom"/>
          </w:tcPr>
          <w:p>
            <w:pPr>
              <w:spacing w:after="0"/>
              <w:rPr>
                <w:sz w:val="12"/>
                <w:szCs w:val="12"/>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0"/>
                <w:szCs w:val="10"/>
                <w:color w:val="auto"/>
              </w:rPr>
            </w:pPr>
          </w:p>
        </w:tc>
        <w:tc>
          <w:tcPr>
            <w:tcW w:w="520" w:type="dxa"/>
            <w:vAlign w:val="bottom"/>
            <w:tcBorders>
              <w:top w:val="single" w:sz="8" w:color="auto"/>
            </w:tcBorders>
          </w:tcPr>
          <w:p>
            <w:pPr>
              <w:jc w:val="right"/>
              <w:ind w:right="58"/>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r>
      <w:tr>
        <w:trPr>
          <w:trHeight w:val="149"/>
        </w:trPr>
        <w:tc>
          <w:tcPr>
            <w:tcW w:w="552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color w:val="auto"/>
              </w:rPr>
              <w:t>Revenue from fees, net:</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i w:val="1"/>
                <w:iCs w:val="1"/>
                <w:color w:val="auto"/>
              </w:rPr>
              <w:t>(unaudited)</w:t>
            </w:r>
          </w:p>
        </w:tc>
        <w:tc>
          <w:tcPr>
            <w:tcW w:w="60" w:type="dxa"/>
            <w:vAlign w:val="bottom"/>
            <w:tcBorders>
              <w:top w:val="single" w:sz="8" w:color="CCEEFF"/>
            </w:tcBorders>
            <w:shd w:val="clear" w:color="auto" w:fill="CCEEFF"/>
          </w:tcPr>
          <w:p>
            <w:pPr>
              <w:spacing w:after="0"/>
              <w:rPr>
                <w:sz w:val="12"/>
                <w:szCs w:val="12"/>
                <w:color w:val="auto"/>
              </w:rPr>
            </w:pPr>
          </w:p>
        </w:tc>
      </w:tr>
      <w:tr>
        <w:trPr>
          <w:trHeight w:val="158"/>
        </w:trPr>
        <w:tc>
          <w:tcPr>
            <w:tcW w:w="5520" w:type="dxa"/>
            <w:vAlign w:val="bottom"/>
          </w:tcPr>
          <w:p>
            <w:pPr>
              <w:ind w:left="280"/>
              <w:spacing w:after="0" w:line="158" w:lineRule="exact"/>
              <w:rPr>
                <w:sz w:val="20"/>
                <w:szCs w:val="20"/>
                <w:color w:val="auto"/>
              </w:rPr>
            </w:pPr>
            <w:r>
              <w:rPr>
                <w:rFonts w:ascii="Arial" w:cs="Arial" w:eastAsia="Arial" w:hAnsi="Arial"/>
                <w:sz w:val="14"/>
                <w:szCs w:val="14"/>
                <w:color w:val="auto"/>
              </w:rPr>
              <w:t>Platform and referral fees, net</w:t>
            </w: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88"/>
              </w:rPr>
              <w:t>$ 48,067</w:t>
            </w:r>
          </w:p>
        </w:tc>
        <w:tc>
          <w:tcPr>
            <w:tcW w:w="12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$ 83,381</w:t>
            </w:r>
          </w:p>
        </w:tc>
        <w:tc>
          <w:tcPr>
            <w:tcW w:w="10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$ 144,055</w:t>
            </w: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$ 89,049</w:t>
            </w:r>
          </w:p>
        </w:tc>
        <w:tc>
          <w:tcPr>
            <w:tcW w:w="10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$ 123,485</w:t>
            </w:r>
          </w:p>
        </w:tc>
        <w:tc>
          <w:tcPr>
            <w:tcW w:w="60" w:type="dxa"/>
            <w:vAlign w:val="bottom"/>
          </w:tcPr>
          <w:p>
            <w:pPr>
              <w:spacing w:after="0"/>
              <w:rPr>
                <w:sz w:val="13"/>
                <w:szCs w:val="13"/>
                <w:color w:val="auto"/>
              </w:rPr>
            </w:pPr>
          </w:p>
        </w:tc>
      </w:tr>
      <w:tr>
        <w:trPr>
          <w:trHeight w:val="158"/>
        </w:trPr>
        <w:tc>
          <w:tcPr>
            <w:tcW w:w="55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Servicing fees, net</w:t>
            </w:r>
          </w:p>
        </w:tc>
        <w:tc>
          <w:tcPr>
            <w:tcW w:w="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3,094</w:t>
            </w:r>
          </w:p>
        </w:tc>
        <w:tc>
          <w:tcPr>
            <w:tcW w:w="72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5,101</w:t>
            </w: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15,792</w:t>
            </w:r>
          </w:p>
        </w:tc>
        <w:tc>
          <w:tcPr>
            <w:tcW w:w="84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9,650</w:t>
            </w: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20,694</w:t>
            </w:r>
          </w:p>
        </w:tc>
        <w:tc>
          <w:tcPr>
            <w:tcW w:w="60" w:type="dxa"/>
            <w:vAlign w:val="bottom"/>
            <w:shd w:val="clear" w:color="auto" w:fill="CCEEFF"/>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520" w:type="dxa"/>
            <w:vAlign w:val="bottom"/>
          </w:tcPr>
          <w:p>
            <w:pPr>
              <w:spacing w:after="0"/>
              <w:rPr>
                <w:sz w:val="20"/>
                <w:szCs w:val="20"/>
                <w:color w:val="auto"/>
              </w:rPr>
            </w:pPr>
            <w:r>
              <w:rPr>
                <w:rFonts w:ascii="Arial" w:cs="Arial" w:eastAsia="Arial" w:hAnsi="Arial"/>
                <w:sz w:val="14"/>
                <w:szCs w:val="14"/>
                <w:color w:val="auto"/>
              </w:rPr>
              <w:t>Total revenue from fees, net</w:t>
            </w:r>
          </w:p>
        </w:tc>
        <w:tc>
          <w:tcPr>
            <w:tcW w:w="50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51,161</w:t>
            </w: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88,482</w:t>
            </w: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$ 159,847</w:t>
            </w:r>
          </w:p>
        </w:tc>
        <w:tc>
          <w:tcPr>
            <w:tcW w:w="7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98,699</w:t>
            </w: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$ 144,179</w:t>
            </w:r>
          </w:p>
        </w:tc>
        <w:tc>
          <w:tcPr>
            <w:tcW w:w="60" w:type="dxa"/>
            <w:vAlign w:val="bottom"/>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Platform and referral fees, net</w:t>
      </w:r>
    </w:p>
    <w:p>
      <w:pPr>
        <w:spacing w:after="0" w:line="103"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Company enters into contracts with bank partners to provide access to a cloud-based artificial intelligence lending platform developed by the Company (the “Upstart platform”) to enable banks to originate personal unsecured loans. The Upstart platform includes a cloud-based application (through Upstart.com or a white-label program) for submitting loan applications, verifying information provided within submitted applications, risk underwriting (through a series of proprietary technology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20"/>
          </w:cols>
          <w:pgMar w:left="320" w:top="407" w:right="135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20"/>
        <w:spacing w:after="0" w:line="238" w:lineRule="auto"/>
        <w:rPr>
          <w:sz w:val="20"/>
          <w:szCs w:val="20"/>
          <w:color w:val="auto"/>
        </w:rPr>
      </w:pPr>
      <w:r>
        <w:rPr>
          <w:rFonts w:ascii="Arial" w:cs="Arial" w:eastAsia="Arial" w:hAnsi="Arial"/>
          <w:sz w:val="15"/>
          <w:szCs w:val="15"/>
          <w:color w:val="auto"/>
        </w:rPr>
        <w:t>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1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After origination, Upstart-powered loans are either retained by bank partners, purchased by the Company for immediate resale to institutional investors under loan sale agreements, or purchased and held by the Company. The Company pays loan premium and loan trailing fees on the loans that it purchases from bank partners. Loan premium fees are paid to the bank partners by the Company as a one-time fee at the time the loan is sold. The monthly loan trailing fees are paid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consolidated statements of operations and comprehensive income (loss) for the periods presented. The Company recognized $2.1 million, $3.3 million, $5.5 million, $3.3 million, and $5.6 million of loan premium fees and loan trailing fees as contra-revenue within platform and referral fees, net for the years ended December 31, 2017, 2018, and 2019, and nine months ended September 30, 2019 (unaudited) and 2020 (unaudited), respectively.</w:t>
      </w:r>
    </w:p>
    <w:p>
      <w:pPr>
        <w:spacing w:after="0" w:line="174"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 started paying loan trailing fees on January 1, 2019. As of December 31, 2019, the Company recorded an immaterial loan trailing fee liability, which is recorded at fair value and included within “other liabilities” on the Company’s consolidated balance sheets. No loan trailing fee liability was recorded as of December 31, 2018. As of September 30, 2020 (unaudited), the Company recorded $0.9 million of loan trailing fee liability.</w:t>
      </w:r>
    </w:p>
    <w:p>
      <w:pPr>
        <w:spacing w:after="0" w:line="172"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days of service.</w:t>
      </w:r>
    </w:p>
    <w:p>
      <w:pPr>
        <w:spacing w:after="0" w:line="172"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Platform and referral services are typically provided under a fixed or declining (tier-based) price per unit based on volume or as a percentage of the total value of loans originated each period; however, pricing for these services may also be based on minimum monthly usage fees. The tier-based pricing, when offered, resets on a monthly basis and does not accumulate. Given that the nature of the Company’s promise is to stand ready and provide continuous access to and process transactions through the platform, tier-based pricing based on usage represents variable consideration. Since the variable fees relate directly to the day in which such services are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 Fees for platform and referrals services are typically billed and paid on a monthly basis. As such, the Company’s contracts with customers do not include a significant financing component.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20"/>
          </w:cols>
          <w:pgMar w:left="320" w:top="407" w:right="135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jc w:val="both"/>
        <w:ind w:left="1020" w:right="140" w:firstLine="460"/>
        <w:spacing w:after="0" w:line="235" w:lineRule="auto"/>
        <w:rPr>
          <w:sz w:val="20"/>
          <w:szCs w:val="20"/>
          <w:color w:val="auto"/>
        </w:rPr>
      </w:pPr>
      <w:r>
        <w:rPr>
          <w:rFonts w:ascii="Arial" w:cs="Arial" w:eastAsia="Arial" w:hAnsi="Arial"/>
          <w:sz w:val="15"/>
          <w:szCs w:val="15"/>
          <w:color w:val="auto"/>
        </w:rPr>
        <w:t>The Company did not recognize revenue from performance obligations satisfied in prior periods for the year ended December 31, 2019 and the nine months ended September 30, 2020 (unaudited). The Company had no material contract assets, contract liabilities, or deferred contract costs recorded as of December 31, 2019 and September 30, 2020 (unaudited). The Company had $1.6 million,</w:t>
      </w:r>
    </w:p>
    <w:p>
      <w:pPr>
        <w:ind w:left="1020"/>
        <w:spacing w:after="0" w:line="238" w:lineRule="auto"/>
        <w:rPr>
          <w:sz w:val="20"/>
          <w:szCs w:val="20"/>
          <w:color w:val="auto"/>
        </w:rPr>
      </w:pPr>
      <w:r>
        <w:rPr>
          <w:rFonts w:ascii="Arial" w:cs="Arial" w:eastAsia="Arial" w:hAnsi="Arial"/>
          <w:sz w:val="15"/>
          <w:szCs w:val="15"/>
          <w:color w:val="auto"/>
        </w:rPr>
        <w:t>$5.4 million, and $4.9 million of accounts receivable in other assets on the consolidated balance sheets related to contracts with customers as of December 31, 2018 and 2019, and September 30, 2020 (unaudited), respectively. The Company’s allowance for bad debt was immaterial as of December 31, 2018 and 2019, and September 30, 2020 (unaudited), and the Company’s bad debt expense was immaterial for the periods presented.</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Servicing fees, net</w:t>
      </w:r>
    </w:p>
    <w:p>
      <w:pPr>
        <w:spacing w:after="0" w:line="10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 xml:space="preserve">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to borrowers on a per transaction basis for processing late payments and payments declined due to insufficient funds. Servicing fees are recognized in the period the services are provided. Loan servicing fees are not within the scope of Topic 606 and are accounted for under Topic 860, </w:t>
      </w:r>
      <w:r>
        <w:rPr>
          <w:rFonts w:ascii="Arial" w:cs="Arial" w:eastAsia="Arial" w:hAnsi="Arial"/>
          <w:sz w:val="15"/>
          <w:szCs w:val="15"/>
          <w:i w:val="1"/>
          <w:iCs w:val="1"/>
          <w:color w:val="auto"/>
        </w:rPr>
        <w:t>Transfers and servicing of</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assets</w:t>
      </w:r>
      <w:r>
        <w:rPr>
          <w:rFonts w:ascii="Arial" w:cs="Arial" w:eastAsia="Arial" w:hAnsi="Arial"/>
          <w:sz w:val="15"/>
          <w:szCs w:val="15"/>
          <w:color w:val="auto"/>
        </w:rPr>
        <w:t>.</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Servicing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the Company for carrying out its servicing obligations. The Company recognized net gain (loss) related to loan servicing rights upon the sale of $(1.5) million, $(1.9) million, $(0.9) million, $(1.3) million, and $1.7 million for the years ended December 31, 2017, 2018, and 2019, and nine months ended September 30, 2019 (unaudited), and 2020 (unaudited), respectively. Servicing fees also include changes in fair value of loan servicing assets and liabilities in the periods presented.</w:t>
      </w:r>
    </w:p>
    <w:p>
      <w:pPr>
        <w:spacing w:after="0" w:line="172" w:lineRule="exact"/>
        <w:rPr>
          <w:sz w:val="20"/>
          <w:szCs w:val="20"/>
          <w:color w:val="auto"/>
        </w:rPr>
      </w:pPr>
    </w:p>
    <w:p>
      <w:pPr>
        <w:ind w:left="1020" w:right="160" w:firstLine="460"/>
        <w:spacing w:after="0" w:line="236" w:lineRule="auto"/>
        <w:rPr>
          <w:sz w:val="20"/>
          <w:szCs w:val="20"/>
          <w:color w:val="auto"/>
        </w:rPr>
      </w:pPr>
      <w:r>
        <w:rPr>
          <w:rFonts w:ascii="Arial" w:cs="Arial" w:eastAsia="Arial" w:hAnsi="Arial"/>
          <w:sz w:val="15"/>
          <w:szCs w:val="15"/>
          <w:color w:val="auto"/>
        </w:rPr>
        <w:t>The Company outsources borrower payment collections for loans in default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Revenue from collection agency fees are included in servicing fees, net as part of revenue from fees, net in the Company’s consolidated statements of operations and comprehensive income (loss). The total fees charged by collection agencies are also recognized in the period incurred and reported as part of customer operations expenses. The Company recognized $0.5 million, $0.9 million $2.1 million, $1.5 million, and $2.1 million for collection agency fees, which are included in servicing fees, net, for the years ended December 31, 2017, 2018 and 2019, and nine months ended September 30, 2019 (unaudited) and 2020 (unaudited), respectively.</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00"/>
          </w:cols>
          <w:pgMar w:left="320" w:top="407" w:right="1379" w:bottom="1440" w:gutter="0" w:footer="0" w:header="0"/>
        </w:sectPr>
      </w:pPr>
    </w:p>
    <w:bookmarkStart w:id="261" w:name="page262"/>
    <w:bookmarkEnd w:id="2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the fair value of financial instruments, held in the Company’s normal course of business at fair value, including loans, notes receivable and residual certificates, payable to securitization note holders and residual certificate holders, and notes payable.</w:t>
      </w:r>
    </w:p>
    <w:p>
      <w:pPr>
        <w:spacing w:after="0" w:line="170" w:lineRule="exact"/>
        <w:rPr>
          <w:sz w:val="20"/>
          <w:szCs w:val="20"/>
          <w:color w:val="auto"/>
        </w:rPr>
      </w:pPr>
    </w:p>
    <w:p>
      <w:pPr>
        <w:ind w:left="1020" w:right="720" w:firstLine="460"/>
        <w:spacing w:after="0" w:line="245" w:lineRule="auto"/>
        <w:rPr>
          <w:sz w:val="20"/>
          <w:szCs w:val="20"/>
          <w:color w:val="auto"/>
        </w:rPr>
      </w:pPr>
      <w:r>
        <w:rPr>
          <w:rFonts w:ascii="Arial" w:cs="Arial" w:eastAsia="Arial" w:hAnsi="Arial"/>
          <w:sz w:val="15"/>
          <w:szCs w:val="15"/>
          <w:color w:val="auto"/>
        </w:rPr>
        <w:t>The table below presents components of the interest income and fair value adjustments, net presented in the Company’s consolidated statements of operations and comprehensive income (loss)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4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20" w:type="dxa"/>
            <w:vAlign w:val="bottom"/>
            <w:gridSpan w:val="9"/>
          </w:tcPr>
          <w:p>
            <w:pPr>
              <w:jc w:val="right"/>
              <w:ind w:right="580"/>
              <w:spacing w:after="0"/>
              <w:rPr>
                <w:sz w:val="20"/>
                <w:szCs w:val="20"/>
                <w:color w:val="auto"/>
              </w:rPr>
            </w:pPr>
            <w:r>
              <w:rPr>
                <w:rFonts w:ascii="Arial" w:cs="Arial" w:eastAsia="Arial" w:hAnsi="Arial"/>
                <w:sz w:val="12"/>
                <w:szCs w:val="12"/>
                <w:b w:val="1"/>
                <w:bCs w:val="1"/>
                <w:color w:val="auto"/>
              </w:rPr>
              <w:t>Years ended December 31</w:t>
            </w:r>
          </w:p>
        </w:tc>
        <w:tc>
          <w:tcPr>
            <w:tcW w:w="80" w:type="dxa"/>
            <w:vAlign w:val="bottom"/>
          </w:tcPr>
          <w:p>
            <w:pPr>
              <w:spacing w:after="0"/>
              <w:rPr>
                <w:sz w:val="12"/>
                <w:szCs w:val="12"/>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4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Borders>
              <w:top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6"/>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4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4"/>
          </w:tcPr>
          <w:p>
            <w:pPr>
              <w:jc w:val="center"/>
              <w:ind w:right="3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0"/>
                <w:szCs w:val="10"/>
                <w:color w:val="auto"/>
              </w:rPr>
            </w:pPr>
          </w:p>
        </w:tc>
      </w:tr>
      <w:tr>
        <w:trPr>
          <w:trHeight w:val="158"/>
        </w:trPr>
        <w:tc>
          <w:tcPr>
            <w:tcW w:w="4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1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240" w:type="dxa"/>
            <w:vAlign w:val="bottom"/>
          </w:tcPr>
          <w:p>
            <w:pPr>
              <w:ind w:left="280"/>
              <w:spacing w:after="0" w:line="157" w:lineRule="exact"/>
              <w:rPr>
                <w:sz w:val="20"/>
                <w:szCs w:val="20"/>
                <w:color w:val="auto"/>
              </w:rPr>
            </w:pPr>
            <w:r>
              <w:rPr>
                <w:rFonts w:ascii="Arial" w:cs="Arial" w:eastAsia="Arial" w:hAnsi="Arial"/>
                <w:sz w:val="12"/>
                <w:szCs w:val="12"/>
                <w:color w:val="auto"/>
              </w:rPr>
              <w:t>Interest income</w:t>
            </w:r>
            <w:r>
              <w:rPr>
                <w:rFonts w:ascii="Arial" w:cs="Arial" w:eastAsia="Arial" w:hAnsi="Arial"/>
                <w:sz w:val="18"/>
                <w:szCs w:val="18"/>
                <w:color w:val="auto"/>
                <w:vertAlign w:val="superscript"/>
              </w:rPr>
              <w:t>(1)</w:t>
            </w:r>
          </w:p>
        </w:tc>
        <w:tc>
          <w:tcPr>
            <w:tcW w:w="1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w w:val="93"/>
              </w:rPr>
              <w:t>21,134</w:t>
            </w: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$ 76,683</w:t>
            </w:r>
          </w:p>
        </w:tc>
        <w:tc>
          <w:tcPr>
            <w:tcW w:w="16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63,313</w:t>
            </w:r>
          </w:p>
        </w:tc>
        <w:tc>
          <w:tcPr>
            <w:tcW w:w="28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51,299</w:t>
            </w:r>
          </w:p>
        </w:tc>
        <w:tc>
          <w:tcPr>
            <w:tcW w:w="16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22,705</w:t>
            </w:r>
          </w:p>
        </w:tc>
        <w:tc>
          <w:tcPr>
            <w:tcW w:w="80" w:type="dxa"/>
            <w:vAlign w:val="bottom"/>
          </w:tcPr>
          <w:p>
            <w:pPr>
              <w:spacing w:after="0"/>
              <w:rPr>
                <w:sz w:val="13"/>
                <w:szCs w:val="13"/>
                <w:color w:val="auto"/>
              </w:rPr>
            </w:pPr>
          </w:p>
        </w:tc>
      </w:tr>
      <w:tr>
        <w:trPr>
          <w:trHeight w:val="158"/>
        </w:trPr>
        <w:tc>
          <w:tcPr>
            <w:tcW w:w="42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Interest expense</w:t>
            </w:r>
            <w:r>
              <w:rPr>
                <w:rFonts w:ascii="Arial" w:cs="Arial" w:eastAsia="Arial" w:hAnsi="Arial"/>
                <w:sz w:val="18"/>
                <w:szCs w:val="18"/>
                <w:color w:val="auto"/>
                <w:vertAlign w:val="superscript"/>
              </w:rPr>
              <w:t>(1)</w:t>
            </w:r>
          </w:p>
        </w:tc>
        <w:tc>
          <w:tcPr>
            <w:tcW w:w="120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(9,420)</w:t>
            </w:r>
          </w:p>
        </w:tc>
        <w:tc>
          <w:tcPr>
            <w:tcW w:w="82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(26,483)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95"/>
              </w:rPr>
              <w:t>(26,485)</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1"/>
              </w:rPr>
              <w:t>(22,128)</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(6,952)</w:t>
            </w:r>
          </w:p>
        </w:tc>
      </w:tr>
      <w:tr>
        <w:trPr>
          <w:trHeight w:val="158"/>
        </w:trPr>
        <w:tc>
          <w:tcPr>
            <w:tcW w:w="4240" w:type="dxa"/>
            <w:vAlign w:val="bottom"/>
          </w:tcPr>
          <w:p>
            <w:pPr>
              <w:ind w:left="280"/>
              <w:spacing w:after="0" w:line="157" w:lineRule="exact"/>
              <w:rPr>
                <w:sz w:val="20"/>
                <w:szCs w:val="20"/>
                <w:color w:val="auto"/>
              </w:rPr>
            </w:pPr>
            <w:r>
              <w:rPr>
                <w:rFonts w:ascii="Arial" w:cs="Arial" w:eastAsia="Arial" w:hAnsi="Arial"/>
                <w:sz w:val="12"/>
                <w:szCs w:val="12"/>
                <w:color w:val="auto"/>
              </w:rPr>
              <w:t>Fair value and other adjustments, net</w:t>
            </w:r>
            <w:r>
              <w:rPr>
                <w:rFonts w:ascii="Arial" w:cs="Arial" w:eastAsia="Arial" w:hAnsi="Arial"/>
                <w:sz w:val="18"/>
                <w:szCs w:val="18"/>
                <w:color w:val="auto"/>
                <w:vertAlign w:val="superscript"/>
              </w:rPr>
              <w:t>(1)</w:t>
            </w:r>
          </w:p>
        </w:tc>
        <w:tc>
          <w:tcPr>
            <w:tcW w:w="1200" w:type="dxa"/>
            <w:vAlign w:val="bottom"/>
          </w:tcPr>
          <w:p>
            <w:pPr>
              <w:spacing w:after="0"/>
              <w:rPr>
                <w:sz w:val="13"/>
                <w:szCs w:val="13"/>
                <w:color w:val="auto"/>
              </w:rPr>
            </w:pPr>
          </w:p>
        </w:tc>
        <w:tc>
          <w:tcPr>
            <w:tcW w:w="5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(5,586)</w:t>
            </w:r>
          </w:p>
        </w:tc>
        <w:tc>
          <w:tcPr>
            <w:tcW w:w="820" w:type="dxa"/>
            <w:vAlign w:val="bottom"/>
            <w:gridSpan w:val="3"/>
          </w:tcPr>
          <w:p>
            <w:pPr>
              <w:jc w:val="right"/>
              <w:ind w:right="120"/>
              <w:spacing w:after="0" w:line="158" w:lineRule="exact"/>
              <w:rPr>
                <w:sz w:val="20"/>
                <w:szCs w:val="20"/>
                <w:color w:val="auto"/>
              </w:rPr>
            </w:pPr>
            <w:r>
              <w:rPr>
                <w:rFonts w:ascii="Arial" w:cs="Arial" w:eastAsia="Arial" w:hAnsi="Arial"/>
                <w:sz w:val="14"/>
                <w:szCs w:val="14"/>
                <w:color w:val="auto"/>
              </w:rPr>
              <w:t>(39,369)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5"/>
              </w:rPr>
              <w:t>(32,486)</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1"/>
              </w:rPr>
              <w:t>(26,253)</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5"/>
              </w:rPr>
              <w:t>(13,226)</w:t>
            </w:r>
          </w:p>
        </w:tc>
      </w:tr>
      <w:tr>
        <w:trPr>
          <w:trHeight w:val="23"/>
        </w:trPr>
        <w:tc>
          <w:tcPr>
            <w:tcW w:w="424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interest income and fair value adjustments, net</w:t>
            </w:r>
          </w:p>
        </w:tc>
        <w:tc>
          <w:tcPr>
            <w:tcW w:w="120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6,128</w:t>
            </w:r>
          </w:p>
        </w:tc>
        <w:tc>
          <w:tcPr>
            <w:tcW w:w="6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$ 10,831</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4,342</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2,918</w:t>
            </w:r>
          </w:p>
        </w:tc>
        <w:tc>
          <w:tcPr>
            <w:tcW w:w="18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2,527</w:t>
            </w:r>
          </w:p>
        </w:tc>
      </w:tr>
      <w:tr>
        <w:trPr>
          <w:trHeight w:val="20"/>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8" w:lineRule="exact"/>
        <w:rPr>
          <w:sz w:val="20"/>
          <w:szCs w:val="20"/>
          <w:color w:val="auto"/>
        </w:rPr>
      </w:pPr>
    </w:p>
    <w:p>
      <w:pPr>
        <w:ind w:left="1480" w:hanging="453"/>
        <w:spacing w:after="0"/>
        <w:tabs>
          <w:tab w:leader="none" w:pos="148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Includes interest income, interest expense and fair value adjustments, net related to consolidated securitization trusts as follows: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10"/>
          </w:tcPr>
          <w:p>
            <w:pPr>
              <w:jc w:val="right"/>
              <w:ind w:right="580"/>
              <w:spacing w:after="0"/>
              <w:rPr>
                <w:sz w:val="20"/>
                <w:szCs w:val="20"/>
                <w:color w:val="auto"/>
              </w:rPr>
            </w:pPr>
            <w:r>
              <w:rPr>
                <w:rFonts w:ascii="Arial" w:cs="Arial" w:eastAsia="Arial" w:hAnsi="Arial"/>
                <w:sz w:val="12"/>
                <w:szCs w:val="12"/>
                <w:b w:val="1"/>
                <w:bCs w:val="1"/>
                <w:color w:val="auto"/>
              </w:rPr>
              <w:t>Years ended December 31</w:t>
            </w:r>
          </w:p>
        </w:tc>
        <w:tc>
          <w:tcPr>
            <w:tcW w:w="80" w:type="dxa"/>
            <w:vAlign w:val="bottom"/>
          </w:tcPr>
          <w:p>
            <w:pPr>
              <w:spacing w:after="0"/>
              <w:rPr>
                <w:sz w:val="12"/>
                <w:szCs w:val="12"/>
                <w:color w:val="auto"/>
              </w:rPr>
            </w:pPr>
          </w:p>
        </w:tc>
        <w:tc>
          <w:tcPr>
            <w:tcW w:w="1300" w:type="dxa"/>
            <w:vAlign w:val="bottom"/>
            <w:gridSpan w:val="6"/>
          </w:tcPr>
          <w:p>
            <w:pPr>
              <w:jc w:val="center"/>
              <w:ind w:right="16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w w:val="97"/>
              </w:rPr>
              <w:t>2020</w:t>
            </w:r>
          </w:p>
        </w:tc>
        <w:tc>
          <w:tcPr>
            <w:tcW w:w="80" w:type="dxa"/>
            <w:vAlign w:val="bottom"/>
          </w:tcPr>
          <w:p>
            <w:pPr>
              <w:spacing w:after="0"/>
              <w:rPr>
                <w:sz w:val="10"/>
                <w:szCs w:val="10"/>
                <w:color w:val="auto"/>
              </w:rPr>
            </w:pPr>
          </w:p>
        </w:tc>
      </w:tr>
      <w:tr>
        <w:trPr>
          <w:trHeight w:val="126"/>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tcPr>
          <w:p>
            <w:pPr>
              <w:jc w:val="center"/>
              <w:ind w:right="1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0"/>
                <w:szCs w:val="10"/>
                <w:color w:val="auto"/>
              </w:rPr>
            </w:pPr>
          </w:p>
        </w:tc>
      </w:tr>
      <w:tr>
        <w:trPr>
          <w:trHeight w:val="159"/>
        </w:trPr>
        <w:tc>
          <w:tcPr>
            <w:tcW w:w="5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Interest income and fair value adjustments, net related to consolidated securitization</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52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trusts: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52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w w:val="93"/>
              </w:rPr>
              <w:t>13,454</w:t>
            </w:r>
          </w:p>
        </w:tc>
        <w:tc>
          <w:tcPr>
            <w:tcW w:w="1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60,425</w:t>
            </w:r>
          </w:p>
        </w:tc>
        <w:tc>
          <w:tcPr>
            <w:tcW w:w="1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38,218</w:t>
            </w:r>
          </w:p>
        </w:tc>
        <w:tc>
          <w:tcPr>
            <w:tcW w:w="26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31,909</w:t>
            </w:r>
          </w:p>
        </w:tc>
        <w:tc>
          <w:tcPr>
            <w:tcW w:w="1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5,173</w:t>
            </w:r>
          </w:p>
        </w:tc>
      </w:tr>
      <w:tr>
        <w:trPr>
          <w:trHeight w:val="158"/>
        </w:trPr>
        <w:tc>
          <w:tcPr>
            <w:tcW w:w="52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9"/>
              </w:rPr>
              <w:t>(2,694)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1"/>
              </w:rPr>
              <w:t>(17,200)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(6,331)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(5,662)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4"/>
              </w:rPr>
              <w:t>(1,074)</w:t>
            </w:r>
          </w:p>
        </w:tc>
      </w:tr>
      <w:tr>
        <w:trPr>
          <w:trHeight w:val="160"/>
        </w:trPr>
        <w:tc>
          <w:tcPr>
            <w:tcW w:w="5240" w:type="dxa"/>
            <w:vAlign w:val="bottom"/>
          </w:tcPr>
          <w:p>
            <w:pPr>
              <w:ind w:left="280"/>
              <w:spacing w:after="0" w:line="158" w:lineRule="exact"/>
              <w:rPr>
                <w:sz w:val="20"/>
                <w:szCs w:val="20"/>
                <w:color w:val="auto"/>
              </w:rPr>
            </w:pPr>
            <w:r>
              <w:rPr>
                <w:rFonts w:ascii="Arial" w:cs="Arial" w:eastAsia="Arial" w:hAnsi="Arial"/>
                <w:sz w:val="14"/>
                <w:szCs w:val="14"/>
                <w:color w:val="auto"/>
              </w:rPr>
              <w:t>Fair value and other adjustments, net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9"/>
              </w:rPr>
              <w:t>(6,005)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1"/>
              </w:rPr>
              <w:t>(37,607)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1"/>
              </w:rPr>
              <w:t>(30,676)</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w w:val="95"/>
              </w:rPr>
              <w:t>(24,180)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4"/>
              </w:rPr>
              <w:t>(3,148)</w:t>
            </w:r>
          </w:p>
        </w:tc>
      </w:tr>
      <w:tr>
        <w:trPr>
          <w:trHeight w:val="159"/>
        </w:trPr>
        <w:tc>
          <w:tcPr>
            <w:tcW w:w="5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 interest income and fair value adjustments, net related to consolidated</w:t>
            </w: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52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securitization trusts</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4,755</w:t>
            </w:r>
          </w:p>
        </w:tc>
        <w:tc>
          <w:tcPr>
            <w:tcW w:w="1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5,618</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1,211</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2,067</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rPr>
                <w:sz w:val="13"/>
                <w:szCs w:val="13"/>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income</w:t>
      </w:r>
    </w:p>
    <w:p>
      <w:pPr>
        <w:spacing w:after="0" w:line="103"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Interest income is recognized based on the terms of the underlying agreements with borrowers for loans held on the Company’s consolidated balance sheets and is earned over the life of a loan.</w:t>
      </w:r>
    </w:p>
    <w:p>
      <w:pPr>
        <w:spacing w:after="0" w:line="166"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As of December 31, 2018 and 2019, and September 30, 2020 (unaudited), the Company has recorded $1.2 million of accrued interest income in loans on the consolidated balance sheets.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220"/>
          </w:cols>
          <w:pgMar w:left="320" w:top="407" w:right="1359" w:bottom="1440" w:gutter="0" w:footer="0" w:header="0"/>
        </w:sectPr>
      </w:pPr>
    </w:p>
    <w:bookmarkStart w:id="262" w:name="page263"/>
    <w:bookmarkEnd w:id="2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Interest expense is primarily related to interest recorded on the notes issued as part of the consolidated securitizations and on the Company’s borrowings. Interest expense includes accrued interest incurred but not paid. Accrued interest expenses were immaterial as of December 31, 2018 and 2019, and September 30, 2020 (unaudited).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Fair value and other adjustments, net</w:t>
      </w:r>
    </w:p>
    <w:p>
      <w:pPr>
        <w:spacing w:after="0" w:line="103"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Fair value and other adjustments, net include changes in fair value of financial instruments, other than loan servicing assets and liabilities, common stock warrant liabilities, and convertible preferred stock warrant liabilities. These adjustments are recorded in the Company’s earnings and include both realized and unrealized changes to the value of related assets and liabilities. Refer to “</w:t>
      </w:r>
      <w:r>
        <w:rPr>
          <w:rFonts w:ascii="Arial" w:cs="Arial" w:eastAsia="Arial" w:hAnsi="Arial"/>
          <w:sz w:val="15"/>
          <w:szCs w:val="15"/>
          <w:i w:val="1"/>
          <w:iCs w:val="1"/>
          <w:color w:val="auto"/>
        </w:rPr>
        <w:t>Note 4</w:t>
      </w:r>
      <w:r>
        <w:rPr>
          <w:rFonts w:ascii="Arial" w:cs="Arial" w:eastAsia="Arial" w:hAnsi="Arial"/>
          <w:sz w:val="15"/>
          <w:szCs w:val="15"/>
          <w:color w:val="auto"/>
        </w:rPr>
        <w:t xml:space="preserve">. </w:t>
      </w:r>
      <w:r>
        <w:rPr>
          <w:rFonts w:ascii="Arial" w:cs="Arial" w:eastAsia="Arial" w:hAnsi="Arial"/>
          <w:sz w:val="15"/>
          <w:szCs w:val="15"/>
          <w:i w:val="1"/>
          <w:iCs w:val="1"/>
          <w:color w:val="auto"/>
        </w:rPr>
        <w:t>Fair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Value Measurement” </w:t>
      </w:r>
      <w:r>
        <w:rPr>
          <w:rFonts w:ascii="Arial" w:cs="Arial" w:eastAsia="Arial" w:hAnsi="Arial"/>
          <w:sz w:val="15"/>
          <w:szCs w:val="15"/>
          <w:color w:val="auto"/>
        </w:rPr>
        <w:t>for additional information.</w:t>
      </w:r>
    </w:p>
    <w:p>
      <w:pPr>
        <w:spacing w:after="0" w:line="172"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Fair value and other adjustments, net also include interest income attributable to third-party residual certificate holders for the consolidated securitization and amounts received from borrowers for previously charged-off loans held on the Company’s consolidated balance sheets. These amounts are recognized in the period received.</w:t>
      </w:r>
    </w:p>
    <w:p>
      <w:pPr>
        <w:spacing w:after="0" w:line="242" w:lineRule="exact"/>
        <w:rPr>
          <w:sz w:val="20"/>
          <w:szCs w:val="20"/>
          <w:color w:val="auto"/>
        </w:rPr>
      </w:pPr>
    </w:p>
    <w:p>
      <w:pPr>
        <w:ind w:left="1480" w:right="5820" w:hanging="453"/>
        <w:spacing w:after="0" w:line="373" w:lineRule="auto"/>
        <w:tabs>
          <w:tab w:leader="none" w:pos="1187" w:val="left"/>
        </w:tabs>
        <w:numPr>
          <w:ilvl w:val="0"/>
          <w:numId w:val="14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Securitizations and Variable Interest Entities Consolidated VIEs</w:t>
      </w:r>
    </w:p>
    <w:p>
      <w:pPr>
        <w:ind w:left="1020" w:firstLine="460"/>
        <w:spacing w:after="0" w:line="238" w:lineRule="auto"/>
        <w:rPr>
          <w:sz w:val="20"/>
          <w:szCs w:val="20"/>
          <w:color w:val="auto"/>
        </w:rPr>
      </w:pPr>
      <w:r>
        <w:rPr>
          <w:rFonts w:ascii="Arial" w:cs="Arial" w:eastAsia="Arial" w:hAnsi="Arial"/>
          <w:sz w:val="15"/>
          <w:szCs w:val="15"/>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Note 1. Description of Business and Significant Accounting Policies”</w:t>
      </w:r>
      <w:r>
        <w:rPr>
          <w:rFonts w:ascii="Arial" w:cs="Arial" w:eastAsia="Arial" w:hAnsi="Arial"/>
          <w:sz w:val="15"/>
          <w:szCs w:val="15"/>
          <w:color w:val="auto"/>
        </w:rPr>
        <w:t xml:space="preserve"> for additional information</w:t>
      </w:r>
      <w:r>
        <w:rPr>
          <w:rFonts w:ascii="Arial" w:cs="Arial" w:eastAsia="Arial" w:hAnsi="Arial"/>
          <w:sz w:val="15"/>
          <w:szCs w:val="15"/>
          <w:i w:val="1"/>
          <w:iCs w:val="1"/>
          <w:color w:val="auto"/>
        </w:rPr>
        <w:t>.</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Warehouse Entities</w:t>
      </w:r>
    </w:p>
    <w:p>
      <w:pPr>
        <w:spacing w:after="0" w:line="103"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 xml:space="preserve">The Company established Upstart Loan Trust and Upstart Warehouse Trust to enter into warehouse credit facilities for the purpose of purchasing Upstart-powered loans. See </w:t>
      </w:r>
      <w:r>
        <w:rPr>
          <w:rFonts w:ascii="Arial" w:cs="Arial" w:eastAsia="Arial" w:hAnsi="Arial"/>
          <w:sz w:val="15"/>
          <w:szCs w:val="15"/>
          <w:i w:val="1"/>
          <w:iCs w:val="1"/>
          <w:color w:val="auto"/>
        </w:rPr>
        <w:t>“Note 7.</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180"/>
          </w:cols>
          <w:pgMar w:left="320" w:top="407" w:right="1399" w:bottom="1440" w:gutter="0" w:footer="0" w:header="0"/>
        </w:sectPr>
      </w:pPr>
    </w:p>
    <w:bookmarkStart w:id="263" w:name="page264"/>
    <w:bookmarkEnd w:id="2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right="60"/>
        <w:spacing w:after="0" w:line="267" w:lineRule="auto"/>
        <w:rPr>
          <w:sz w:val="20"/>
          <w:szCs w:val="20"/>
          <w:color w:val="auto"/>
        </w:rPr>
      </w:pPr>
      <w:r>
        <w:rPr>
          <w:rFonts w:ascii="Arial" w:cs="Arial" w:eastAsia="Arial" w:hAnsi="Arial"/>
          <w:sz w:val="15"/>
          <w:szCs w:val="15"/>
          <w:i w:val="1"/>
          <w:iCs w:val="1"/>
          <w:color w:val="auto"/>
        </w:rPr>
        <w:t xml:space="preserve">Borrowings” </w:t>
      </w:r>
      <w:r>
        <w:rPr>
          <w:rFonts w:ascii="Arial" w:cs="Arial" w:eastAsia="Arial" w:hAnsi="Arial"/>
          <w:sz w:val="15"/>
          <w:szCs w:val="15"/>
          <w:color w:val="auto"/>
        </w:rPr>
        <w:t>for additional information. These entities are Delaware statutory trusts that are structured to be bankruptcy-remote, with third-party banks operating as trustees.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Consolidated Securitizations</w:t>
      </w:r>
    </w:p>
    <w:p>
      <w:pPr>
        <w:spacing w:after="0" w:line="103"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 xml:space="preserve">The Company entered into three private offering securitization transactions in June 2017 (“2017-1”), November 2017 (“2017-2”), and April 2018 (“2018-1”), respectively. As the sponsor of these securitization transactions, the Company created several legal entities for the roles of depositors, issuers, and grantor trusts and MOAs for each securitization transaction. Under the risk retention requirements in Title 17 U.S. </w:t>
      </w:r>
      <w:r>
        <w:rPr>
          <w:rFonts w:ascii="Arial" w:cs="Arial" w:eastAsia="Arial" w:hAnsi="Arial"/>
          <w:sz w:val="15"/>
          <w:szCs w:val="15"/>
          <w:i w:val="1"/>
          <w:iCs w:val="1"/>
          <w:color w:val="auto"/>
        </w:rPr>
        <w:t>Code of Federal Regulations</w:t>
      </w:r>
      <w:r>
        <w:rPr>
          <w:rFonts w:ascii="Arial" w:cs="Arial" w:eastAsia="Arial" w:hAnsi="Arial"/>
          <w:sz w:val="15"/>
          <w:szCs w:val="15"/>
          <w:color w:val="auto"/>
        </w:rPr>
        <w:t xml:space="preserve"> Part 246, </w:t>
      </w:r>
      <w:r>
        <w:rPr>
          <w:rFonts w:ascii="Arial" w:cs="Arial" w:eastAsia="Arial" w:hAnsi="Arial"/>
          <w:sz w:val="15"/>
          <w:szCs w:val="15"/>
          <w:i w:val="1"/>
          <w:iCs w:val="1"/>
          <w:color w:val="auto"/>
        </w:rPr>
        <w:t>Credit Risk Retention</w:t>
      </w:r>
      <w:r>
        <w:rPr>
          <w:rFonts w:ascii="Arial" w:cs="Arial" w:eastAsia="Arial" w:hAnsi="Arial"/>
          <w:sz w:val="15"/>
          <w:szCs w:val="15"/>
          <w:color w:val="auto"/>
        </w:rPr>
        <w:t>, promulgated by Securities and Exchange Commission (“RR”), the Company is required to retain at least 5% of the economic risk in the securitization transactions in which the Company is the retaining sponsor. The Company elected to satisfy the RR requirements by holding Eligible Horizontal Retained Interests (“EHRIs”) in the form of subordinated certificates within the established MOAs.</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Concurrently with the closing of the 2017-1, 2017-2, and 2018-1 securitization transactions, while maintaining its status as the primary beneficiary of the related MOAs, the Company sold 80% of its interests in these MOAs to an institutional investor in exchange for cash of approximately $8.0 million, $7.8 million, and $ 8.0 million, respectively, based on the fair value of the residual certificates held in the MOAs as determined on the pricing dates. As a result of the sales, the Company maintained a 20% interest in the MOAs and its status as the managing member, while the investor became a non-voting limited member of these MOAs. The institutional investor’s ownership interests in the 2017-1, 2017-2, and 2018-1 MOAs represent the noncontrolling interests on the consolidated balance sheets as of December 31, 2018 and 2019.</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Upon closing of these securitization transactions, the Company determined that the servicing fees represented a variable interest in these securitization entities due to the EHRIs held by the Company’s MOAs to satisfy the RR requirements. The EHRIs held by these MOAs were deemed to potentially absorb more than an insignificant amount of the VIEs’ expected losses or expected returns at the inception of the securitization transactions. The Company also determined that it was the primary beneficiary of these entities and consolidated the MOAs and trusts associated with the 2017-1, 2017-2, and 2018-1 securitization transactions.</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Subsequent to the expiration of the RR requirements for 2017-1 and 2017-2 in December 2019 and 2018-1 in June 2020 (unaudited), the residual certificates held by each of the respective MOAs were distributed based on the proportional equity held by Upstart and the investor. This distribution required the Company to reassess whether its servicing fee is a variable interest. Although the Company maintains a reduced level of variable interests in the 2017-1 and 2017-2 securitization transactions through the EHRIs, the Company’s other interests subsequent to these distributions are no longer expected to absorb more than an insignificant amount of each of the VIE’s expected losses or expected returns. Therefore, the Company concluded that the fees for servicing the securitization transactions are no longer considered variable interests, and as such the powers the Company possesses through the servicing arrangements are no longer considered in the primary beneficiary determination. As a result, the Company concluded it was no longer the primary beneficiary of the 2017-1, 2017-2, and 2018-1 securitization transactions. The Company deconsolidated the legal entities associated with the 2017-1 and 2017-2 securitization transactions as of December 31, 2019 and 2018-1 as of June 30, 2020 (unaudited). The Company recorded an immaterial net gain on the deconsolidation of these entities. The Company maintained its role as servicer of these securitization transactions.</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20"/>
          </w:cols>
          <w:pgMar w:left="320" w:top="407" w:right="1359" w:bottom="1440" w:gutter="0" w:footer="0" w:header="0"/>
        </w:sectPr>
      </w:pPr>
    </w:p>
    <w:bookmarkStart w:id="264" w:name="page265"/>
    <w:bookmarkEnd w:id="2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The Company sponsored three additional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 Company consolidated these MOAs as of December 31, 2018 and 2019. The Company determined that it is not the primary beneficiary of the trusts which hold the loans associated with these securitization transactions, primarily because the Company’s servicing fees are not considered variable interests, and that the transfer of loans as collateral into these securitization transactions met the definition of a sale under Topic 860, </w:t>
      </w:r>
      <w:r>
        <w:rPr>
          <w:rFonts w:ascii="Arial" w:cs="Arial" w:eastAsia="Arial" w:hAnsi="Arial"/>
          <w:sz w:val="15"/>
          <w:szCs w:val="15"/>
          <w:i w:val="1"/>
          <w:iCs w:val="1"/>
          <w:color w:val="auto"/>
        </w:rPr>
        <w:t>Transferring and Servicing</w:t>
      </w:r>
      <w:r>
        <w:rPr>
          <w:rFonts w:ascii="Arial" w:cs="Arial" w:eastAsia="Arial" w:hAnsi="Arial"/>
          <w:sz w:val="15"/>
          <w:szCs w:val="15"/>
          <w:color w:val="auto"/>
        </w:rPr>
        <w:t xml:space="preserve">. As such, the Company derecognized these loans from the consolidated balance sheets upon the closing of these securitization transactions. Refer to the </w:t>
      </w:r>
      <w:r>
        <w:rPr>
          <w:rFonts w:ascii="Arial" w:cs="Arial" w:eastAsia="Arial" w:hAnsi="Arial"/>
          <w:sz w:val="15"/>
          <w:szCs w:val="15"/>
          <w:i w:val="1"/>
          <w:iCs w:val="1"/>
          <w:color w:val="auto"/>
        </w:rPr>
        <w:t>Unconsolidated Securitizations</w:t>
      </w:r>
      <w:r>
        <w:rPr>
          <w:rFonts w:ascii="Arial" w:cs="Arial" w:eastAsia="Arial" w:hAnsi="Arial"/>
          <w:sz w:val="15"/>
          <w:szCs w:val="15"/>
          <w:color w:val="auto"/>
        </w:rPr>
        <w:t xml:space="preserve"> section below for more information.</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Consolidated VIEs</w:t>
      </w:r>
    </w:p>
    <w:p>
      <w:pPr>
        <w:spacing w:after="0" w:line="103"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Upstart Loan Trust 2, a Delaware statutory trust, holds personal loans facilitated through the Upstart platform that do not meet the criteria for inclusion in the warehouse credit facilities, or that were the result of the Company’s repurchases of loans for breaches of representations and warranties made to institutional investors, as described above.</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Upstart Network Trust (“UNT”), also a Delaware statutory trust, was established in 2014 to facilitate Upstart’s fractional loan program. Under the program, the investors purchased securities issued by UNT that represented a portion of expected cash flows from repayments of the loans acquired by UNT which were funded by proceeds from securities issued to the investors. The program was formally discontinued in 2019. The Company is the servicer of UNT’s loan assets and previously concluded that the servicing fee represents a variable interest and that the Company is the primary beneficiary of UNT. However, during 2019, as a result of a reduction in the Company’s investment in UNT and with consideration given to the business decision to sunset the fractional loans program to new investments, upon the required reassessment the Company determined that its servicing fee is no longer a variable interest. Although the Company still maintains a reduced level of variable interests in UNT through investments in securities issued by UNT, the Company’s other interests are no longer expected to absorb more than an insignificant amount of UNT’s expected losses or expected returns. As a result of the powers the Company possesses through the servicing arrangement being excluded from the primary beneficiary determination, the Company concluded that it is no longer the primary beneficiary and therefore deconsolidated UNT during 2019. An immaterial loss related to servicing rights was recognized on deconsolidation. The fair value of the Company’s investment in UNT is included in notes receivable and residual certificates in the consolidated balance sheets as of December 31, 2019 and September 30, 2020 (unaudited).</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00"/>
          </w:cols>
          <w:pgMar w:left="320" w:top="407" w:right="1379" w:bottom="1440" w:gutter="0" w:footer="0" w:header="0"/>
        </w:sectPr>
      </w:pPr>
    </w:p>
    <w:bookmarkStart w:id="265" w:name="page266"/>
    <w:bookmarkEnd w:id="2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following tables present a summary of financial assets and liabilities from the Company’s involvement with consolidated VIEs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7"/>
              </w:rPr>
              <w:t>Liabilities</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Net Assets</w:t>
            </w:r>
          </w:p>
        </w:tc>
      </w:tr>
      <w:tr>
        <w:trPr>
          <w:trHeight w:val="138"/>
        </w:trPr>
        <w:tc>
          <w:tcPr>
            <w:tcW w:w="67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2018</w:t>
            </w: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78,418</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$ 47,506</w:t>
            </w:r>
          </w:p>
        </w:tc>
        <w:tc>
          <w:tcPr>
            <w:tcW w:w="160" w:type="dxa"/>
            <w:vAlign w:val="bottom"/>
          </w:tcPr>
          <w:p>
            <w:pPr>
              <w:spacing w:after="0"/>
              <w:rPr>
                <w:sz w:val="13"/>
                <w:szCs w:val="13"/>
                <w:color w:val="auto"/>
              </w:rPr>
            </w:pPr>
          </w:p>
        </w:tc>
        <w:tc>
          <w:tcPr>
            <w:tcW w:w="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30,912</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Securitizations: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ind w:left="280"/>
              <w:spacing w:after="0" w:line="158" w:lineRule="exact"/>
              <w:rPr>
                <w:sz w:val="20"/>
                <w:szCs w:val="20"/>
                <w:color w:val="auto"/>
              </w:rPr>
            </w:pPr>
            <w:r>
              <w:rPr>
                <w:rFonts w:ascii="Arial" w:cs="Arial" w:eastAsia="Arial" w:hAnsi="Arial"/>
                <w:sz w:val="14"/>
                <w:szCs w:val="14"/>
                <w:color w:val="auto"/>
              </w:rPr>
              <w:t>Securitization Trusts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391,601</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372,450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19,151</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8,291</w:t>
            </w:r>
          </w:p>
        </w:tc>
        <w:tc>
          <w:tcPr>
            <w:tcW w:w="104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7,326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965</w:t>
            </w:r>
          </w:p>
        </w:tc>
      </w:tr>
      <w:tr>
        <w:trPr>
          <w:trHeight w:val="160"/>
        </w:trPr>
        <w:tc>
          <w:tcPr>
            <w:tcW w:w="6760" w:type="dxa"/>
            <w:vAlign w:val="bottom"/>
          </w:tcPr>
          <w:p>
            <w:pPr>
              <w:spacing w:after="0" w:line="158" w:lineRule="exact"/>
              <w:rPr>
                <w:sz w:val="20"/>
                <w:szCs w:val="20"/>
                <w:color w:val="auto"/>
              </w:rPr>
            </w:pPr>
            <w:r>
              <w:rPr>
                <w:rFonts w:ascii="Arial" w:cs="Arial" w:eastAsia="Arial" w:hAnsi="Arial"/>
                <w:sz w:val="14"/>
                <w:szCs w:val="14"/>
                <w:color w:val="auto"/>
              </w:rPr>
              <w:t>Other Consolidated VIEs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67,019</w:t>
            </w:r>
          </w:p>
        </w:tc>
        <w:tc>
          <w:tcPr>
            <w:tcW w:w="32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58,933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8,086</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545,329</w:t>
            </w: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486,215</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59,114</w:t>
            </w:r>
          </w:p>
        </w:tc>
        <w:tc>
          <w:tcPr>
            <w:tcW w:w="40" w:type="dxa"/>
            <w:vAlign w:val="bottom"/>
            <w:shd w:val="clear" w:color="auto" w:fill="CCEEFF"/>
          </w:tcPr>
          <w:p>
            <w:pPr>
              <w:spacing w:after="0"/>
              <w:rPr>
                <w:sz w:val="13"/>
                <w:szCs w:val="13"/>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0"/>
        </w:trPr>
        <w:tc>
          <w:tcPr>
            <w:tcW w:w="6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line="121" w:lineRule="exact"/>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0"/>
                <w:szCs w:val="10"/>
                <w:color w:val="auto"/>
              </w:rPr>
            </w:pPr>
          </w:p>
        </w:tc>
        <w:tc>
          <w:tcPr>
            <w:tcW w:w="720" w:type="dxa"/>
            <w:vAlign w:val="bottom"/>
            <w:gridSpan w:val="2"/>
          </w:tcPr>
          <w:p>
            <w:pPr>
              <w:jc w:val="right"/>
              <w:ind w:right="160"/>
              <w:spacing w:after="0" w:line="121" w:lineRule="exact"/>
              <w:rPr>
                <w:sz w:val="20"/>
                <w:szCs w:val="20"/>
                <w:color w:val="auto"/>
              </w:rPr>
            </w:pPr>
            <w:r>
              <w:rPr>
                <w:rFonts w:ascii="Arial" w:cs="Arial" w:eastAsia="Arial" w:hAnsi="Arial"/>
                <w:sz w:val="12"/>
                <w:szCs w:val="12"/>
                <w:b w:val="1"/>
                <w:bCs w:val="1"/>
                <w:color w:val="auto"/>
                <w:w w:val="97"/>
              </w:rPr>
              <w:t>Liabilities</w:t>
            </w:r>
          </w:p>
        </w:tc>
        <w:tc>
          <w:tcPr>
            <w:tcW w:w="160" w:type="dxa"/>
            <w:vAlign w:val="bottom"/>
          </w:tcPr>
          <w:p>
            <w:pPr>
              <w:spacing w:after="0"/>
              <w:rPr>
                <w:sz w:val="10"/>
                <w:szCs w:val="10"/>
                <w:color w:val="auto"/>
              </w:rPr>
            </w:pPr>
          </w:p>
        </w:tc>
        <w:tc>
          <w:tcPr>
            <w:tcW w:w="66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rPr>
              <w:t>Net Assets</w:t>
            </w:r>
          </w:p>
        </w:tc>
      </w:tr>
      <w:tr>
        <w:trPr>
          <w:trHeight w:val="138"/>
        </w:trPr>
        <w:tc>
          <w:tcPr>
            <w:tcW w:w="67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2019</w:t>
            </w: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131,903</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$ 80,206</w:t>
            </w:r>
          </w:p>
        </w:tc>
        <w:tc>
          <w:tcPr>
            <w:tcW w:w="160" w:type="dxa"/>
            <w:vAlign w:val="bottom"/>
          </w:tcPr>
          <w:p>
            <w:pPr>
              <w:spacing w:after="0"/>
              <w:rPr>
                <w:sz w:val="13"/>
                <w:szCs w:val="13"/>
                <w:color w:val="auto"/>
              </w:rPr>
            </w:pPr>
          </w:p>
        </w:tc>
        <w:tc>
          <w:tcPr>
            <w:tcW w:w="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51,697</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Securitizations: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ind w:left="280"/>
              <w:spacing w:after="0" w:line="158" w:lineRule="exact"/>
              <w:rPr>
                <w:sz w:val="20"/>
                <w:szCs w:val="20"/>
                <w:color w:val="auto"/>
              </w:rPr>
            </w:pPr>
            <w:r>
              <w:rPr>
                <w:rFonts w:ascii="Arial" w:cs="Arial" w:eastAsia="Arial" w:hAnsi="Arial"/>
                <w:sz w:val="14"/>
                <w:szCs w:val="14"/>
                <w:color w:val="auto"/>
              </w:rPr>
              <w:t>Securitization Trusts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98,572</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95,995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2,577</w:t>
            </w:r>
          </w:p>
        </w:tc>
      </w:tr>
      <w:tr>
        <w:trPr>
          <w:trHeight w:val="158"/>
        </w:trPr>
        <w:tc>
          <w:tcPr>
            <w:tcW w:w="67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30,266</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17,058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13,208</w:t>
            </w: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Other Consolidated VIEs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14,926</w:t>
            </w:r>
          </w:p>
        </w:tc>
        <w:tc>
          <w:tcPr>
            <w:tcW w:w="320" w:type="dxa"/>
            <w:vAlign w:val="bottom"/>
          </w:tcPr>
          <w:p>
            <w:pPr>
              <w:spacing w:after="0"/>
              <w:rPr>
                <w:sz w:val="13"/>
                <w:szCs w:val="13"/>
                <w:color w:val="auto"/>
              </w:rPr>
            </w:pPr>
          </w:p>
        </w:tc>
        <w:tc>
          <w:tcPr>
            <w:tcW w:w="7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14,878</w:t>
            </w:r>
          </w:p>
        </w:tc>
        <w:tc>
          <w:tcPr>
            <w:tcW w:w="40" w:type="dxa"/>
            <w:vAlign w:val="bottom"/>
          </w:tcPr>
          <w:p>
            <w:pPr>
              <w:spacing w:after="0"/>
              <w:rPr>
                <w:sz w:val="13"/>
                <w:szCs w:val="13"/>
                <w:color w:val="auto"/>
              </w:rPr>
            </w:pPr>
          </w:p>
        </w:tc>
      </w:tr>
      <w:tr>
        <w:trPr>
          <w:trHeight w:val="23"/>
        </w:trPr>
        <w:tc>
          <w:tcPr>
            <w:tcW w:w="6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275,667</w:t>
            </w: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193,307</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82,360</w:t>
            </w:r>
          </w:p>
        </w:tc>
        <w:tc>
          <w:tcPr>
            <w:tcW w:w="40" w:type="dxa"/>
            <w:vAlign w:val="bottom"/>
            <w:shd w:val="clear" w:color="auto" w:fill="CCEEFF"/>
          </w:tcPr>
          <w:p>
            <w:pPr>
              <w:spacing w:after="0"/>
              <w:rPr>
                <w:sz w:val="13"/>
                <w:szCs w:val="13"/>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3"/>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7"/>
              </w:rPr>
              <w:t>Liabilities</w:t>
            </w:r>
          </w:p>
        </w:tc>
        <w:tc>
          <w:tcPr>
            <w:tcW w:w="1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Net Assets</w:t>
            </w:r>
          </w:p>
        </w:tc>
      </w:tr>
      <w:tr>
        <w:trPr>
          <w:trHeight w:val="149"/>
        </w:trPr>
        <w:tc>
          <w:tcPr>
            <w:tcW w:w="67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 30, 2020 (unaudited)</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righ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123,535</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$ 70,376</w:t>
            </w:r>
          </w:p>
        </w:tc>
        <w:tc>
          <w:tcPr>
            <w:tcW w:w="160" w:type="dxa"/>
            <w:vAlign w:val="bottom"/>
          </w:tcPr>
          <w:p>
            <w:pPr>
              <w:spacing w:after="0"/>
              <w:rPr>
                <w:sz w:val="13"/>
                <w:szCs w:val="13"/>
                <w:color w:val="auto"/>
              </w:rPr>
            </w:pPr>
          </w:p>
        </w:tc>
        <w:tc>
          <w:tcPr>
            <w:tcW w:w="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53,159</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Securitizations: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ind w:left="280"/>
              <w:spacing w:after="0" w:line="158" w:lineRule="exact"/>
              <w:rPr>
                <w:sz w:val="20"/>
                <w:szCs w:val="20"/>
                <w:color w:val="auto"/>
              </w:rPr>
            </w:pPr>
            <w:r>
              <w:rPr>
                <w:rFonts w:ascii="Arial" w:cs="Arial" w:eastAsia="Arial" w:hAnsi="Arial"/>
                <w:sz w:val="14"/>
                <w:szCs w:val="14"/>
                <w:color w:val="auto"/>
              </w:rPr>
              <w:t>Securitization Trusts</w:t>
            </w:r>
          </w:p>
        </w:tc>
        <w:tc>
          <w:tcPr>
            <w:tcW w:w="80" w:type="dxa"/>
            <w:vAlign w:val="bottom"/>
          </w:tcPr>
          <w:p>
            <w:pPr>
              <w:spacing w:after="0"/>
              <w:rPr>
                <w:sz w:val="13"/>
                <w:szCs w:val="13"/>
                <w:color w:val="auto"/>
              </w:rPr>
            </w:pPr>
          </w:p>
        </w:tc>
        <w:tc>
          <w:tcPr>
            <w:tcW w:w="500" w:type="dxa"/>
            <w:vAlign w:val="bottom"/>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w:t>
            </w:r>
          </w:p>
        </w:tc>
      </w:tr>
      <w:tr>
        <w:trPr>
          <w:trHeight w:val="158"/>
        </w:trPr>
        <w:tc>
          <w:tcPr>
            <w:tcW w:w="67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104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9,398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10,422</w:t>
            </w:r>
          </w:p>
        </w:tc>
        <w:tc>
          <w:tcPr>
            <w:tcW w:w="40" w:type="dxa"/>
            <w:vAlign w:val="bottom"/>
            <w:shd w:val="clear" w:color="auto" w:fill="CCEEFF"/>
          </w:tcPr>
          <w:p>
            <w:pPr>
              <w:spacing w:after="0"/>
              <w:rPr>
                <w:sz w:val="13"/>
                <w:szCs w:val="13"/>
                <w:color w:val="auto"/>
              </w:rPr>
            </w:pPr>
          </w:p>
        </w:tc>
      </w:tr>
      <w:tr>
        <w:trPr>
          <w:trHeight w:val="160"/>
        </w:trPr>
        <w:tc>
          <w:tcPr>
            <w:tcW w:w="6760" w:type="dxa"/>
            <w:vAlign w:val="bottom"/>
          </w:tcPr>
          <w:p>
            <w:pPr>
              <w:spacing w:after="0" w:line="158" w:lineRule="exact"/>
              <w:rPr>
                <w:sz w:val="20"/>
                <w:szCs w:val="20"/>
                <w:color w:val="auto"/>
              </w:rPr>
            </w:pPr>
            <w:r>
              <w:rPr>
                <w:rFonts w:ascii="Arial" w:cs="Arial" w:eastAsia="Arial" w:hAnsi="Arial"/>
                <w:sz w:val="14"/>
                <w:szCs w:val="14"/>
                <w:color w:val="auto"/>
              </w:rPr>
              <w:t>Other Consolidated VIEs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14,268</w:t>
            </w:r>
          </w:p>
        </w:tc>
        <w:tc>
          <w:tcPr>
            <w:tcW w:w="320" w:type="dxa"/>
            <w:vAlign w:val="bottom"/>
          </w:tcPr>
          <w:p>
            <w:pPr>
              <w:spacing w:after="0"/>
              <w:rPr>
                <w:sz w:val="13"/>
                <w:szCs w:val="13"/>
                <w:color w:val="auto"/>
              </w:rPr>
            </w:pPr>
          </w:p>
        </w:tc>
        <w:tc>
          <w:tcPr>
            <w:tcW w:w="560" w:type="dxa"/>
            <w:vAlign w:val="bottom"/>
            <w:tcBorders>
              <w:bottom w:val="single" w:sz="8" w:color="auto"/>
            </w:tcBorders>
          </w:tcPr>
          <w:p>
            <w:pPr>
              <w:jc w:val="right"/>
              <w:ind w:right="15"/>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14,268</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157,623</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$ 79,774</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77,849</w:t>
            </w:r>
          </w:p>
        </w:tc>
        <w:tc>
          <w:tcPr>
            <w:tcW w:w="40" w:type="dxa"/>
            <w:vAlign w:val="bottom"/>
            <w:shd w:val="clear" w:color="auto" w:fill="CCEEFF"/>
          </w:tcPr>
          <w:p>
            <w:pPr>
              <w:spacing w:after="0"/>
              <w:rPr>
                <w:sz w:val="13"/>
                <w:szCs w:val="13"/>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Company’s continued involvement in all of its securitizations in which it is the sponsor and its involvement in UNT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Unconsolidated VIEs</w:t>
      </w:r>
    </w:p>
    <w:p>
      <w:pPr>
        <w:spacing w:after="0" w:line="10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Unconsolidated Securitizations</w:t>
      </w:r>
    </w:p>
    <w:p>
      <w:pPr>
        <w:spacing w:after="0" w:line="103"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As of December 31, 2019, the Company’s unconsolidated VIEs include entities established as the issuers and grantor trusts for the 2017-1, 2017-2, 2018-2, 2019-1, and 2019-2 securitization transactions (the “Unconsolidated Securitizations”). As of September 30, 2020 (unaudited), the Company’s unconsolidated VIEs also included 2018-1. The Company’s continued involvement in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20"/>
          </w:cols>
          <w:pgMar w:left="320" w:top="407" w:right="1359" w:bottom="1440" w:gutter="0" w:footer="0" w:header="0"/>
        </w:sectPr>
      </w:pPr>
    </w:p>
    <w:bookmarkStart w:id="266" w:name="page267"/>
    <w:bookmarkEnd w:id="2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560"/>
        <w:spacing w:after="0" w:line="245" w:lineRule="auto"/>
        <w:rPr>
          <w:sz w:val="20"/>
          <w:szCs w:val="20"/>
          <w:color w:val="auto"/>
        </w:rPr>
      </w:pPr>
      <w:r>
        <w:rPr>
          <w:rFonts w:ascii="Arial" w:cs="Arial" w:eastAsia="Arial" w:hAnsi="Arial"/>
          <w:sz w:val="15"/>
          <w:szCs w:val="15"/>
          <w:color w:val="auto"/>
        </w:rPr>
        <w:t>unconsolidated VIEs is in the form of its role as the sponsor and the servicer of these transactions. For each of the unconsolidated securitizations, the Company determined that it is not the primary beneficiary.</w:t>
      </w:r>
    </w:p>
    <w:p>
      <w:pPr>
        <w:spacing w:after="0" w:line="166"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Network Trust</w:t>
      </w:r>
    </w:p>
    <w:p>
      <w:pPr>
        <w:spacing w:after="0" w:line="103"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Company’s unconsolidated VIEs include UNT, which was deconsolidated during the year ended December 31, 2019 upon discontinuation of the fractional loan program.</w:t>
      </w:r>
    </w:p>
    <w:p>
      <w:pPr>
        <w:spacing w:after="0" w:line="166"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following tables summarize the aggregate carrying value of assets and liabilities of unconsolidated VIEs in which the Company holds a variable interest but is not the primary beneficiary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Maximum</w:t>
            </w:r>
          </w:p>
        </w:tc>
      </w:tr>
      <w:tr>
        <w:trPr>
          <w:trHeight w:val="135"/>
        </w:trPr>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7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Exposure to</w:t>
            </w:r>
          </w:p>
        </w:tc>
      </w:tr>
      <w:tr>
        <w:trPr>
          <w:trHeight w:val="145"/>
        </w:trPr>
        <w:tc>
          <w:tcPr>
            <w:tcW w:w="5780" w:type="dxa"/>
            <w:vAlign w:val="bottom"/>
          </w:tcPr>
          <w:p>
            <w:pPr>
              <w:spacing w:after="0"/>
              <w:rPr>
                <w:sz w:val="12"/>
                <w:szCs w:val="12"/>
                <w:color w:val="auto"/>
              </w:rPr>
            </w:pPr>
          </w:p>
        </w:tc>
        <w:tc>
          <w:tcPr>
            <w:tcW w:w="580" w:type="dxa"/>
            <w:vAlign w:val="bottom"/>
          </w:tcPr>
          <w:p>
            <w:pPr>
              <w:jc w:val="right"/>
              <w:ind w:right="14"/>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Losses</w:t>
            </w: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2018</w:t>
            </w: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189,518</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170,330</w:t>
            </w: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19,188</w:t>
            </w:r>
          </w:p>
        </w:tc>
        <w:tc>
          <w:tcPr>
            <w:tcW w:w="42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9,383</w:t>
            </w:r>
          </w:p>
        </w:tc>
      </w:tr>
      <w:tr>
        <w:trPr>
          <w:trHeight w:val="23"/>
        </w:trPr>
        <w:tc>
          <w:tcPr>
            <w:tcW w:w="5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Unconsolidated VIEs</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189,518</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170,330</w:t>
            </w:r>
          </w:p>
        </w:tc>
        <w:tc>
          <w:tcPr>
            <w:tcW w:w="3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19,188</w:t>
            </w:r>
          </w:p>
        </w:tc>
        <w:tc>
          <w:tcPr>
            <w:tcW w:w="42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9,383</w:t>
            </w:r>
          </w:p>
        </w:tc>
      </w:tr>
      <w:tr>
        <w:trPr>
          <w:trHeight w:val="20"/>
        </w:trPr>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5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Maximum</w:t>
            </w:r>
          </w:p>
        </w:tc>
      </w:tr>
      <w:tr>
        <w:trPr>
          <w:trHeight w:val="135"/>
        </w:trPr>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7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Exposure to</w:t>
            </w:r>
          </w:p>
        </w:tc>
      </w:tr>
      <w:tr>
        <w:trPr>
          <w:trHeight w:val="145"/>
        </w:trPr>
        <w:tc>
          <w:tcPr>
            <w:tcW w:w="5780" w:type="dxa"/>
            <w:vAlign w:val="bottom"/>
          </w:tcPr>
          <w:p>
            <w:pPr>
              <w:spacing w:after="0"/>
              <w:rPr>
                <w:sz w:val="12"/>
                <w:szCs w:val="12"/>
                <w:color w:val="auto"/>
              </w:rPr>
            </w:pPr>
          </w:p>
        </w:tc>
        <w:tc>
          <w:tcPr>
            <w:tcW w:w="580" w:type="dxa"/>
            <w:vAlign w:val="bottom"/>
          </w:tcPr>
          <w:p>
            <w:pPr>
              <w:jc w:val="right"/>
              <w:ind w:right="14"/>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Losses</w:t>
            </w: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2019</w:t>
            </w: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w w:val="95"/>
              </w:rPr>
              <w:t>$778,628</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$640,592</w:t>
            </w: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138,036</w:t>
            </w:r>
          </w:p>
        </w:tc>
        <w:tc>
          <w:tcPr>
            <w:tcW w:w="42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34,828</w:t>
            </w:r>
          </w:p>
        </w:tc>
        <w:tc>
          <w:tcPr>
            <w:tcW w:w="4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Upstart Network Trust</w:t>
            </w: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77,207</w:t>
            </w:r>
          </w:p>
        </w:tc>
        <w:tc>
          <w:tcPr>
            <w:tcW w:w="3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77,207</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3,303</w:t>
            </w:r>
          </w:p>
        </w:tc>
        <w:tc>
          <w:tcPr>
            <w:tcW w:w="4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color w:val="auto"/>
              </w:rPr>
              <w:t>Total Unconsolidated VIEs</w:t>
            </w:r>
          </w:p>
        </w:tc>
        <w:tc>
          <w:tcPr>
            <w:tcW w:w="580" w:type="dxa"/>
            <w:vAlign w:val="bottom"/>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855,835</w:t>
            </w:r>
          </w:p>
        </w:tc>
        <w:tc>
          <w:tcPr>
            <w:tcW w:w="9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717,799</w:t>
            </w:r>
          </w:p>
        </w:tc>
        <w:tc>
          <w:tcPr>
            <w:tcW w:w="3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138,036</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38,131</w:t>
            </w:r>
          </w:p>
        </w:tc>
        <w:tc>
          <w:tcPr>
            <w:tcW w:w="4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5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Maximum</w:t>
            </w:r>
          </w:p>
        </w:tc>
      </w:tr>
      <w:tr>
        <w:trPr>
          <w:trHeight w:val="135"/>
        </w:trPr>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7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Exposure to</w:t>
            </w:r>
          </w:p>
        </w:tc>
      </w:tr>
      <w:tr>
        <w:trPr>
          <w:trHeight w:val="145"/>
        </w:trPr>
        <w:tc>
          <w:tcPr>
            <w:tcW w:w="5780" w:type="dxa"/>
            <w:vAlign w:val="bottom"/>
          </w:tcPr>
          <w:p>
            <w:pPr>
              <w:spacing w:after="0"/>
              <w:rPr>
                <w:sz w:val="12"/>
                <w:szCs w:val="12"/>
                <w:color w:val="auto"/>
              </w:rPr>
            </w:pPr>
          </w:p>
        </w:tc>
        <w:tc>
          <w:tcPr>
            <w:tcW w:w="580" w:type="dxa"/>
            <w:vAlign w:val="bottom"/>
          </w:tcPr>
          <w:p>
            <w:pPr>
              <w:jc w:val="right"/>
              <w:ind w:right="14"/>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Losses</w:t>
            </w:r>
          </w:p>
        </w:tc>
      </w:tr>
      <w:tr>
        <w:trPr>
          <w:trHeight w:val="126"/>
        </w:trPr>
        <w:tc>
          <w:tcPr>
            <w:tcW w:w="57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tcBorders>
              <w:top w:val="single" w:sz="8" w:color="auto"/>
            </w:tcBorders>
            <w:gridSpan w:val="4"/>
          </w:tcPr>
          <w:p>
            <w:pPr>
              <w:jc w:val="right"/>
              <w:ind w:right="336"/>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2020</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w w:val="95"/>
              </w:rPr>
              <w:t>$549,469</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$461,341</w:t>
            </w: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88,128</w:t>
            </w:r>
          </w:p>
        </w:tc>
        <w:tc>
          <w:tcPr>
            <w:tcW w:w="42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27,035</w:t>
            </w:r>
          </w:p>
        </w:tc>
        <w:tc>
          <w:tcPr>
            <w:tcW w:w="4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Upstart Network Trust</w:t>
            </w: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47,900</w:t>
            </w:r>
          </w:p>
        </w:tc>
        <w:tc>
          <w:tcPr>
            <w:tcW w:w="3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47,900</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2,034</w:t>
            </w:r>
          </w:p>
        </w:tc>
        <w:tc>
          <w:tcPr>
            <w:tcW w:w="4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color w:val="auto"/>
              </w:rPr>
              <w:t>Total Unconsolidated VIEs</w:t>
            </w:r>
          </w:p>
        </w:tc>
        <w:tc>
          <w:tcPr>
            <w:tcW w:w="580" w:type="dxa"/>
            <w:vAlign w:val="bottom"/>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597,369</w:t>
            </w:r>
          </w:p>
        </w:tc>
        <w:tc>
          <w:tcPr>
            <w:tcW w:w="9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509,241</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88,128</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29,069</w:t>
            </w:r>
          </w:p>
        </w:tc>
        <w:tc>
          <w:tcPr>
            <w:tcW w:w="4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20"/>
          </w:cols>
          <w:pgMar w:left="320" w:top="407" w:right="1359" w:bottom="1440" w:gutter="0" w:footer="0" w:header="0"/>
        </w:sectPr>
      </w:pPr>
    </w:p>
    <w:bookmarkStart w:id="267" w:name="page268"/>
    <w:bookmarkEnd w:id="2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carrying value of assets that relate to variable interests in unconsolidated VIEs consists of $8.3 million, $ 30.3 million, and $19.8 million which are included in notes receivable and residual certificates on the consolidated balance sheets as of December 31, 2018 and 2019, and September 30, 2020 (unaudited), respectively. The Company also had $1.1 million, $4.6 million, and $7.2 million of cash deposits made to reserve accounts for related securitizations, included in other assets on the consolidated balance sheets as of December 31, 2018 and 2019, and September 30, 2020 (unaudited), respectively. The net assets of UNT were included in the Company’s consolidated balance sheet as of December 31, 2018.</w:t>
      </w:r>
    </w:p>
    <w:p>
      <w:pPr>
        <w:spacing w:after="0" w:line="172"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170"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The following table summarizes activity related to the unconsolidated securitization transactions on the Company’s consolidated financial statements (in thousands):</w:t>
      </w:r>
    </w:p>
    <w:p>
      <w:pPr>
        <w:spacing w:after="0" w:line="179"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5"/>
          </w:tcPr>
          <w:p>
            <w:pPr>
              <w:ind w:left="360"/>
              <w:spacing w:after="0"/>
              <w:rPr>
                <w:sz w:val="20"/>
                <w:szCs w:val="20"/>
                <w:color w:val="auto"/>
              </w:rPr>
            </w:pPr>
            <w:r>
              <w:rPr>
                <w:rFonts w:ascii="Arial" w:cs="Arial" w:eastAsia="Arial" w:hAnsi="Arial"/>
                <w:sz w:val="12"/>
                <w:szCs w:val="12"/>
                <w:b w:val="1"/>
                <w:bCs w:val="1"/>
                <w:color w:val="auto"/>
              </w:rPr>
              <w:t>December 31,</w:t>
            </w:r>
          </w:p>
        </w:tc>
        <w:tc>
          <w:tcPr>
            <w:tcW w:w="8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2019</w:t>
            </w: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4"/>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Pr>
          <w:p>
            <w:pPr>
              <w:spacing w:after="0"/>
              <w:rPr>
                <w:sz w:val="10"/>
                <w:szCs w:val="10"/>
                <w:color w:val="auto"/>
              </w:rPr>
            </w:pPr>
          </w:p>
        </w:tc>
      </w:tr>
      <w:tr>
        <w:trPr>
          <w:trHeight w:val="126"/>
        </w:trPr>
        <w:tc>
          <w:tcPr>
            <w:tcW w:w="5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58"/>
        </w:trPr>
        <w:tc>
          <w:tcPr>
            <w:tcW w:w="5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derecognized from loans securitized</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$46,115</w:t>
            </w:r>
          </w:p>
        </w:tc>
        <w:tc>
          <w:tcPr>
            <w:tcW w:w="28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$95,342</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26,784</w:t>
            </w:r>
          </w:p>
        </w:tc>
        <w:tc>
          <w:tcPr>
            <w:tcW w:w="40" w:type="dxa"/>
            <w:vAlign w:val="bottom"/>
            <w:shd w:val="clear" w:color="auto" w:fill="CCEEFF"/>
          </w:tcPr>
          <w:p>
            <w:pPr>
              <w:spacing w:after="0"/>
              <w:rPr>
                <w:sz w:val="13"/>
                <w:szCs w:val="13"/>
                <w:color w:val="auto"/>
              </w:rPr>
            </w:pPr>
          </w:p>
        </w:tc>
      </w:tr>
      <w:tr>
        <w:trPr>
          <w:trHeight w:val="158"/>
        </w:trPr>
        <w:tc>
          <w:tcPr>
            <w:tcW w:w="5260" w:type="dxa"/>
            <w:vAlign w:val="bottom"/>
          </w:tcPr>
          <w:p>
            <w:pPr>
              <w:spacing w:after="0" w:line="158" w:lineRule="exact"/>
              <w:rPr>
                <w:sz w:val="20"/>
                <w:szCs w:val="20"/>
                <w:color w:val="auto"/>
              </w:rPr>
            </w:pPr>
            <w:r>
              <w:rPr>
                <w:rFonts w:ascii="Arial" w:cs="Arial" w:eastAsia="Arial" w:hAnsi="Arial"/>
                <w:sz w:val="14"/>
                <w:szCs w:val="14"/>
                <w:color w:val="auto"/>
              </w:rPr>
              <w:t>Net gains recognized from loans securitized included in earnings</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733</w:t>
            </w:r>
          </w:p>
        </w:tc>
        <w:tc>
          <w:tcPr>
            <w:tcW w:w="280" w:type="dxa"/>
            <w:vAlign w:val="bottom"/>
          </w:tcPr>
          <w:p>
            <w:pPr>
              <w:spacing w:after="0"/>
              <w:rPr>
                <w:sz w:val="13"/>
                <w:szCs w:val="13"/>
                <w:color w:val="auto"/>
              </w:rPr>
            </w:pPr>
          </w:p>
        </w:tc>
        <w:tc>
          <w:tcPr>
            <w:tcW w:w="1280" w:type="dxa"/>
            <w:vAlign w:val="bottom"/>
            <w:gridSpan w:val="3"/>
          </w:tcPr>
          <w:p>
            <w:pPr>
              <w:jc w:val="right"/>
              <w:ind w:right="520"/>
              <w:spacing w:after="0" w:line="158" w:lineRule="exact"/>
              <w:rPr>
                <w:sz w:val="20"/>
                <w:szCs w:val="20"/>
                <w:color w:val="auto"/>
              </w:rPr>
            </w:pPr>
            <w:r>
              <w:rPr>
                <w:rFonts w:ascii="Arial" w:cs="Arial" w:eastAsia="Arial" w:hAnsi="Arial"/>
                <w:sz w:val="14"/>
                <w:szCs w:val="14"/>
                <w:color w:val="auto"/>
              </w:rPr>
              <w:t>1,395</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671</w:t>
            </w:r>
          </w:p>
        </w:tc>
      </w:tr>
      <w:tr>
        <w:trPr>
          <w:trHeight w:val="158"/>
        </w:trPr>
        <w:tc>
          <w:tcPr>
            <w:tcW w:w="5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Fair value of securitization notes and residual certificates retained in the transaction</w:t>
            </w:r>
          </w:p>
        </w:tc>
        <w:tc>
          <w:tcPr>
            <w:tcW w:w="1040" w:type="dxa"/>
            <w:vAlign w:val="bottom"/>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8,314</w:t>
            </w:r>
          </w:p>
        </w:tc>
        <w:tc>
          <w:tcPr>
            <w:tcW w:w="1280" w:type="dxa"/>
            <w:vAlign w:val="bottom"/>
            <w:gridSpan w:val="3"/>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25,649</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5260" w:type="dxa"/>
            <w:vAlign w:val="bottom"/>
          </w:tcPr>
          <w:p>
            <w:pPr>
              <w:spacing w:after="0" w:line="158" w:lineRule="exact"/>
              <w:rPr>
                <w:sz w:val="20"/>
                <w:szCs w:val="20"/>
                <w:color w:val="auto"/>
              </w:rPr>
            </w:pPr>
            <w:r>
              <w:rPr>
                <w:rFonts w:ascii="Arial" w:cs="Arial" w:eastAsia="Arial" w:hAnsi="Arial"/>
                <w:sz w:val="14"/>
                <w:szCs w:val="14"/>
                <w:color w:val="auto"/>
              </w:rPr>
              <w:t>Cash proceeds from loans securitized</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40,202</w:t>
            </w:r>
          </w:p>
        </w:tc>
        <w:tc>
          <w:tcPr>
            <w:tcW w:w="280" w:type="dxa"/>
            <w:vAlign w:val="bottom"/>
          </w:tcPr>
          <w:p>
            <w:pPr>
              <w:spacing w:after="0"/>
              <w:rPr>
                <w:sz w:val="13"/>
                <w:szCs w:val="13"/>
                <w:color w:val="auto"/>
              </w:rPr>
            </w:pPr>
          </w:p>
        </w:tc>
        <w:tc>
          <w:tcPr>
            <w:tcW w:w="1280" w:type="dxa"/>
            <w:vAlign w:val="bottom"/>
            <w:gridSpan w:val="3"/>
          </w:tcPr>
          <w:p>
            <w:pPr>
              <w:jc w:val="right"/>
              <w:ind w:right="520"/>
              <w:spacing w:after="0" w:line="158" w:lineRule="exact"/>
              <w:rPr>
                <w:sz w:val="20"/>
                <w:szCs w:val="20"/>
                <w:color w:val="auto"/>
              </w:rPr>
            </w:pPr>
            <w:r>
              <w:rPr>
                <w:rFonts w:ascii="Arial" w:cs="Arial" w:eastAsia="Arial" w:hAnsi="Arial"/>
                <w:sz w:val="14"/>
                <w:szCs w:val="14"/>
                <w:color w:val="auto"/>
              </w:rPr>
              <w:t>70,845</w:t>
            </w: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27,059</w:t>
            </w:r>
          </w:p>
        </w:tc>
        <w:tc>
          <w:tcPr>
            <w:tcW w:w="40" w:type="dxa"/>
            <w:vAlign w:val="bottom"/>
          </w:tcPr>
          <w:p>
            <w:pPr>
              <w:spacing w:after="0"/>
              <w:rPr>
                <w:sz w:val="13"/>
                <w:szCs w:val="13"/>
                <w:color w:val="auto"/>
              </w:rPr>
            </w:pPr>
          </w:p>
        </w:tc>
      </w:tr>
      <w:tr>
        <w:trPr>
          <w:trHeight w:val="158"/>
        </w:trPr>
        <w:tc>
          <w:tcPr>
            <w:tcW w:w="5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proceeds from servicing and other administrative fees on loans securitized</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409</w:t>
            </w:r>
          </w:p>
        </w:tc>
        <w:tc>
          <w:tcPr>
            <w:tcW w:w="28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2,777</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6,304</w:t>
            </w:r>
          </w:p>
        </w:tc>
      </w:tr>
      <w:tr>
        <w:trPr>
          <w:trHeight w:val="159"/>
        </w:trPr>
        <w:tc>
          <w:tcPr>
            <w:tcW w:w="5260" w:type="dxa"/>
            <w:vAlign w:val="bottom"/>
          </w:tcPr>
          <w:p>
            <w:pPr>
              <w:spacing w:after="0" w:line="159" w:lineRule="exact"/>
              <w:rPr>
                <w:sz w:val="20"/>
                <w:szCs w:val="20"/>
                <w:color w:val="auto"/>
              </w:rPr>
            </w:pPr>
            <w:r>
              <w:rPr>
                <w:rFonts w:ascii="Arial" w:cs="Arial" w:eastAsia="Arial" w:hAnsi="Arial"/>
                <w:sz w:val="14"/>
                <w:szCs w:val="14"/>
                <w:color w:val="auto"/>
              </w:rPr>
              <w:t>Cash proceeds from interest received on securitization notes and residual</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certificates</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585</w:t>
            </w:r>
          </w:p>
        </w:tc>
        <w:tc>
          <w:tcPr>
            <w:tcW w:w="280" w:type="dxa"/>
            <w:vAlign w:val="bottom"/>
          </w:tcPr>
          <w:p>
            <w:pPr>
              <w:spacing w:after="0"/>
              <w:rPr>
                <w:sz w:val="14"/>
                <w:szCs w:val="14"/>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4"/>
                <w:szCs w:val="14"/>
                <w:color w:val="auto"/>
              </w:rPr>
              <w:t>3,112</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1,204</w:t>
            </w:r>
          </w:p>
        </w:tc>
      </w:tr>
    </w:tbl>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Retained Interest in Unconsolidated VIEs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Off-Balance Sheet Loans</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00"/>
          </w:cols>
          <w:pgMar w:left="320" w:top="407" w:right="1379" w:bottom="1440" w:gutter="0" w:footer="0" w:header="0"/>
        </w:sectPr>
      </w:pPr>
    </w:p>
    <w:bookmarkStart w:id="268" w:name="page269"/>
    <w:bookmarkEnd w:id="2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 xml:space="preserve">In December 2019 and February 2020, the Company co-sponsored securitization transactions (“2019-3” and “2020-1”, respectively) with an investment bank. The Company was not required to retain economic risk in these securitization transactions as the co-sponsor investment bank acted as the retaining sponsor. Similar to 2018-2, 2019-1, and 2019-2, the Company contributed certain loans to this securitization as collateral and recognized this transfer under Topic 860, </w:t>
      </w:r>
      <w:r>
        <w:rPr>
          <w:rFonts w:ascii="Arial" w:cs="Arial" w:eastAsia="Arial" w:hAnsi="Arial"/>
          <w:sz w:val="15"/>
          <w:szCs w:val="15"/>
          <w:i w:val="1"/>
          <w:iCs w:val="1"/>
          <w:color w:val="auto"/>
        </w:rPr>
        <w:t>Transferring and Servicing</w:t>
      </w:r>
      <w:r>
        <w:rPr>
          <w:rFonts w:ascii="Arial" w:cs="Arial" w:eastAsia="Arial" w:hAnsi="Arial"/>
          <w:sz w:val="15"/>
          <w:szCs w:val="15"/>
          <w:color w:val="auto"/>
        </w:rPr>
        <w:t>. The Company is also the servicer of the 2019-3 and 2020-1 securitization transactions.</w:t>
      </w:r>
    </w:p>
    <w:p>
      <w:pPr>
        <w:spacing w:after="0" w:line="170"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In September 2020 (unaudited), the Company co-sponsored an additional securitization transaction (“2020-2”) with an investment bank. The Company did not retain economic risk in this transaction and did not contribute any loans as collateral. The Company is the servicer of this securitization.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4. Fair Value Measurement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assets and liabilities measured at fair value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2"/>
                <w:szCs w:val="12"/>
                <w:b w:val="1"/>
                <w:bCs w:val="1"/>
                <w:color w:val="auto"/>
              </w:rPr>
              <w:t>December 31, 2018</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33"/>
              <w:spacing w:after="0" w:line="126" w:lineRule="exact"/>
              <w:rPr>
                <w:sz w:val="20"/>
                <w:szCs w:val="20"/>
                <w:color w:val="auto"/>
              </w:rPr>
            </w:pPr>
            <w:r>
              <w:rPr>
                <w:rFonts w:ascii="Arial" w:cs="Arial" w:eastAsia="Arial" w:hAnsi="Arial"/>
                <w:sz w:val="12"/>
                <w:szCs w:val="12"/>
                <w:b w:val="1"/>
                <w:bCs w:val="1"/>
                <w:color w:val="auto"/>
                <w:w w:val="98"/>
              </w:rPr>
              <w:t>Level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93"/>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w w:val="98"/>
              </w:rPr>
              <w:t>502,666</w:t>
            </w:r>
          </w:p>
        </w:tc>
        <w:tc>
          <w:tcPr>
            <w:tcW w:w="4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502,666</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8,314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8,314</w:t>
            </w: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1,410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1,410</w:t>
            </w:r>
          </w:p>
        </w:tc>
      </w:tr>
      <w:tr>
        <w:trPr>
          <w:trHeight w:val="23"/>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512,390</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512,390</w:t>
            </w:r>
          </w:p>
        </w:tc>
        <w:tc>
          <w:tcPr>
            <w:tcW w:w="6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payable</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53,174</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53,174</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1,375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1,375</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 servicing liabilities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1,685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1,685</w:t>
            </w: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Payable to securitization notes and residual certificate holders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w w:val="98"/>
              </w:rPr>
              <w:t>353,292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353,292</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7,579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7,579</w:t>
            </w:r>
          </w:p>
        </w:tc>
      </w:tr>
      <w:tr>
        <w:trPr>
          <w:trHeight w:val="160"/>
        </w:trPr>
        <w:tc>
          <w:tcPr>
            <w:tcW w:w="5780" w:type="dxa"/>
            <w:vAlign w:val="bottom"/>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447</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447</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417,552</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417,552</w:t>
            </w:r>
          </w:p>
        </w:tc>
        <w:tc>
          <w:tcPr>
            <w:tcW w:w="60" w:type="dxa"/>
            <w:vAlign w:val="bottom"/>
            <w:shd w:val="clear" w:color="auto" w:fill="CCEEFF"/>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3"/>
        </w:trPr>
        <w:tc>
          <w:tcPr>
            <w:tcW w:w="5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2"/>
                <w:szCs w:val="12"/>
                <w:b w:val="1"/>
                <w:bCs w:val="1"/>
                <w:color w:val="auto"/>
              </w:rPr>
              <w:t>December 31, 2019</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6"/>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33"/>
              <w:spacing w:after="0" w:line="126" w:lineRule="exact"/>
              <w:rPr>
                <w:sz w:val="20"/>
                <w:szCs w:val="20"/>
                <w:color w:val="auto"/>
              </w:rPr>
            </w:pPr>
            <w:r>
              <w:rPr>
                <w:rFonts w:ascii="Arial" w:cs="Arial" w:eastAsia="Arial" w:hAnsi="Arial"/>
                <w:sz w:val="12"/>
                <w:szCs w:val="12"/>
                <w:b w:val="1"/>
                <w:bCs w:val="1"/>
                <w:color w:val="auto"/>
                <w:w w:val="98"/>
              </w:rPr>
              <w:t>Level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93"/>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69"/>
        </w:trPr>
        <w:tc>
          <w:tcPr>
            <w:tcW w:w="5780" w:type="dxa"/>
            <w:vAlign w:val="bottom"/>
          </w:tcPr>
          <w:p>
            <w:pPr>
              <w:spacing w:after="0"/>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232,305</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232,305</w:t>
            </w:r>
          </w:p>
        </w:tc>
        <w:tc>
          <w:tcPr>
            <w:tcW w:w="60" w:type="dxa"/>
            <w:vAlign w:val="bottom"/>
          </w:tcPr>
          <w:p>
            <w:pPr>
              <w:spacing w:after="0"/>
              <w:rPr>
                <w:sz w:val="14"/>
                <w:szCs w:val="14"/>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 servicing assets</w:t>
            </w:r>
          </w:p>
        </w:tc>
        <w:tc>
          <w:tcPr>
            <w:tcW w:w="10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4,725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4,725</w:t>
            </w:r>
          </w:p>
        </w:tc>
      </w:tr>
      <w:tr>
        <w:trPr>
          <w:trHeight w:val="23"/>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271,146</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271,146</w:t>
            </w:r>
          </w:p>
        </w:tc>
        <w:tc>
          <w:tcPr>
            <w:tcW w:w="6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504</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504</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 servicing liabilities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5,140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5,140</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Payable to securitization notes and residual certificate holders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89,672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89,672</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5,666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5,666</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1,136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1,136</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color w:val="auto"/>
              </w:rPr>
              <w:t>Total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38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102,118</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102,118</w:t>
            </w:r>
          </w:p>
        </w:tc>
        <w:tc>
          <w:tcPr>
            <w:tcW w:w="6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20"/>
          </w:cols>
          <w:pgMar w:left="320" w:top="407" w:right="1359" w:bottom="1440" w:gutter="0" w:footer="0" w:header="0"/>
        </w:sectPr>
      </w:pPr>
    </w:p>
    <w:bookmarkStart w:id="269" w:name="page270"/>
    <w:bookmarkEnd w:id="2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September 30, 2020</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5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ind w:left="20"/>
              <w:spacing w:after="0" w:line="126" w:lineRule="exact"/>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40"/>
              <w:spacing w:after="0" w:line="126" w:lineRule="exact"/>
              <w:rPr>
                <w:sz w:val="20"/>
                <w:szCs w:val="20"/>
                <w:color w:val="auto"/>
              </w:rPr>
            </w:pPr>
            <w:r>
              <w:rPr>
                <w:rFonts w:ascii="Arial" w:cs="Arial" w:eastAsia="Arial" w:hAnsi="Arial"/>
                <w:sz w:val="12"/>
                <w:szCs w:val="12"/>
                <w:b w:val="1"/>
                <w:bCs w:val="1"/>
                <w:color w:val="auto"/>
              </w:rPr>
              <w:t>Level 3</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33"/>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26"/>
        </w:trPr>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5"/>
          </w:tcPr>
          <w:p>
            <w:pPr>
              <w:ind w:left="36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122,708</w:t>
            </w:r>
          </w:p>
        </w:tc>
        <w:tc>
          <w:tcPr>
            <w:tcW w:w="120" w:type="dxa"/>
            <w:vAlign w:val="bottom"/>
          </w:tcPr>
          <w:p>
            <w:pPr>
              <w:spacing w:after="0"/>
              <w:rPr>
                <w:sz w:val="13"/>
                <w:szCs w:val="13"/>
                <w:color w:val="auto"/>
              </w:rPr>
            </w:pPr>
          </w:p>
        </w:tc>
        <w:tc>
          <w:tcPr>
            <w:tcW w:w="2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122,708</w:t>
            </w:r>
          </w:p>
        </w:tc>
        <w:tc>
          <w:tcPr>
            <w:tcW w:w="60" w:type="dxa"/>
            <w:vAlign w:val="bottom"/>
          </w:tcPr>
          <w:p>
            <w:pPr>
              <w:spacing w:after="0"/>
              <w:rPr>
                <w:sz w:val="13"/>
                <w:szCs w:val="13"/>
                <w:color w:val="auto"/>
              </w:rPr>
            </w:pP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22,053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22,053</w:t>
            </w:r>
          </w:p>
        </w:tc>
        <w:tc>
          <w:tcPr>
            <w:tcW w:w="60" w:type="dxa"/>
            <w:vAlign w:val="bottom"/>
            <w:shd w:val="clear" w:color="auto" w:fill="CCEEFF"/>
          </w:tcPr>
          <w:p>
            <w:pPr>
              <w:spacing w:after="0"/>
              <w:rPr>
                <w:sz w:val="13"/>
                <w:szCs w:val="13"/>
                <w:color w:val="auto"/>
              </w:rPr>
            </w:pP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Loan servicing assets</w:t>
            </w:r>
          </w:p>
        </w:tc>
        <w:tc>
          <w:tcPr>
            <w:tcW w:w="100" w:type="dxa"/>
            <w:vAlign w:val="bottom"/>
          </w:tcPr>
          <w:p>
            <w:pPr>
              <w:spacing w:after="0"/>
              <w:rPr>
                <w:sz w:val="13"/>
                <w:szCs w:val="13"/>
                <w:color w:val="auto"/>
              </w:rPr>
            </w:pP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6,558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6,558</w:t>
            </w:r>
          </w:p>
        </w:tc>
      </w:tr>
      <w:tr>
        <w:trPr>
          <w:trHeight w:val="23"/>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151,319</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151,319</w:t>
            </w:r>
          </w:p>
        </w:tc>
        <w:tc>
          <w:tcPr>
            <w:tcW w:w="60" w:type="dxa"/>
            <w:vAlign w:val="bottom"/>
            <w:shd w:val="clear" w:color="auto" w:fill="CCEEFF"/>
          </w:tcPr>
          <w:p>
            <w:pPr>
              <w:spacing w:after="0"/>
              <w:rPr>
                <w:sz w:val="14"/>
                <w:szCs w:val="14"/>
                <w:color w:val="auto"/>
              </w:rPr>
            </w:pPr>
          </w:p>
        </w:tc>
      </w:tr>
      <w:tr>
        <w:trPr>
          <w:trHeight w:val="160"/>
        </w:trPr>
        <w:tc>
          <w:tcPr>
            <w:tcW w:w="58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60" w:type="dxa"/>
            <w:vAlign w:val="bottom"/>
            <w:shd w:val="clear" w:color="auto" w:fill="CCEEFF"/>
          </w:tcPr>
          <w:p>
            <w:pPr>
              <w:spacing w:after="0"/>
              <w:rPr>
                <w:sz w:val="14"/>
                <w:szCs w:val="14"/>
                <w:color w:val="auto"/>
              </w:rPr>
            </w:pP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Loan servicing liabilities</w:t>
            </w:r>
          </w:p>
        </w:tc>
        <w:tc>
          <w:tcPr>
            <w:tcW w:w="100" w:type="dxa"/>
            <w:vAlign w:val="bottom"/>
          </w:tcPr>
          <w:p>
            <w:pPr>
              <w:spacing w:after="0"/>
              <w:rPr>
                <w:sz w:val="13"/>
                <w:szCs w:val="13"/>
                <w:color w:val="auto"/>
              </w:rPr>
            </w:pP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7,349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7,349</w:t>
            </w:r>
          </w:p>
        </w:tc>
      </w:tr>
      <w:tr>
        <w:trPr>
          <w:trHeight w:val="169"/>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Payable to securitization notes and residual certificate holders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9"/>
        </w:trPr>
        <w:tc>
          <w:tcPr>
            <w:tcW w:w="5880" w:type="dxa"/>
            <w:vAlign w:val="bottom"/>
          </w:tcPr>
          <w:p>
            <w:pPr>
              <w:spacing w:after="0"/>
              <w:rPr>
                <w:sz w:val="20"/>
                <w:szCs w:val="20"/>
                <w:color w:val="auto"/>
              </w:rPr>
            </w:pPr>
            <w:r>
              <w:rPr>
                <w:rFonts w:ascii="Arial" w:cs="Arial" w:eastAsia="Arial" w:hAnsi="Arial"/>
                <w:sz w:val="14"/>
                <w:szCs w:val="14"/>
                <w:color w:val="auto"/>
              </w:rPr>
              <w:t>Convertible preferred stock warrant liabilities</w:t>
            </w:r>
          </w:p>
        </w:tc>
        <w:tc>
          <w:tcPr>
            <w:tcW w:w="10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7,458</w:t>
            </w: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1,607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1,607</w:t>
            </w:r>
          </w:p>
        </w:tc>
      </w:tr>
      <w:tr>
        <w:trPr>
          <w:trHeight w:val="20"/>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880" w:type="dxa"/>
            <w:vAlign w:val="bottom"/>
          </w:tcPr>
          <w:p>
            <w:pPr>
              <w:spacing w:after="0"/>
              <w:rPr>
                <w:sz w:val="20"/>
                <w:szCs w:val="20"/>
                <w:color w:val="auto"/>
              </w:rPr>
            </w:pPr>
            <w:r>
              <w:rPr>
                <w:rFonts w:ascii="Arial" w:cs="Arial" w:eastAsia="Arial" w:hAnsi="Arial"/>
                <w:sz w:val="14"/>
                <w:szCs w:val="14"/>
                <w:color w:val="auto"/>
              </w:rPr>
              <w:t>Total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17,308</w:t>
            </w:r>
          </w:p>
        </w:tc>
        <w:tc>
          <w:tcPr>
            <w:tcW w:w="12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17,308</w:t>
            </w:r>
          </w:p>
        </w:tc>
        <w:tc>
          <w:tcPr>
            <w:tcW w:w="60" w:type="dxa"/>
            <w:vAlign w:val="bottom"/>
          </w:tcPr>
          <w:p>
            <w:pPr>
              <w:spacing w:after="0"/>
              <w:rPr>
                <w:sz w:val="13"/>
                <w:szCs w:val="13"/>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Financial instruments are categorized in the fair value hierarchy based on the significance of unobservable factors in the overall fair value measurement. Since the Company’s loans, notes receivable and residual certificates, notes payable, loan servicing assets and liabilities, payable to securitization note holders and residual certificate holders, other assets and liabilities, convertible preferred stock warrants, and common stock warrants, do not trade in an active market with readily observable prices, the Company uses significant unobservable inputs to measure the fair value of these assets and liabilities.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 Company has elected the fair value option for loans, notes receivable and residual certificates, notes payable, and payable to securitization note holders and residual certificate holders. The election allows for assets and related liabilities to be measured similarly. Changes in the fair value of the loans are partially offset by corresponding changes in the fair value of notes payable, and payable to securitization note holders and residual certificate holders. The net fair value adjustments are presented as interest income and fair value adjustments, net in the consolidated statements of operations and comprehensive income (loss).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were no transfers between Level 1, Level 2 or Level 3 of the fair value hierarchy during the periods presented.</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Loans</w:t>
      </w:r>
    </w:p>
    <w:p>
      <w:pPr>
        <w:spacing w:after="0" w:line="10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Loans included in the Company’s consolidated balance sheets are classified as either held-for-sale or held-for-investment. The loans held-for-investment include those loans which are contributed as collateral and held in the consolidated securitizations.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20"/>
          </w:cols>
          <w:pgMar w:left="320" w:top="407" w:right="1359" w:bottom="1440" w:gutter="0" w:footer="0" w:header="0"/>
        </w:sectPr>
      </w:pPr>
    </w:p>
    <w:bookmarkStart w:id="270" w:name="page271"/>
    <w:bookmarkEnd w:id="2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fair value of classes of loans held by the Company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60" w:type="dxa"/>
            <w:vAlign w:val="bottom"/>
          </w:tcPr>
          <w:p>
            <w:pPr>
              <w:spacing w:after="0"/>
              <w:rPr>
                <w:sz w:val="12"/>
                <w:szCs w:val="12"/>
                <w:color w:val="auto"/>
              </w:rPr>
            </w:pPr>
          </w:p>
        </w:tc>
        <w:tc>
          <w:tcPr>
            <w:tcW w:w="1620" w:type="dxa"/>
            <w:vAlign w:val="bottom"/>
            <w:gridSpan w:val="5"/>
          </w:tcPr>
          <w:p>
            <w:pPr>
              <w:ind w:left="360"/>
              <w:spacing w:after="0"/>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560" w:type="dxa"/>
            <w:vAlign w:val="bottom"/>
          </w:tcPr>
          <w:p>
            <w:pPr>
              <w:spacing w:after="0"/>
              <w:rPr>
                <w:sz w:val="10"/>
                <w:szCs w:val="10"/>
                <w:color w:val="auto"/>
              </w:rPr>
            </w:pPr>
          </w:p>
        </w:tc>
        <w:tc>
          <w:tcPr>
            <w:tcW w:w="560" w:type="dxa"/>
            <w:vAlign w:val="bottom"/>
            <w:tcBorders>
              <w:top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92"/>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15"/>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65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5"/>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Loans held-for-sale</w:t>
            </w:r>
          </w:p>
        </w:tc>
        <w:tc>
          <w:tcPr>
            <w:tcW w:w="720" w:type="dxa"/>
            <w:vAlign w:val="bottom"/>
            <w:gridSpan w:val="2"/>
            <w:shd w:val="clear" w:color="auto" w:fill="CCEEFF"/>
          </w:tcPr>
          <w:p>
            <w:pPr>
              <w:ind w:left="44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108,146</w:t>
            </w:r>
          </w:p>
        </w:tc>
        <w:tc>
          <w:tcPr>
            <w:tcW w:w="40" w:type="dxa"/>
            <w:vAlign w:val="bottom"/>
            <w:shd w:val="clear" w:color="auto" w:fill="CCEEFF"/>
          </w:tcPr>
          <w:p>
            <w:pPr>
              <w:spacing w:after="0"/>
              <w:rPr>
                <w:sz w:val="13"/>
                <w:szCs w:val="13"/>
                <w:color w:val="auto"/>
              </w:rPr>
            </w:pP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Loans held-for-investment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w w:val="92"/>
              </w:rPr>
              <w:t>$134,650</w:t>
            </w:r>
          </w:p>
        </w:tc>
        <w:tc>
          <w:tcPr>
            <w:tcW w:w="16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$141,555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14,562</w:t>
            </w:r>
          </w:p>
        </w:tc>
        <w:tc>
          <w:tcPr>
            <w:tcW w:w="40" w:type="dxa"/>
            <w:vAlign w:val="bottom"/>
          </w:tcPr>
          <w:p>
            <w:pPr>
              <w:spacing w:after="0"/>
              <w:rPr>
                <w:sz w:val="13"/>
                <w:szCs w:val="13"/>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Loans held-for-investment in consolidated securitizations</w:t>
            </w:r>
          </w:p>
        </w:tc>
        <w:tc>
          <w:tcPr>
            <w:tcW w:w="5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368,016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90,750</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r>
      <w:tr>
        <w:trPr>
          <w:trHeight w:val="160"/>
        </w:trPr>
        <w:tc>
          <w:tcPr>
            <w:tcW w:w="6560" w:type="dxa"/>
            <w:vAlign w:val="bottom"/>
          </w:tcPr>
          <w:p>
            <w:pPr>
              <w:ind w:left="280"/>
              <w:spacing w:after="0"/>
              <w:rPr>
                <w:sz w:val="20"/>
                <w:szCs w:val="20"/>
                <w:color w:val="auto"/>
              </w:rPr>
            </w:pPr>
            <w:r>
              <w:rPr>
                <w:rFonts w:ascii="Arial" w:cs="Arial" w:eastAsia="Arial" w:hAnsi="Arial"/>
                <w:sz w:val="14"/>
                <w:szCs w:val="14"/>
                <w:color w:val="auto"/>
              </w:rPr>
              <w:t>Total</w:t>
            </w:r>
          </w:p>
        </w:tc>
        <w:tc>
          <w:tcPr>
            <w:tcW w:w="560" w:type="dxa"/>
            <w:vAlign w:val="bottom"/>
          </w:tcPr>
          <w:p>
            <w:pPr>
              <w:jc w:val="right"/>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502,666</w:t>
            </w:r>
          </w:p>
        </w:tc>
        <w:tc>
          <w:tcPr>
            <w:tcW w:w="16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232,305</w:t>
            </w:r>
          </w:p>
        </w:tc>
        <w:tc>
          <w:tcPr>
            <w:tcW w:w="160" w:type="dxa"/>
            <w:vAlign w:val="bottom"/>
          </w:tcPr>
          <w:p>
            <w:pPr>
              <w:spacing w:after="0"/>
              <w:rPr>
                <w:sz w:val="13"/>
                <w:szCs w:val="13"/>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122,708</w:t>
            </w:r>
          </w:p>
        </w:tc>
        <w:tc>
          <w:tcPr>
            <w:tcW w:w="40" w:type="dxa"/>
            <w:vAlign w:val="bottom"/>
          </w:tcPr>
          <w:p>
            <w:pPr>
              <w:spacing w:after="0"/>
              <w:rPr>
                <w:sz w:val="13"/>
                <w:szCs w:val="13"/>
                <w:color w:val="auto"/>
              </w:rPr>
            </w:pPr>
          </w:p>
        </w:tc>
      </w:tr>
      <w:tr>
        <w:trPr>
          <w:trHeight w:val="20"/>
        </w:trPr>
        <w:tc>
          <w:tcPr>
            <w:tcW w:w="6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jc w:val="both"/>
        <w:ind w:left="1020" w:right="20" w:firstLine="460"/>
        <w:spacing w:after="0" w:line="238" w:lineRule="auto"/>
        <w:rPr>
          <w:sz w:val="20"/>
          <w:szCs w:val="20"/>
          <w:color w:val="auto"/>
        </w:rPr>
      </w:pPr>
      <w:r>
        <w:rPr>
          <w:rFonts w:ascii="Arial" w:cs="Arial" w:eastAsia="Arial" w:hAnsi="Arial"/>
          <w:sz w:val="15"/>
          <w:szCs w:val="15"/>
          <w:color w:val="auto"/>
        </w:rPr>
        <w:t>Loans held-for-sale and held-for-investment, excluding those in consolidated securitizations,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 which was immaterial as of December 31, 2018 and 2019, and September 30, 2020 (unaudited).</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 xml:space="preserve">As of December 31, 2018 and 2019, and September 30, 2020 (unaudited), the Company elected the measurement alternative under Topic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and maximizes the use of observable inputs to estimate the fair value of the financial assets and liabilities of consolidated securitization entities. Under the measurement alternative, the Company measures the financial assets, which consist of held-for-investment and held-for-sale loans in the consolidated balance sheets, and financial liabilities, which consist of securitization notes and residual certificates issued to institutional investors, included in payable to securitization note holders and residual certificate holders in the consolidated balance sheets, using the more observable of the fair value of the financial assets and liabilities. The Company determined the fair value of the securitization notes and residual certificates is more observable than that of the loans. The securitization notes and residual certificates are measured at fair value, and the loans are measured based on the sum of the fair value of the securitization notes and residual certificates, with changes in fair value included in the consolidated statements of operations and comprehensive income (loss).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loans held-for-investment and held-for-sale:</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5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2018</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2019</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September 30, 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Weighted-</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Weighted-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2"/>
                <w:szCs w:val="12"/>
                <w:b w:val="1"/>
                <w:bCs w:val="1"/>
                <w:i w:val="1"/>
                <w:iCs w:val="1"/>
                <w:color w:val="auto"/>
              </w:rPr>
              <w:t>(unaudited)</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w w:val="98"/>
              </w:rPr>
              <w:t>Minimum</w:t>
            </w:r>
          </w:p>
        </w:tc>
        <w:tc>
          <w:tcPr>
            <w:tcW w:w="28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w w:val="97"/>
              </w:rPr>
              <w:t>Maximum</w:t>
            </w:r>
          </w:p>
        </w:tc>
        <w:tc>
          <w:tcPr>
            <w:tcW w:w="280" w:type="dxa"/>
            <w:vAlign w:val="bottom"/>
          </w:tcPr>
          <w:p>
            <w:pPr>
              <w:spacing w:after="0"/>
              <w:rPr>
                <w:sz w:val="12"/>
                <w:szCs w:val="12"/>
                <w:color w:val="auto"/>
              </w:rPr>
            </w:pPr>
          </w:p>
        </w:tc>
        <w:tc>
          <w:tcPr>
            <w:tcW w:w="600" w:type="dxa"/>
            <w:vAlign w:val="bottom"/>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3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4"/>
              </w:rPr>
              <w:t>Minimum</w:t>
            </w:r>
          </w:p>
        </w:tc>
        <w:tc>
          <w:tcPr>
            <w:tcW w:w="8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Maximum</w:t>
            </w:r>
          </w:p>
        </w:tc>
        <w:tc>
          <w:tcPr>
            <w:tcW w:w="90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Minimum</w:t>
            </w:r>
          </w:p>
        </w:tc>
        <w:tc>
          <w:tcPr>
            <w:tcW w:w="10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14.58%</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14.57%</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4.98%</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6.81%</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16.91%</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58"/>
        </w:trPr>
        <w:tc>
          <w:tcPr>
            <w:tcW w:w="158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0.05%</w:t>
            </w: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43.21%</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18.17%</w:t>
            </w:r>
          </w:p>
        </w:tc>
        <w:tc>
          <w:tcPr>
            <w:tcW w:w="8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0.31%</w:t>
            </w: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52.29%</w:t>
            </w:r>
          </w:p>
        </w:tc>
        <w:tc>
          <w:tcPr>
            <w:tcW w:w="9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17.19%</w:t>
            </w:r>
          </w:p>
        </w:tc>
        <w:tc>
          <w:tcPr>
            <w:tcW w:w="7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0.36%</w:t>
            </w:r>
          </w:p>
        </w:tc>
        <w:tc>
          <w:tcPr>
            <w:tcW w:w="98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52.31%</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17.85%</w:t>
            </w:r>
          </w:p>
        </w:tc>
        <w:tc>
          <w:tcPr>
            <w:tcW w:w="0" w:type="dxa"/>
            <w:vAlign w:val="bottom"/>
          </w:tcPr>
          <w:p>
            <w:pPr>
              <w:spacing w:after="0"/>
              <w:rPr>
                <w:sz w:val="1"/>
                <w:szCs w:val="1"/>
                <w:color w:val="auto"/>
              </w:rPr>
            </w:pPr>
          </w:p>
        </w:tc>
      </w:tr>
      <w:tr>
        <w:trPr>
          <w:trHeight w:val="158"/>
        </w:trPr>
        <w:tc>
          <w:tcPr>
            <w:tcW w:w="158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22.16%</w:t>
            </w:r>
          </w:p>
        </w:tc>
        <w:tc>
          <w:tcPr>
            <w:tcW w:w="8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33.37%</w:t>
            </w:r>
          </w:p>
        </w:tc>
        <w:tc>
          <w:tcPr>
            <w:tcW w:w="9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25.53%</w:t>
            </w:r>
          </w:p>
        </w:tc>
        <w:tc>
          <w:tcPr>
            <w:tcW w:w="8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11.34%</w:t>
            </w:r>
          </w:p>
        </w:tc>
        <w:tc>
          <w:tcPr>
            <w:tcW w:w="8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64.00%</w:t>
            </w:r>
          </w:p>
        </w:tc>
        <w:tc>
          <w:tcPr>
            <w:tcW w:w="9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29.49%</w:t>
            </w:r>
          </w:p>
        </w:tc>
        <w:tc>
          <w:tcPr>
            <w:tcW w:w="7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11.33%</w:t>
            </w:r>
          </w:p>
        </w:tc>
        <w:tc>
          <w:tcPr>
            <w:tcW w:w="98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78.36%</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hanging="453"/>
        <w:spacing w:after="0"/>
        <w:tabs>
          <w:tab w:leader="none" w:pos="14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Expressed as a percentage of the original principal balance of the loans</w:t>
      </w:r>
    </w:p>
    <w:p>
      <w:pPr>
        <w:ind w:left="1480" w:hanging="453"/>
        <w:spacing w:after="0"/>
        <w:tabs>
          <w:tab w:leader="none" w:pos="14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Unobservable inputs were weighted by relative fair value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20"/>
          </w:cols>
          <w:pgMar w:left="320" w:top="407" w:right="1359" w:bottom="1440" w:gutter="0" w:footer="0" w:header="0"/>
        </w:sectPr>
      </w:pPr>
    </w:p>
    <w:bookmarkStart w:id="271" w:name="page272"/>
    <w:bookmarkEnd w:id="2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right="180" w:firstLine="460"/>
        <w:spacing w:after="0" w:line="243" w:lineRule="auto"/>
        <w:rPr>
          <w:sz w:val="20"/>
          <w:szCs w:val="20"/>
          <w:color w:val="auto"/>
        </w:rPr>
      </w:pPr>
      <w:r>
        <w:rPr>
          <w:rFonts w:ascii="Arial" w:cs="Arial" w:eastAsia="Arial" w:hAnsi="Arial"/>
          <w:sz w:val="15"/>
          <w:szCs w:val="15"/>
          <w:i w:val="1"/>
          <w:iCs w:val="1"/>
          <w:color w:val="auto"/>
        </w:rPr>
        <w:t>Discount rates—</w:t>
      </w:r>
      <w:r>
        <w:rPr>
          <w:rFonts w:ascii="Arial" w:cs="Arial" w:eastAsia="Arial" w:hAnsi="Arial"/>
          <w:sz w:val="15"/>
          <w:szCs w:val="15"/>
          <w:color w:val="auto"/>
        </w:rPr>
        <w:t>The discount rates are rates of return used to discount future expected cash flows to arrive at a present value,</w:t>
      </w:r>
      <w:r>
        <w:rPr>
          <w:rFonts w:ascii="Arial" w:cs="Arial" w:eastAsia="Arial" w:hAnsi="Arial"/>
          <w:sz w:val="15"/>
          <w:szCs w:val="15"/>
          <w:i w:val="1"/>
          <w:iCs w:val="1"/>
          <w:color w:val="auto"/>
        </w:rPr>
        <w:t xml:space="preserve"> </w:t>
      </w:r>
      <w:r>
        <w:rPr>
          <w:rFonts w:ascii="Arial" w:cs="Arial" w:eastAsia="Arial" w:hAnsi="Arial"/>
          <w:sz w:val="15"/>
          <w:szCs w:val="15"/>
          <w:color w:val="auto"/>
        </w:rPr>
        <w:t>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152"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i w:val="1"/>
          <w:iCs w:val="1"/>
          <w:color w:val="auto"/>
        </w:rPr>
        <w:t>Credit risk rates—</w:t>
      </w:r>
      <w:r>
        <w:rPr>
          <w:rFonts w:ascii="Arial" w:cs="Arial" w:eastAsia="Arial" w:hAnsi="Arial"/>
          <w:sz w:val="15"/>
          <w:szCs w:val="15"/>
          <w:color w:val="auto"/>
        </w:rPr>
        <w:t>The credit risk rates are an estimate of the net cumulative principal payments that will not be repaid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49" w:lineRule="exact"/>
        <w:rPr>
          <w:sz w:val="20"/>
          <w:szCs w:val="20"/>
          <w:color w:val="auto"/>
        </w:rPr>
      </w:pPr>
    </w:p>
    <w:p>
      <w:pPr>
        <w:ind w:left="1020" w:right="100" w:firstLine="460"/>
        <w:spacing w:after="0" w:line="251"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an estimate of the cumulative principal prepayments that will occur over the entire life of</w:t>
      </w:r>
      <w:r>
        <w:rPr>
          <w:rFonts w:ascii="Arial" w:cs="Arial" w:eastAsia="Arial" w:hAnsi="Arial"/>
          <w:sz w:val="15"/>
          <w:szCs w:val="15"/>
          <w:i w:val="1"/>
          <w:iCs w:val="1"/>
          <w:color w:val="auto"/>
        </w:rPr>
        <w:t xml:space="preserve"> </w:t>
      </w:r>
      <w:r>
        <w:rPr>
          <w:rFonts w:ascii="Arial" w:cs="Arial" w:eastAsia="Arial" w:hAnsi="Arial"/>
          <w:sz w:val="15"/>
          <w:szCs w:val="15"/>
          <w:color w:val="auto"/>
        </w:rPr>
        <w:t>a loan as a percentage of the original principal amount of the loan. The assumption regarding cumulative prepayments impacts the projected balances and expected terms of the loans.</w:t>
      </w:r>
    </w:p>
    <w:p>
      <w:pPr>
        <w:spacing w:after="0" w:line="146" w:lineRule="exact"/>
        <w:rPr>
          <w:sz w:val="20"/>
          <w:szCs w:val="20"/>
          <w:color w:val="auto"/>
        </w:rPr>
      </w:pPr>
    </w:p>
    <w:p>
      <w:pPr>
        <w:ind w:left="1020" w:right="40" w:firstLine="460"/>
        <w:spacing w:after="0" w:line="267" w:lineRule="auto"/>
        <w:rPr>
          <w:sz w:val="20"/>
          <w:szCs w:val="20"/>
          <w:color w:val="auto"/>
        </w:rPr>
      </w:pPr>
      <w:r>
        <w:rPr>
          <w:rFonts w:ascii="Arial" w:cs="Arial" w:eastAsia="Arial" w:hAnsi="Arial"/>
          <w:sz w:val="15"/>
          <w:szCs w:val="15"/>
          <w:color w:val="auto"/>
        </w:rPr>
        <w:t xml:space="preserve">The above inputs are similarly used in estimating fair value of related financial instruments. Refer to </w:t>
      </w:r>
      <w:r>
        <w:rPr>
          <w:rFonts w:ascii="Arial" w:cs="Arial" w:eastAsia="Arial" w:hAnsi="Arial"/>
          <w:sz w:val="15"/>
          <w:szCs w:val="15"/>
          <w:i w:val="1"/>
          <w:iCs w:val="1"/>
          <w:color w:val="auto"/>
        </w:rPr>
        <w:t>Notes Payable</w:t>
      </w:r>
      <w:r>
        <w:rPr>
          <w:rFonts w:ascii="Arial" w:cs="Arial" w:eastAsia="Arial" w:hAnsi="Arial"/>
          <w:sz w:val="15"/>
          <w:szCs w:val="15"/>
          <w:color w:val="auto"/>
        </w:rPr>
        <w:t xml:space="preserve"> and </w:t>
      </w:r>
      <w:r>
        <w:rPr>
          <w:rFonts w:ascii="Arial" w:cs="Arial" w:eastAsia="Arial" w:hAnsi="Arial"/>
          <w:sz w:val="15"/>
          <w:szCs w:val="15"/>
          <w:i w:val="1"/>
          <w:iCs w:val="1"/>
          <w:color w:val="auto"/>
        </w:rPr>
        <w:t>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Liabilities related to Securitization Transactions </w:t>
      </w:r>
      <w:r>
        <w:rPr>
          <w:rFonts w:ascii="Arial" w:cs="Arial" w:eastAsia="Arial" w:hAnsi="Arial"/>
          <w:sz w:val="15"/>
          <w:szCs w:val="15"/>
          <w:color w:val="auto"/>
        </w:rPr>
        <w:t>sections below for more information.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103"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below table presents the sensitivity of the loans held-for-sale and held-for-investment, excluding those in consolidated securitizations, to adverse changes in key assumptions used in the valuation model as of December 31, 2018 and 2019, and September 30, 2020 (unaudited), respectively. The estimated fair value of these loans is not sensitive to adverse changes in expected prepayment rates as such changes would not result in a significant impact on the fair value in either periods.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420" w:type="dxa"/>
            <w:vAlign w:val="bottom"/>
            <w:vMerge w:val="restart"/>
          </w:tcPr>
          <w:p>
            <w:pPr>
              <w:spacing w:after="0"/>
              <w:rPr>
                <w:sz w:val="20"/>
                <w:szCs w:val="20"/>
                <w:color w:val="auto"/>
              </w:rPr>
            </w:pPr>
            <w:r>
              <w:rPr>
                <w:rFonts w:ascii="Arial" w:cs="Arial" w:eastAsia="Arial" w:hAnsi="Arial"/>
                <w:sz w:val="12"/>
                <w:szCs w:val="12"/>
                <w:i w:val="1"/>
                <w:iCs w:val="1"/>
                <w:color w:val="auto"/>
              </w:rPr>
              <w:t>(amounts in thousands)</w:t>
            </w:r>
          </w:p>
        </w:tc>
        <w:tc>
          <w:tcPr>
            <w:tcW w:w="1860" w:type="dxa"/>
            <w:vAlign w:val="bottom"/>
            <w:gridSpan w:val="4"/>
          </w:tcPr>
          <w:p>
            <w:pPr>
              <w:jc w:val="right"/>
              <w:ind w:right="720"/>
              <w:spacing w:after="0"/>
              <w:rPr>
                <w:sz w:val="20"/>
                <w:szCs w:val="20"/>
                <w:color w:val="auto"/>
              </w:rPr>
            </w:pPr>
            <w:r>
              <w:rPr>
                <w:rFonts w:ascii="Arial" w:cs="Arial" w:eastAsia="Arial" w:hAnsi="Arial"/>
                <w:sz w:val="12"/>
                <w:szCs w:val="12"/>
                <w:b w:val="1"/>
                <w:bCs w:val="1"/>
                <w:color w:val="auto"/>
              </w:rPr>
              <w:t>December 31,</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6420" w:type="dxa"/>
            <w:vAlign w:val="bottom"/>
            <w:vMerge w:val="continue"/>
          </w:tcPr>
          <w:p>
            <w:pPr>
              <w:spacing w:after="0"/>
              <w:rPr>
                <w:sz w:val="10"/>
                <w:szCs w:val="10"/>
                <w:color w:val="auto"/>
              </w:rPr>
            </w:pPr>
          </w:p>
        </w:tc>
        <w:tc>
          <w:tcPr>
            <w:tcW w:w="58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15"/>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5"/>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of loans</w:t>
            </w: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134,650</w:t>
            </w:r>
          </w:p>
        </w:tc>
        <w:tc>
          <w:tcPr>
            <w:tcW w:w="36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141,555</w:t>
            </w:r>
          </w:p>
        </w:tc>
        <w:tc>
          <w:tcPr>
            <w:tcW w:w="3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122,708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20" w:type="dxa"/>
            <w:vAlign w:val="bottom"/>
          </w:tcPr>
          <w:p>
            <w:pPr>
              <w:spacing w:after="0"/>
              <w:rPr>
                <w:sz w:val="20"/>
                <w:szCs w:val="20"/>
                <w:color w:val="auto"/>
              </w:rPr>
            </w:pPr>
            <w:r>
              <w:rPr>
                <w:rFonts w:ascii="Arial" w:cs="Arial" w:eastAsia="Arial" w:hAnsi="Arial"/>
                <w:sz w:val="14"/>
                <w:szCs w:val="14"/>
                <w:color w:val="auto"/>
              </w:rPr>
              <w:t>Discount rates</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100 basis point increase</w:t>
            </w:r>
          </w:p>
        </w:tc>
        <w:tc>
          <w:tcPr>
            <w:tcW w:w="9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(1,762)</w:t>
            </w:r>
          </w:p>
        </w:tc>
        <w:tc>
          <w:tcPr>
            <w:tcW w:w="9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(1,898)</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58"/>
        </w:trPr>
        <w:tc>
          <w:tcPr>
            <w:tcW w:w="6420" w:type="dxa"/>
            <w:vAlign w:val="bottom"/>
          </w:tcPr>
          <w:p>
            <w:pPr>
              <w:ind w:left="280"/>
              <w:spacing w:after="0" w:line="158" w:lineRule="exact"/>
              <w:rPr>
                <w:sz w:val="20"/>
                <w:szCs w:val="20"/>
                <w:color w:val="auto"/>
              </w:rPr>
            </w:pPr>
            <w:r>
              <w:rPr>
                <w:rFonts w:ascii="Arial" w:cs="Arial" w:eastAsia="Arial" w:hAnsi="Arial"/>
                <w:sz w:val="14"/>
                <w:szCs w:val="14"/>
                <w:color w:val="auto"/>
              </w:rPr>
              <w:t>200 basis point increase</w:t>
            </w:r>
          </w:p>
        </w:tc>
        <w:tc>
          <w:tcPr>
            <w:tcW w:w="9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(3,488)</w:t>
            </w: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(3,755)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158"/>
        </w:trPr>
        <w:tc>
          <w:tcPr>
            <w:tcW w:w="64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credit risk rates on underlying loans</w:t>
            </w: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2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9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(2,321)</w:t>
            </w: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(2,325)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158"/>
        </w:trPr>
        <w:tc>
          <w:tcPr>
            <w:tcW w:w="6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9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(4,649)</w:t>
            </w:r>
          </w:p>
        </w:tc>
        <w:tc>
          <w:tcPr>
            <w:tcW w:w="9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(4,656)</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(3,911)</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20"/>
          </w:cols>
          <w:pgMar w:left="320" w:top="407" w:right="1359" w:bottom="1440" w:gutter="0" w:footer="0" w:header="0"/>
        </w:sectPr>
      </w:pPr>
    </w:p>
    <w:bookmarkStart w:id="272" w:name="page273"/>
    <w:bookmarkEnd w:id="2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include a rollforward of the loans classified within Level 3 of the fair value hierarchy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Loans Held-for-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78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rPr>
              <w:t>Loans Held-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5"/>
          </w:tcPr>
          <w:p>
            <w:pPr>
              <w:spacing w:after="0" w:line="136" w:lineRule="exact"/>
              <w:rPr>
                <w:sz w:val="20"/>
                <w:szCs w:val="20"/>
                <w:color w:val="auto"/>
              </w:rPr>
            </w:pPr>
            <w:r>
              <w:rPr>
                <w:rFonts w:ascii="Arial" w:cs="Arial" w:eastAsia="Arial" w:hAnsi="Arial"/>
                <w:sz w:val="12"/>
                <w:szCs w:val="12"/>
                <w:b w:val="1"/>
                <w:bCs w:val="1"/>
                <w:color w:val="auto"/>
              </w:rPr>
              <w:t>Loans Held-for-</w:t>
            </w:r>
          </w:p>
        </w:tc>
        <w:tc>
          <w:tcPr>
            <w:tcW w:w="240" w:type="dxa"/>
            <w:vAlign w:val="bottom"/>
          </w:tcPr>
          <w:p>
            <w:pPr>
              <w:spacing w:after="0"/>
              <w:rPr>
                <w:sz w:val="11"/>
                <w:szCs w:val="11"/>
                <w:color w:val="auto"/>
              </w:rPr>
            </w:pPr>
          </w:p>
        </w:tc>
        <w:tc>
          <w:tcPr>
            <w:tcW w:w="1140" w:type="dxa"/>
            <w:vAlign w:val="bottom"/>
            <w:gridSpan w:val="3"/>
          </w:tcPr>
          <w:p>
            <w:pPr>
              <w:jc w:val="right"/>
              <w:ind w:right="440"/>
              <w:spacing w:after="0" w:line="136"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for-Sale</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Investment</w:t>
            </w:r>
          </w:p>
        </w:tc>
        <w:tc>
          <w:tcPr>
            <w:tcW w:w="340" w:type="dxa"/>
            <w:vAlign w:val="bottom"/>
            <w:tcBorders>
              <w:bottom w:val="single" w:sz="8" w:color="CCEEFF"/>
            </w:tcBorders>
            <w:gridSpan w:val="2"/>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(Securitized)</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Total</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63,883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355,619</w:t>
            </w:r>
          </w:p>
        </w:tc>
        <w:tc>
          <w:tcPr>
            <w:tcW w:w="320" w:type="dxa"/>
            <w:vAlign w:val="bottom"/>
            <w:tcBorders>
              <w:left w:val="single" w:sz="8" w:color="CCEEFF"/>
            </w:tcBorders>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419,502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20"/>
                <w:szCs w:val="20"/>
                <w:color w:val="auto"/>
              </w:rPr>
            </w:pPr>
            <w:r>
              <w:rPr>
                <w:rFonts w:ascii="Arial" w:cs="Arial" w:eastAsia="Arial" w:hAnsi="Arial"/>
                <w:sz w:val="14"/>
                <w:szCs w:val="14"/>
                <w:color w:val="auto"/>
              </w:rPr>
              <w:t>Purchases of loans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169,442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251,681</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 of loans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(55,199)</w:t>
            </w: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(55,199)</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80" w:type="dxa"/>
            <w:vAlign w:val="bottom"/>
          </w:tcPr>
          <w:p>
            <w:pPr>
              <w:spacing w:after="0"/>
              <w:rPr>
                <w:sz w:val="13"/>
                <w:szCs w:val="13"/>
                <w:color w:val="auto"/>
              </w:rPr>
            </w:pPr>
          </w:p>
        </w:tc>
        <w:tc>
          <w:tcPr>
            <w:tcW w:w="7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1,115,049</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1,115,049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Immediate resale to investors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(1,115,049)</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4"/>
              </w:rPr>
              <w:t>(1,115,049)</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Repayments received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
              <w:spacing w:after="0" w:line="158" w:lineRule="exact"/>
              <w:rPr>
                <w:sz w:val="20"/>
                <w:szCs w:val="20"/>
                <w:color w:val="auto"/>
              </w:rPr>
            </w:pPr>
            <w:r>
              <w:rPr>
                <w:rFonts w:ascii="Arial" w:cs="Arial" w:eastAsia="Arial" w:hAnsi="Arial"/>
                <w:sz w:val="14"/>
                <w:szCs w:val="14"/>
                <w:color w:val="auto"/>
              </w:rPr>
              <w:t>(38,332)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(199,325)</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(237,657)</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(5,882)</w:t>
            </w: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(39,959)</w:t>
            </w:r>
          </w:p>
        </w:tc>
        <w:tc>
          <w:tcPr>
            <w:tcW w:w="32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(45,841)</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Other changes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738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2018</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134,650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368,016</w:t>
            </w:r>
          </w:p>
        </w:tc>
        <w:tc>
          <w:tcPr>
            <w:tcW w:w="320" w:type="dxa"/>
            <w:vAlign w:val="bottom"/>
            <w:tcBorders>
              <w:left w:val="single" w:sz="8" w:color="CCEEFF"/>
            </w:tcBorders>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502,666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Loans Held-for-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jc w:val="right"/>
              <w:ind w:right="340"/>
              <w:spacing w:after="0" w:line="136" w:lineRule="exact"/>
              <w:rPr>
                <w:sz w:val="20"/>
                <w:szCs w:val="20"/>
                <w:color w:val="auto"/>
              </w:rPr>
            </w:pPr>
            <w:r>
              <w:rPr>
                <w:rFonts w:ascii="Arial" w:cs="Arial" w:eastAsia="Arial" w:hAnsi="Arial"/>
                <w:sz w:val="12"/>
                <w:szCs w:val="12"/>
                <w:b w:val="1"/>
                <w:bCs w:val="1"/>
                <w:color w:val="auto"/>
                <w:w w:val="98"/>
              </w:rPr>
              <w:t>Loans Held-</w:t>
            </w:r>
          </w:p>
        </w:tc>
        <w:tc>
          <w:tcPr>
            <w:tcW w:w="140" w:type="dxa"/>
            <w:vAlign w:val="bottom"/>
          </w:tcPr>
          <w:p>
            <w:pPr>
              <w:spacing w:after="0"/>
              <w:rPr>
                <w:sz w:val="11"/>
                <w:szCs w:val="11"/>
                <w:color w:val="auto"/>
              </w:rPr>
            </w:pPr>
          </w:p>
        </w:tc>
        <w:tc>
          <w:tcPr>
            <w:tcW w:w="110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Loans Held-for-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for-Sale</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2"/>
                <w:szCs w:val="12"/>
                <w:b w:val="1"/>
                <w:bCs w:val="1"/>
                <w:color w:val="auto"/>
              </w:rPr>
              <w:t>Investment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(Securitized)</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Total</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Purchases of loans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265,286</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Sale of loans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(131,838)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(131,838)</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8" w:lineRule="exact"/>
              <w:rPr>
                <w:sz w:val="20"/>
                <w:szCs w:val="20"/>
                <w:color w:val="auto"/>
              </w:rPr>
            </w:pPr>
            <w:r>
              <w:rPr>
                <w:rFonts w:ascii="Arial" w:cs="Arial" w:eastAsia="Arial" w:hAnsi="Arial"/>
                <w:sz w:val="14"/>
                <w:szCs w:val="14"/>
                <w:color w:val="auto"/>
              </w:rPr>
              <w:t>1,779,180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71"/>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1,779,180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Immediate resale to investors</w:t>
            </w:r>
          </w:p>
        </w:tc>
        <w:tc>
          <w:tcPr>
            <w:tcW w:w="80" w:type="dxa"/>
            <w:vAlign w:val="bottom"/>
          </w:tcPr>
          <w:p>
            <w:pPr>
              <w:spacing w:after="0"/>
              <w:rPr>
                <w:sz w:val="13"/>
                <w:szCs w:val="13"/>
                <w:color w:val="auto"/>
              </w:rPr>
            </w:pPr>
          </w:p>
        </w:tc>
        <w:tc>
          <w:tcPr>
            <w:tcW w:w="1160" w:type="dxa"/>
            <w:vAlign w:val="bottom"/>
            <w:gridSpan w:val="5"/>
          </w:tcPr>
          <w:p>
            <w:pPr>
              <w:jc w:val="right"/>
              <w:ind w:right="260"/>
              <w:spacing w:after="0" w:line="158" w:lineRule="exact"/>
              <w:rPr>
                <w:sz w:val="20"/>
                <w:szCs w:val="20"/>
                <w:color w:val="auto"/>
              </w:rPr>
            </w:pPr>
            <w:r>
              <w:rPr>
                <w:rFonts w:ascii="Arial" w:cs="Arial" w:eastAsia="Arial" w:hAnsi="Arial"/>
                <w:sz w:val="14"/>
                <w:szCs w:val="14"/>
                <w:color w:val="auto"/>
              </w:rPr>
              <w:t>(1,779,180)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71"/>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4"/>
              </w:rPr>
              <w:t>(1,779,180)</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received</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(47,950)</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(158,921)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(206,871)</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(5,821)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(36,238)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(42,059)</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(72,757)</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(82,107)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(154,864)</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Other changes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3"/>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94"/>
              <w:spacing w:after="0" w:line="158"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141,555</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90,750</w:t>
            </w:r>
          </w:p>
        </w:tc>
        <w:tc>
          <w:tcPr>
            <w:tcW w:w="320" w:type="dxa"/>
            <w:vAlign w:val="bottom"/>
            <w:tcBorders>
              <w:left w:val="single" w:sz="8" w:color="CCEEFF"/>
            </w:tcBorders>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232,305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Loans Held-for-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780" w:type="dxa"/>
            <w:vAlign w:val="bottom"/>
            <w:gridSpan w:val="4"/>
          </w:tcPr>
          <w:p>
            <w:pPr>
              <w:jc w:val="center"/>
              <w:ind w:right="60"/>
              <w:spacing w:after="0" w:line="136" w:lineRule="exact"/>
              <w:rPr>
                <w:sz w:val="20"/>
                <w:szCs w:val="20"/>
                <w:color w:val="auto"/>
              </w:rPr>
            </w:pPr>
            <w:r>
              <w:rPr>
                <w:rFonts w:ascii="Arial" w:cs="Arial" w:eastAsia="Arial" w:hAnsi="Arial"/>
                <w:sz w:val="12"/>
                <w:szCs w:val="12"/>
                <w:b w:val="1"/>
                <w:bCs w:val="1"/>
                <w:color w:val="auto"/>
                <w:w w:val="98"/>
              </w:rPr>
              <w:t>Loans Held-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5"/>
          </w:tcPr>
          <w:p>
            <w:pPr>
              <w:spacing w:after="0" w:line="136" w:lineRule="exact"/>
              <w:rPr>
                <w:sz w:val="20"/>
                <w:szCs w:val="20"/>
                <w:color w:val="auto"/>
              </w:rPr>
            </w:pPr>
            <w:r>
              <w:rPr>
                <w:rFonts w:ascii="Arial" w:cs="Arial" w:eastAsia="Arial" w:hAnsi="Arial"/>
                <w:sz w:val="12"/>
                <w:szCs w:val="12"/>
                <w:b w:val="1"/>
                <w:bCs w:val="1"/>
                <w:color w:val="auto"/>
              </w:rPr>
              <w:t>Loans Held-for-</w:t>
            </w:r>
          </w:p>
        </w:tc>
        <w:tc>
          <w:tcPr>
            <w:tcW w:w="240" w:type="dxa"/>
            <w:vAlign w:val="bottom"/>
          </w:tcPr>
          <w:p>
            <w:pPr>
              <w:spacing w:after="0"/>
              <w:rPr>
                <w:sz w:val="11"/>
                <w:szCs w:val="11"/>
                <w:color w:val="auto"/>
              </w:rPr>
            </w:pPr>
          </w:p>
        </w:tc>
        <w:tc>
          <w:tcPr>
            <w:tcW w:w="1140" w:type="dxa"/>
            <w:vAlign w:val="bottom"/>
            <w:gridSpan w:val="3"/>
          </w:tcPr>
          <w:p>
            <w:pPr>
              <w:jc w:val="right"/>
              <w:ind w:right="440"/>
              <w:spacing w:after="0" w:line="136"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8"/>
              </w:rPr>
              <w:t>for-Sale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5"/>
          </w:tcPr>
          <w:p>
            <w:pPr>
              <w:ind w:left="140"/>
              <w:spacing w:after="0"/>
              <w:rPr>
                <w:sz w:val="20"/>
                <w:szCs w:val="20"/>
                <w:color w:val="auto"/>
              </w:rPr>
            </w:pPr>
            <w:r>
              <w:rPr>
                <w:rFonts w:ascii="Arial" w:cs="Arial" w:eastAsia="Arial" w:hAnsi="Arial"/>
                <w:sz w:val="12"/>
                <w:szCs w:val="12"/>
                <w:b w:val="1"/>
                <w:bCs w:val="1"/>
                <w:color w:val="auto"/>
              </w:rPr>
              <w:t>Investment</w:t>
            </w:r>
          </w:p>
        </w:tc>
        <w:tc>
          <w:tcPr>
            <w:tcW w:w="240" w:type="dxa"/>
            <w:vAlign w:val="bottom"/>
          </w:tcPr>
          <w:p>
            <w:pPr>
              <w:spacing w:after="0"/>
              <w:rPr>
                <w:sz w:val="12"/>
                <w:szCs w:val="12"/>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(Securitized)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5"/>
          </w:tcPr>
          <w:p>
            <w:pPr>
              <w:ind w:left="58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Transfer of loans from held-for-investment to held-for-sale</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125,297</w:t>
            </w:r>
          </w:p>
        </w:tc>
        <w:tc>
          <w:tcPr>
            <w:tcW w:w="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(125,297)</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Purchases of loans</w:t>
            </w:r>
          </w:p>
        </w:tc>
        <w:tc>
          <w:tcPr>
            <w:tcW w:w="8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109,113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52"/>
              <w:spacing w:after="0" w:line="158" w:lineRule="exact"/>
              <w:rPr>
                <w:sz w:val="20"/>
                <w:szCs w:val="20"/>
                <w:color w:val="auto"/>
              </w:rPr>
            </w:pPr>
            <w:r>
              <w:rPr>
                <w:rFonts w:ascii="Arial" w:cs="Arial" w:eastAsia="Arial" w:hAnsi="Arial"/>
                <w:sz w:val="14"/>
                <w:szCs w:val="14"/>
                <w:color w:val="auto"/>
              </w:rPr>
              <w:t>3,774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112,887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 of loans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(94,949)</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(94,949)</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8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99"/>
              </w:rPr>
              <w:t>1,554,705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1,554,705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Immediate resale to investors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w w:val="92"/>
              </w:rPr>
              <w:t>(1,554,705)</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4"/>
              </w:rPr>
              <w:t>(1,554,705)</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Repayments received</w:t>
            </w:r>
          </w:p>
        </w:tc>
        <w:tc>
          <w:tcPr>
            <w:tcW w:w="80" w:type="dxa"/>
            <w:vAlign w:val="bottom"/>
          </w:tcPr>
          <w:p>
            <w:pPr>
              <w:spacing w:after="0"/>
              <w:rPr>
                <w:sz w:val="13"/>
                <w:szCs w:val="13"/>
                <w:color w:val="auto"/>
              </w:rPr>
            </w:pPr>
          </w:p>
        </w:tc>
        <w:tc>
          <w:tcPr>
            <w:tcW w:w="70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(23,390)</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
              <w:spacing w:after="0" w:line="158" w:lineRule="exact"/>
              <w:rPr>
                <w:sz w:val="20"/>
                <w:szCs w:val="20"/>
                <w:color w:val="auto"/>
              </w:rPr>
            </w:pPr>
            <w:r>
              <w:rPr>
                <w:rFonts w:ascii="Arial" w:cs="Arial" w:eastAsia="Arial" w:hAnsi="Arial"/>
                <w:sz w:val="14"/>
                <w:szCs w:val="14"/>
                <w:color w:val="auto"/>
              </w:rPr>
              <w:t>(4,124)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(24,018)</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(51,532)</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(7,940)</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(1,352)</w:t>
            </w: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(9,508)</w:t>
            </w:r>
          </w:p>
        </w:tc>
        <w:tc>
          <w:tcPr>
            <w:tcW w:w="32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(18,800)</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(57,222)</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(57,222)</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w:t>
            </w:r>
          </w:p>
        </w:tc>
        <w:tc>
          <w:tcPr>
            <w:tcW w:w="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w:t>
            </w:r>
          </w:p>
        </w:tc>
        <w:tc>
          <w:tcPr>
            <w:tcW w:w="32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September 30, 2020</w:t>
            </w: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20" w:type="dxa"/>
            <w:vAlign w:val="bottom"/>
            <w:vMerge w:val="continue"/>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108,146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14,562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122,708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20"/>
          </w:cols>
          <w:pgMar w:left="320" w:top="407" w:right="1359" w:bottom="1440" w:gutter="0" w:footer="0" w:header="0"/>
        </w:sectPr>
      </w:pPr>
    </w:p>
    <w:bookmarkStart w:id="273" w:name="page274"/>
    <w:bookmarkEnd w:id="2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Notes Payable</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As of December 31, 2018, the notes payable balance of $53.2 million consisted of amounts owed to investors for their purchases of fractional interests in loans issued by the Company’s consolidated VIE, UNT. As of December 31, 2019, and September 30, 2020 (unaudited), the notes payable balance was zero due to the deconsolidation of UNT.</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Notes payable is measured at estimated fair value using a discounted cash flow model. The fair valuation methodology considers projected prepayments and historical defaults, losses and recoveries on the Company’s loans to project future losses and net cash flows on loans. Net cash flows on loans are discounted using an estimate of market rates of return.</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notes payable held:</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7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98"/>
              </w:rPr>
              <w:t>December 31, 2018</w:t>
            </w: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2"/>
                <w:szCs w:val="12"/>
                <w:b w:val="1"/>
                <w:bCs w:val="1"/>
                <w:color w:val="auto"/>
                <w:w w:val="99"/>
              </w:rPr>
              <w:t>December 31, 2019</w:t>
            </w: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2"/>
                <w:szCs w:val="12"/>
                <w:b w:val="1"/>
                <w:bCs w:val="1"/>
                <w:color w:val="auto"/>
                <w:w w:val="99"/>
              </w:rPr>
              <w:t>September 30, 2020</w:t>
            </w: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Weighted-</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6"/>
              </w:rPr>
              <w:t>Weighted-</w:t>
            </w:r>
          </w:p>
        </w:tc>
        <w:tc>
          <w:tcPr>
            <w:tcW w:w="540" w:type="dxa"/>
            <w:vAlign w:val="bottom"/>
          </w:tcPr>
          <w:p>
            <w:pPr>
              <w:spacing w:after="0"/>
              <w:rPr>
                <w:sz w:val="13"/>
                <w:szCs w:val="13"/>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2"/>
                <w:szCs w:val="12"/>
                <w:b w:val="1"/>
                <w:bCs w:val="1"/>
                <w:i w:val="1"/>
                <w:iCs w:val="1"/>
                <w:color w:val="auto"/>
              </w:rPr>
              <w:t>(unaudited)</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Minimum</w:t>
            </w:r>
          </w:p>
        </w:tc>
        <w:tc>
          <w:tcPr>
            <w:tcW w:w="22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7"/>
              </w:rPr>
              <w:t>Maximum</w:t>
            </w:r>
          </w:p>
        </w:tc>
        <w:tc>
          <w:tcPr>
            <w:tcW w:w="9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94"/>
              </w:rPr>
              <w:t>Minimum</w:t>
            </w:r>
          </w:p>
        </w:tc>
        <w:tc>
          <w:tcPr>
            <w:tcW w:w="24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7"/>
              </w:rPr>
              <w:t>Maximum</w:t>
            </w:r>
          </w:p>
        </w:tc>
        <w:tc>
          <w:tcPr>
            <w:tcW w:w="840" w:type="dxa"/>
            <w:vAlign w:val="bottom"/>
            <w:gridSpan w:val="2"/>
          </w:tcPr>
          <w:p>
            <w:pPr>
              <w:jc w:val="right"/>
              <w:ind w:right="260"/>
              <w:spacing w:after="0" w:line="150" w:lineRule="exact"/>
              <w:rPr>
                <w:sz w:val="20"/>
                <w:szCs w:val="20"/>
                <w:color w:val="auto"/>
              </w:rPr>
            </w:pPr>
            <w:r>
              <w:rPr>
                <w:rFonts w:ascii="Arial" w:cs="Arial" w:eastAsia="Arial" w:hAnsi="Arial"/>
                <w:sz w:val="11"/>
                <w:szCs w:val="11"/>
                <w:b w:val="1"/>
                <w:bCs w:val="1"/>
                <w:color w:val="auto"/>
                <w:w w:val="97"/>
              </w:rPr>
              <w:t>Average</w:t>
            </w:r>
            <w:r>
              <w:rPr>
                <w:rFonts w:ascii="Arial" w:cs="Arial" w:eastAsia="Arial" w:hAnsi="Arial"/>
                <w:sz w:val="17"/>
                <w:szCs w:val="17"/>
                <w:b w:val="1"/>
                <w:bCs w:val="1"/>
                <w:color w:val="auto"/>
                <w:w w:val="97"/>
                <w:vertAlign w:val="superscript"/>
              </w:rPr>
              <w:t>(2)</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98"/>
              </w:rPr>
              <w:t>Minimum</w:t>
            </w:r>
          </w:p>
        </w:tc>
        <w:tc>
          <w:tcPr>
            <w:tcW w:w="26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Maximum</w:t>
            </w:r>
          </w:p>
        </w:tc>
        <w:tc>
          <w:tcPr>
            <w:tcW w:w="640" w:type="dxa"/>
            <w:vAlign w:val="bottom"/>
          </w:tcPr>
          <w:p>
            <w:pPr>
              <w:jc w:val="right"/>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00" w:type="dxa"/>
            <w:vAlign w:val="bottom"/>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5.52%</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14.58%</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5.78%</w:t>
            </w:r>
          </w:p>
        </w:tc>
        <w:tc>
          <w:tcPr>
            <w:tcW w:w="5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70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0.05%</w:t>
            </w:r>
          </w:p>
        </w:tc>
        <w:tc>
          <w:tcPr>
            <w:tcW w:w="116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43.21%</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12.19%</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6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22.16%</w:t>
            </w:r>
          </w:p>
        </w:tc>
        <w:tc>
          <w:tcPr>
            <w:tcW w:w="116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33.37%</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25.67%</w:t>
            </w:r>
          </w:p>
        </w:tc>
        <w:tc>
          <w:tcPr>
            <w:tcW w:w="54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hanging="453"/>
        <w:spacing w:after="0"/>
        <w:tabs>
          <w:tab w:leader="none" w:pos="14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Expressed as a percentage of the original principal balance of the loans underlying the financial instruments</w:t>
      </w:r>
    </w:p>
    <w:p>
      <w:pPr>
        <w:ind w:left="1480" w:hanging="453"/>
        <w:spacing w:after="0" w:line="235" w:lineRule="auto"/>
        <w:tabs>
          <w:tab w:leader="none" w:pos="14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Unobservable inputs were weighted by relative fair value</w:t>
      </w:r>
    </w:p>
    <w:p>
      <w:pPr>
        <w:ind w:left="1480" w:right="4360" w:hanging="453"/>
        <w:spacing w:after="0" w:line="486" w:lineRule="auto"/>
        <w:tabs>
          <w:tab w:leader="none" w:pos="147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 xml:space="preserve">Not applicable as of December 31, 2019 and September 30, 2020 </w:t>
      </w:r>
      <w:r>
        <w:rPr>
          <w:rFonts w:ascii="Arial" w:cs="Arial" w:eastAsia="Arial" w:hAnsi="Arial"/>
          <w:sz w:val="15"/>
          <w:szCs w:val="15"/>
          <w:i w:val="1"/>
          <w:iCs w:val="1"/>
          <w:color w:val="auto"/>
        </w:rPr>
        <w:t>Significant Recurring Level 3 Fair Value Input Sensitivity</w:t>
      </w:r>
    </w:p>
    <w:p>
      <w:pPr>
        <w:ind w:left="1020" w:right="160" w:firstLine="460"/>
        <w:spacing w:after="0"/>
        <w:rPr>
          <w:sz w:val="20"/>
          <w:szCs w:val="20"/>
          <w:color w:val="auto"/>
        </w:rPr>
      </w:pPr>
      <w:r>
        <w:rPr>
          <w:rFonts w:ascii="Arial" w:cs="Arial" w:eastAsia="Arial" w:hAnsi="Arial"/>
          <w:sz w:val="15"/>
          <w:szCs w:val="15"/>
          <w:color w:val="auto"/>
        </w:rPr>
        <w:t>The table below presents sensitivity of the notes payable to adverse changes in key assumptions used in the valuation models as of December 31, 2018. The estimated fair value of notes payable is not sensitive to adverse changes in expected prepayment rates as such changes would not result in a significant impact on the fair value.</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100" w:type="dxa"/>
            <w:vAlign w:val="bottom"/>
          </w:tcPr>
          <w:p>
            <w:pPr>
              <w:spacing w:after="0"/>
              <w:rPr>
                <w:sz w:val="20"/>
                <w:szCs w:val="20"/>
                <w:color w:val="auto"/>
              </w:rPr>
            </w:pPr>
            <w:r>
              <w:rPr>
                <w:rFonts w:ascii="Arial" w:cs="Arial" w:eastAsia="Arial" w:hAnsi="Arial"/>
                <w:sz w:val="12"/>
                <w:szCs w:val="12"/>
                <w:i w:val="1"/>
                <w:iCs w:val="1"/>
                <w:color w:val="auto"/>
              </w:rPr>
              <w:t>(amounts in thousands)</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December 31, 2018</w:t>
            </w:r>
          </w:p>
        </w:tc>
        <w:tc>
          <w:tcPr>
            <w:tcW w:w="420" w:type="dxa"/>
            <w:vAlign w:val="bottom"/>
          </w:tcPr>
          <w:p>
            <w:pPr>
              <w:spacing w:after="0"/>
              <w:rPr>
                <w:sz w:val="12"/>
                <w:szCs w:val="12"/>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w w:val="98"/>
              </w:rPr>
              <w:t>December 31, 2019</w:t>
            </w:r>
          </w:p>
        </w:tc>
        <w:tc>
          <w:tcPr>
            <w:tcW w:w="860" w:type="dxa"/>
            <w:vAlign w:val="bottom"/>
          </w:tcPr>
          <w:p>
            <w:pPr>
              <w:spacing w:after="0"/>
              <w:rPr>
                <w:sz w:val="12"/>
                <w:szCs w:val="12"/>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30, 2020</w:t>
            </w:r>
          </w:p>
        </w:tc>
      </w:tr>
      <w:tr>
        <w:trPr>
          <w:trHeight w:val="126"/>
        </w:trPr>
        <w:tc>
          <w:tcPr>
            <w:tcW w:w="4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of notes payable</w:t>
            </w:r>
          </w:p>
        </w:tc>
        <w:tc>
          <w:tcPr>
            <w:tcW w:w="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53,174</w:t>
            </w:r>
          </w:p>
        </w:tc>
        <w:tc>
          <w:tcPr>
            <w:tcW w:w="4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20"/>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ind w:left="860"/>
              <w:spacing w:after="0" w:line="158"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ind w:left="760"/>
              <w:spacing w:after="0" w:line="158" w:lineRule="exact"/>
              <w:rPr>
                <w:sz w:val="20"/>
                <w:szCs w:val="20"/>
                <w:color w:val="auto"/>
              </w:rPr>
            </w:pPr>
            <w:r>
              <w:rPr>
                <w:rFonts w:ascii="Arial" w:cs="Arial" w:eastAsia="Arial" w:hAnsi="Arial"/>
                <w:sz w:val="14"/>
                <w:szCs w:val="14"/>
                <w:b w:val="1"/>
                <w:bCs w:val="1"/>
                <w:color w:val="auto"/>
              </w:rPr>
              <w:t>—</w:t>
            </w:r>
          </w:p>
        </w:tc>
      </w:tr>
      <w:tr>
        <w:trPr>
          <w:trHeight w:val="160"/>
        </w:trPr>
        <w:tc>
          <w:tcPr>
            <w:tcW w:w="4100" w:type="dxa"/>
            <w:vAlign w:val="bottom"/>
          </w:tcPr>
          <w:p>
            <w:pPr>
              <w:spacing w:after="0"/>
              <w:rPr>
                <w:sz w:val="20"/>
                <w:szCs w:val="20"/>
                <w:color w:val="auto"/>
              </w:rPr>
            </w:pPr>
            <w:r>
              <w:rPr>
                <w:rFonts w:ascii="Arial" w:cs="Arial" w:eastAsia="Arial" w:hAnsi="Arial"/>
                <w:sz w:val="14"/>
                <w:szCs w:val="14"/>
                <w:color w:val="auto"/>
              </w:rPr>
              <w:t>Discount rates</w:t>
            </w:r>
          </w:p>
        </w:tc>
        <w:tc>
          <w:tcPr>
            <w:tcW w:w="3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1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100 basis point increase</w:t>
            </w: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(696)</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line="158" w:lineRule="exact"/>
              <w:rPr>
                <w:sz w:val="20"/>
                <w:szCs w:val="20"/>
                <w:color w:val="auto"/>
              </w:rPr>
            </w:pPr>
            <w:r>
              <w:rPr>
                <w:rFonts w:ascii="Arial" w:cs="Arial" w:eastAsia="Arial" w:hAnsi="Arial"/>
                <w:sz w:val="14"/>
                <w:szCs w:val="14"/>
                <w:color w:val="auto"/>
              </w:rPr>
              <w:t>—</w:t>
            </w:r>
          </w:p>
        </w:tc>
      </w:tr>
      <w:tr>
        <w:trPr>
          <w:trHeight w:val="158"/>
        </w:trPr>
        <w:tc>
          <w:tcPr>
            <w:tcW w:w="4100" w:type="dxa"/>
            <w:vAlign w:val="bottom"/>
          </w:tcPr>
          <w:p>
            <w:pPr>
              <w:ind w:left="280"/>
              <w:spacing w:after="0" w:line="158" w:lineRule="exact"/>
              <w:rPr>
                <w:sz w:val="20"/>
                <w:szCs w:val="20"/>
                <w:color w:val="auto"/>
              </w:rPr>
            </w:pPr>
            <w:r>
              <w:rPr>
                <w:rFonts w:ascii="Arial" w:cs="Arial" w:eastAsia="Arial" w:hAnsi="Arial"/>
                <w:sz w:val="14"/>
                <w:szCs w:val="14"/>
                <w:color w:val="auto"/>
              </w:rPr>
              <w:t>200 basis point increase</w:t>
            </w:r>
          </w:p>
        </w:tc>
        <w:tc>
          <w:tcPr>
            <w:tcW w:w="360" w:type="dxa"/>
            <w:vAlign w:val="bottom"/>
          </w:tcPr>
          <w:p>
            <w:pPr>
              <w:spacing w:after="0"/>
              <w:rPr>
                <w:sz w:val="13"/>
                <w:szCs w:val="13"/>
                <w:color w:val="auto"/>
              </w:rPr>
            </w:pPr>
          </w:p>
        </w:tc>
        <w:tc>
          <w:tcPr>
            <w:tcW w:w="120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(1,377)</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400"/>
              <w:spacing w:after="0" w:line="158"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760"/>
              <w:spacing w:after="0" w:line="158" w:lineRule="exact"/>
              <w:rPr>
                <w:sz w:val="20"/>
                <w:szCs w:val="20"/>
                <w:color w:val="auto"/>
              </w:rPr>
            </w:pPr>
            <w:r>
              <w:rPr>
                <w:rFonts w:ascii="Arial" w:cs="Arial" w:eastAsia="Arial" w:hAnsi="Arial"/>
                <w:sz w:val="14"/>
                <w:szCs w:val="14"/>
                <w:color w:val="auto"/>
              </w:rPr>
              <w:t>—</w:t>
            </w: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credit risk rates on underlying loans</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10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360" w:type="dxa"/>
            <w:vAlign w:val="bottom"/>
          </w:tcPr>
          <w:p>
            <w:pPr>
              <w:spacing w:after="0"/>
              <w:rPr>
                <w:sz w:val="13"/>
                <w:szCs w:val="13"/>
                <w:color w:val="auto"/>
              </w:rPr>
            </w:pPr>
          </w:p>
        </w:tc>
        <w:tc>
          <w:tcPr>
            <w:tcW w:w="120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(917)</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400"/>
              <w:spacing w:after="0" w:line="158"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760"/>
              <w:spacing w:after="0" w:line="158" w:lineRule="exact"/>
              <w:rPr>
                <w:sz w:val="20"/>
                <w:szCs w:val="20"/>
                <w:color w:val="auto"/>
              </w:rPr>
            </w:pPr>
            <w:r>
              <w:rPr>
                <w:rFonts w:ascii="Arial" w:cs="Arial" w:eastAsia="Arial" w:hAnsi="Arial"/>
                <w:sz w:val="14"/>
                <w:szCs w:val="14"/>
                <w:color w:val="auto"/>
              </w:rPr>
              <w:t>—</w:t>
            </w:r>
          </w:p>
        </w:tc>
      </w:tr>
      <w:tr>
        <w:trPr>
          <w:trHeight w:val="158"/>
        </w:trPr>
        <w:tc>
          <w:tcPr>
            <w:tcW w:w="41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(1,836)</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line="158" w:lineRule="exact"/>
              <w:rPr>
                <w:sz w:val="20"/>
                <w:szCs w:val="20"/>
                <w:color w:val="auto"/>
              </w:rPr>
            </w:pPr>
            <w:r>
              <w:rPr>
                <w:rFonts w:ascii="Arial" w:cs="Arial" w:eastAsia="Arial" w:hAnsi="Arial"/>
                <w:sz w:val="14"/>
                <w:szCs w:val="14"/>
                <w:color w:val="auto"/>
              </w:rPr>
              <w:t>—</w:t>
            </w:r>
          </w:p>
        </w:tc>
      </w:tr>
    </w:tbl>
    <w:p>
      <w:pPr>
        <w:spacing w:after="0" w:line="12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7" w:right="1359" w:bottom="1440" w:gutter="0" w:footer="0" w:header="0"/>
        </w:sectPr>
      </w:pPr>
    </w:p>
    <w:bookmarkStart w:id="274" w:name="page275"/>
    <w:bookmarkEnd w:id="2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following table presents a rollforward of the notes payable classified by the Company within Level 3 of the fair value hierarchy (in thousands):</w:t>
      </w:r>
    </w:p>
    <w:p>
      <w:pPr>
        <w:sectPr>
          <w:pgSz w:w="11900" w:h="16838" w:orient="portrait"/>
          <w:cols w:equalWidth="0" w:num="1">
            <w:col w:w="10180"/>
          </w:cols>
          <w:pgMar w:left="320" w:top="407" w:right="1399" w:bottom="1440" w:gutter="0" w:footer="0" w:header="0"/>
        </w:sectPr>
      </w:pPr>
    </w:p>
    <w:p>
      <w:pPr>
        <w:spacing w:after="0" w:line="310"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Fair value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73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Issuance of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wp:posOffset>
            </wp:positionV>
            <wp:extent cx="5838190" cy="1003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4"/>
          <w:szCs w:val="14"/>
          <w:color w:val="auto"/>
        </w:rPr>
        <w:t>Repayments and settlements</w:t>
      </w:r>
    </w:p>
    <w:p>
      <w:pPr>
        <w:ind w:left="1020"/>
        <w:spacing w:after="0" w:line="235" w:lineRule="auto"/>
        <w:rPr>
          <w:sz w:val="20"/>
          <w:szCs w:val="20"/>
          <w:color w:val="auto"/>
        </w:rPr>
      </w:pPr>
      <w:r>
        <w:rPr>
          <w:rFonts w:ascii="Arial" w:cs="Arial" w:eastAsia="Arial" w:hAnsi="Arial"/>
          <w:sz w:val="14"/>
          <w:szCs w:val="14"/>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Other changes</w:t>
      </w:r>
    </w:p>
    <w:p>
      <w:pPr>
        <w:spacing w:after="0" w:line="9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Fair value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21590</wp:posOffset>
            </wp:positionV>
            <wp:extent cx="5838190" cy="1003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Issuance of notes payable</w:t>
      </w:r>
    </w:p>
    <w:p>
      <w:pPr>
        <w:ind w:left="1020"/>
        <w:spacing w:after="0" w:line="235" w:lineRule="auto"/>
        <w:rPr>
          <w:sz w:val="20"/>
          <w:szCs w:val="20"/>
          <w:color w:val="auto"/>
        </w:rPr>
      </w:pPr>
      <w:r>
        <w:rPr>
          <w:rFonts w:ascii="Arial" w:cs="Arial" w:eastAsia="Arial" w:hAnsi="Arial"/>
          <w:sz w:val="14"/>
          <w:szCs w:val="14"/>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4"/>
          <w:szCs w:val="14"/>
          <w:color w:val="auto"/>
        </w:rPr>
        <w:t>Changes in fair value recorded in earnings</w:t>
      </w:r>
    </w:p>
    <w:p>
      <w:pPr>
        <w:ind w:left="1020"/>
        <w:spacing w:after="0" w:line="235" w:lineRule="auto"/>
        <w:rPr>
          <w:sz w:val="20"/>
          <w:szCs w:val="20"/>
          <w:color w:val="auto"/>
        </w:rPr>
      </w:pPr>
      <w:r>
        <w:rPr>
          <w:rFonts w:ascii="Arial" w:cs="Arial" w:eastAsia="Arial" w:hAnsi="Arial"/>
          <w:sz w:val="14"/>
          <w:szCs w:val="14"/>
          <w:color w:val="auto"/>
        </w:rPr>
        <w:t>Changes due to deconsolidation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Other changes</w:t>
      </w:r>
    </w:p>
    <w:p>
      <w:pPr>
        <w:spacing w:after="0" w:line="9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Fair value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21590</wp:posOffset>
            </wp:positionV>
            <wp:extent cx="5838190" cy="1003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Issuance of notes payable (unaudited)</w:t>
      </w:r>
    </w:p>
    <w:p>
      <w:pPr>
        <w:ind w:left="1020"/>
        <w:spacing w:after="0" w:line="235" w:lineRule="auto"/>
        <w:rPr>
          <w:sz w:val="20"/>
          <w:szCs w:val="20"/>
          <w:color w:val="auto"/>
        </w:rPr>
      </w:pPr>
      <w:r>
        <w:rPr>
          <w:rFonts w:ascii="Arial" w:cs="Arial" w:eastAsia="Arial" w:hAnsi="Arial"/>
          <w:sz w:val="14"/>
          <w:szCs w:val="14"/>
          <w:color w:val="auto"/>
        </w:rPr>
        <w:t>Repayments and settlements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2"/>
          <w:szCs w:val="12"/>
          <w:color w:val="auto"/>
        </w:rPr>
        <w:t>Changes in fair value recorded in earnings (unaudited)</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Other changes (unaudited)</w:t>
      </w:r>
    </w:p>
    <w:p>
      <w:pPr>
        <w:spacing w:after="0" w:line="9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Fair value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03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Notes Payable</w:t>
      </w:r>
    </w:p>
    <w:p>
      <w:pPr>
        <w:spacing w:after="0" w:line="20" w:lineRule="exact"/>
        <w:rPr>
          <w:sz w:val="20"/>
          <w:szCs w:val="20"/>
          <w:color w:val="auto"/>
        </w:rPr>
      </w:pPr>
    </w:p>
    <w:p>
      <w:pPr>
        <w:ind w:left="420" w:hanging="414"/>
        <w:spacing w:after="0"/>
        <w:tabs>
          <w:tab w:leader="none" w:pos="4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34,713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4"/>
          <w:szCs w:val="14"/>
          <w:color w:val="auto"/>
        </w:rPr>
        <w:t>42,537</w:t>
      </w:r>
    </w:p>
    <w:p>
      <w:pPr>
        <w:jc w:val="right"/>
        <w:ind w:right="20"/>
        <w:spacing w:after="0" w:line="235" w:lineRule="auto"/>
        <w:rPr>
          <w:sz w:val="20"/>
          <w:szCs w:val="20"/>
          <w:color w:val="auto"/>
        </w:rPr>
      </w:pPr>
      <w:r>
        <w:rPr>
          <w:rFonts w:ascii="Arial" w:cs="Arial" w:eastAsia="Arial" w:hAnsi="Arial"/>
          <w:sz w:val="14"/>
          <w:szCs w:val="14"/>
          <w:color w:val="auto"/>
        </w:rPr>
        <w:t>(21,127)</w:t>
      </w:r>
    </w:p>
    <w:p>
      <w:pPr>
        <w:jc w:val="right"/>
        <w:ind w:right="20"/>
        <w:spacing w:after="0" w:line="235" w:lineRule="auto"/>
        <w:rPr>
          <w:sz w:val="20"/>
          <w:szCs w:val="20"/>
          <w:color w:val="auto"/>
        </w:rPr>
      </w:pPr>
      <w:r>
        <w:rPr>
          <w:rFonts w:ascii="Arial" w:cs="Arial" w:eastAsia="Arial" w:hAnsi="Arial"/>
          <w:sz w:val="14"/>
          <w:szCs w:val="14"/>
          <w:color w:val="auto"/>
        </w:rPr>
        <w:t>(3,117)</w:t>
      </w:r>
    </w:p>
    <w:p>
      <w:pPr>
        <w:jc w:val="right"/>
        <w:ind w:right="60"/>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89" w:lineRule="exact"/>
        <w:rPr>
          <w:sz w:val="20"/>
          <w:szCs w:val="20"/>
          <w:color w:val="auto"/>
        </w:rPr>
      </w:pPr>
    </w:p>
    <w:p>
      <w:pPr>
        <w:ind w:left="420" w:hanging="414"/>
        <w:spacing w:after="0"/>
        <w:tabs>
          <w:tab w:leader="none" w:pos="4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53,174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4"/>
          <w:szCs w:val="14"/>
          <w:color w:val="auto"/>
        </w:rPr>
        <w:t>39,863</w:t>
      </w:r>
    </w:p>
    <w:p>
      <w:pPr>
        <w:jc w:val="right"/>
        <w:ind w:right="20"/>
        <w:spacing w:after="0" w:line="235" w:lineRule="auto"/>
        <w:rPr>
          <w:sz w:val="20"/>
          <w:szCs w:val="20"/>
          <w:color w:val="auto"/>
        </w:rPr>
      </w:pPr>
      <w:r>
        <w:rPr>
          <w:rFonts w:ascii="Arial" w:cs="Arial" w:eastAsia="Arial" w:hAnsi="Arial"/>
          <w:sz w:val="14"/>
          <w:szCs w:val="14"/>
          <w:color w:val="auto"/>
        </w:rPr>
        <w:t>(22,468)</w:t>
      </w:r>
    </w:p>
    <w:p>
      <w:pPr>
        <w:jc w:val="right"/>
        <w:ind w:right="20"/>
        <w:spacing w:after="0" w:line="235" w:lineRule="auto"/>
        <w:rPr>
          <w:sz w:val="20"/>
          <w:szCs w:val="20"/>
          <w:color w:val="auto"/>
        </w:rPr>
      </w:pPr>
      <w:r>
        <w:rPr>
          <w:rFonts w:ascii="Arial" w:cs="Arial" w:eastAsia="Arial" w:hAnsi="Arial"/>
          <w:sz w:val="14"/>
          <w:szCs w:val="14"/>
          <w:color w:val="auto"/>
        </w:rPr>
        <w:t>(736)</w:t>
      </w:r>
    </w:p>
    <w:p>
      <w:pPr>
        <w:jc w:val="right"/>
        <w:ind w:right="20"/>
        <w:spacing w:after="0" w:line="235" w:lineRule="auto"/>
        <w:rPr>
          <w:sz w:val="20"/>
          <w:szCs w:val="20"/>
          <w:color w:val="auto"/>
        </w:rPr>
      </w:pPr>
      <w:r>
        <w:rPr>
          <w:rFonts w:ascii="Arial" w:cs="Arial" w:eastAsia="Arial" w:hAnsi="Arial"/>
          <w:sz w:val="14"/>
          <w:szCs w:val="14"/>
          <w:color w:val="auto"/>
        </w:rPr>
        <w:t>(69,419)</w:t>
      </w:r>
    </w:p>
    <w:p>
      <w:pPr>
        <w:jc w:val="right"/>
        <w:ind w:right="20"/>
        <w:spacing w:after="0"/>
        <w:rPr>
          <w:sz w:val="20"/>
          <w:szCs w:val="20"/>
          <w:color w:val="auto"/>
        </w:rPr>
      </w:pPr>
      <w:r>
        <w:rPr>
          <w:rFonts w:ascii="Arial" w:cs="Arial" w:eastAsia="Arial" w:hAnsi="Arial"/>
          <w:sz w:val="14"/>
          <w:szCs w:val="14"/>
          <w:color w:val="auto"/>
        </w:rPr>
        <w:t>(414)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89" w:lineRule="exact"/>
        <w:rPr>
          <w:sz w:val="20"/>
          <w:szCs w:val="20"/>
          <w:color w:val="auto"/>
        </w:rPr>
      </w:pPr>
    </w:p>
    <w:p>
      <w:pPr>
        <w:ind w:left="620" w:hanging="614"/>
        <w:spacing w:after="0"/>
        <w:tabs>
          <w:tab w:leader="none" w:pos="6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w:t>
      </w:r>
    </w:p>
    <w:p>
      <w:pPr>
        <w:spacing w:after="0" w:line="16"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w:t>
      </w:r>
    </w:p>
    <w:p>
      <w:pPr>
        <w:ind w:left="620"/>
        <w:spacing w:after="0" w:line="235" w:lineRule="auto"/>
        <w:rPr>
          <w:rFonts w:ascii="Arial" w:cs="Arial" w:eastAsia="Arial" w:hAnsi="Arial"/>
          <w:sz w:val="14"/>
          <w:szCs w:val="14"/>
          <w:color w:val="auto"/>
        </w:rPr>
      </w:pPr>
      <w:r>
        <w:rPr>
          <w:rFonts w:ascii="Arial" w:cs="Arial" w:eastAsia="Arial" w:hAnsi="Arial"/>
          <w:sz w:val="14"/>
          <w:szCs w:val="14"/>
          <w:color w:val="auto"/>
        </w:rPr>
        <w:t>—</w:t>
      </w:r>
    </w:p>
    <w:p>
      <w:pPr>
        <w:ind w:left="620"/>
        <w:spacing w:after="0" w:line="235" w:lineRule="auto"/>
        <w:rPr>
          <w:rFonts w:ascii="Arial" w:cs="Arial" w:eastAsia="Arial" w:hAnsi="Arial"/>
          <w:sz w:val="14"/>
          <w:szCs w:val="14"/>
          <w:color w:val="auto"/>
        </w:rPr>
      </w:pPr>
      <w:r>
        <w:rPr>
          <w:rFonts w:ascii="Arial" w:cs="Arial" w:eastAsia="Arial" w:hAnsi="Arial"/>
          <w:sz w:val="14"/>
          <w:szCs w:val="14"/>
          <w:color w:val="auto"/>
        </w:rPr>
        <w:t>—</w:t>
      </w:r>
    </w:p>
    <w:p>
      <w:pPr>
        <w:ind w:left="62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-417195</wp:posOffset>
            </wp:positionV>
            <wp:extent cx="52959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959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89" w:lineRule="exact"/>
        <w:rPr>
          <w:sz w:val="20"/>
          <w:szCs w:val="20"/>
          <w:color w:val="auto"/>
        </w:rPr>
      </w:pPr>
    </w:p>
    <w:p>
      <w:pPr>
        <w:ind w:left="620" w:hanging="614"/>
        <w:spacing w:after="0"/>
        <w:tabs>
          <w:tab w:leader="none" w:pos="6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2959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11430</wp:posOffset>
            </wp:positionV>
            <wp:extent cx="52959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900"/>
          </w:cols>
          <w:pgMar w:left="320" w:top="407" w:right="1399" w:bottom="1440" w:gutter="0" w:footer="0" w:header="0"/>
          <w:type w:val="continuous"/>
        </w:sectPr>
      </w:pPr>
    </w:p>
    <w:p>
      <w:pPr>
        <w:spacing w:after="0" w:line="9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Assets and Liabilities related to Securitization Transactions</w:t>
      </w:r>
    </w:p>
    <w:p>
      <w:pPr>
        <w:spacing w:after="0" w:line="10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As of December 31, 2018 and 2019, and September 30, 2020 (unaudited), the Company held notes receivable and residual certificates with an aggregate fair value of $8.3 million, $34.1 million, and $22.1 million, respectively. The balances consist of securitization notes and residual certificates corresponding to the 5% economic risk retention the Company is required to maintain as the retaining sponsor of the unconsolidated securitizations. As of December 31, 2018 and 2019, and September 30, 2020 (unaudited), the Company also had payables to securitization note holders and residual certificate holders with an aggregate fair value of $353.3 million,</w:t>
      </w:r>
    </w:p>
    <w:p>
      <w:pPr>
        <w:spacing w:after="0" w:line="1"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$89.7 million, and $0 million, respectively. The balances represent securitization notes and residual certificates issued and sold to institutional investors in securitization transactions, where the issuing trusts are consolidated in the Company’s consolidated financial statements. Accrued interest on these financial instruments is immaterial as of December 31, 2018 and 2019. As of September 30, 2020 (unaudited), the balance for payables to securitization note holders and residual certificate holders and related accrued interest was $0 million due to deconsolidation of previously consolidated securitizations.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discounted cash flow methodology is used to estimate the fair value of notes receivable and residual certificates and payables to securitization note holders and residual certificate holders (the “securities”), using the same projected net cash flows as their related loans. This model uses inputs that are inherently judgmental and reflect the Company’s best estimates of the assumptions a market participant would use to calculate fair value.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180"/>
          </w:cols>
          <w:pgMar w:left="320" w:top="407" w:right="1399" w:bottom="1440" w:gutter="0" w:footer="0" w:header="0"/>
          <w:type w:val="continuous"/>
        </w:sectPr>
      </w:pPr>
    </w:p>
    <w:bookmarkStart w:id="275" w:name="page276"/>
    <w:bookmarkEnd w:id="2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of assets and liabilities related to securitization transactions: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40" w:type="dxa"/>
            <w:vAlign w:val="bottom"/>
            <w:gridSpan w:val="6"/>
          </w:tcPr>
          <w:p>
            <w:pPr>
              <w:jc w:val="right"/>
              <w:ind w:right="720"/>
              <w:spacing w:after="0"/>
              <w:rPr>
                <w:sz w:val="20"/>
                <w:szCs w:val="20"/>
                <w:color w:val="auto"/>
              </w:rPr>
            </w:pPr>
            <w:r>
              <w:rPr>
                <w:rFonts w:ascii="Arial" w:cs="Arial" w:eastAsia="Arial" w:hAnsi="Arial"/>
                <w:sz w:val="12"/>
                <w:szCs w:val="12"/>
                <w:b w:val="1"/>
                <w:bCs w:val="1"/>
                <w:color w:val="auto"/>
                <w:w w:val="98"/>
              </w:rPr>
              <w:t>September 30, 2020</w:t>
            </w:r>
          </w:p>
        </w:tc>
      </w:tr>
      <w:tr>
        <w:trPr>
          <w:trHeight w:val="145"/>
        </w:trPr>
        <w:tc>
          <w:tcPr>
            <w:tcW w:w="1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40" w:type="dxa"/>
            <w:vAlign w:val="bottom"/>
            <w:gridSpan w:val="5"/>
          </w:tcPr>
          <w:p>
            <w:pPr>
              <w:jc w:val="right"/>
              <w:ind w:right="840"/>
              <w:spacing w:after="0"/>
              <w:rPr>
                <w:sz w:val="20"/>
                <w:szCs w:val="20"/>
                <w:color w:val="auto"/>
              </w:rPr>
            </w:pPr>
            <w:r>
              <w:rPr>
                <w:rFonts w:ascii="Arial" w:cs="Arial" w:eastAsia="Arial" w:hAnsi="Arial"/>
                <w:sz w:val="12"/>
                <w:szCs w:val="12"/>
                <w:b w:val="1"/>
                <w:bCs w:val="1"/>
                <w:color w:val="auto"/>
                <w:w w:val="99"/>
              </w:rPr>
              <w:t>December 31, 2018</w:t>
            </w:r>
          </w:p>
        </w:tc>
        <w:tc>
          <w:tcPr>
            <w:tcW w:w="520" w:type="dxa"/>
            <w:vAlign w:val="bottom"/>
          </w:tcPr>
          <w:p>
            <w:pPr>
              <w:spacing w:after="0"/>
              <w:rPr>
                <w:sz w:val="12"/>
                <w:szCs w:val="12"/>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December 31, 2019</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i w:val="1"/>
                <w:iCs w:val="1"/>
                <w:color w:val="auto"/>
              </w:rPr>
              <w:t>(unaudited)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12"/>
        </w:trPr>
        <w:tc>
          <w:tcPr>
            <w:tcW w:w="17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line="113" w:lineRule="exact"/>
              <w:rPr>
                <w:sz w:val="20"/>
                <w:szCs w:val="20"/>
                <w:color w:val="auto"/>
              </w:rPr>
            </w:pPr>
            <w:r>
              <w:rPr>
                <w:rFonts w:ascii="Arial" w:cs="Arial" w:eastAsia="Arial" w:hAnsi="Arial"/>
                <w:sz w:val="12"/>
                <w:szCs w:val="12"/>
                <w:b w:val="1"/>
                <w:bCs w:val="1"/>
                <w:color w:val="auto"/>
                <w:w w:val="99"/>
              </w:rPr>
              <w:t>Weighted-</w:t>
            </w:r>
          </w:p>
        </w:tc>
        <w:tc>
          <w:tcPr>
            <w:tcW w:w="2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ind w:left="20"/>
              <w:spacing w:after="0" w:line="113" w:lineRule="exact"/>
              <w:rPr>
                <w:sz w:val="20"/>
                <w:szCs w:val="20"/>
                <w:color w:val="auto"/>
              </w:rPr>
            </w:pPr>
            <w:r>
              <w:rPr>
                <w:rFonts w:ascii="Arial" w:cs="Arial" w:eastAsia="Arial" w:hAnsi="Arial"/>
                <w:sz w:val="12"/>
                <w:szCs w:val="12"/>
                <w:b w:val="1"/>
                <w:bCs w:val="1"/>
                <w:color w:val="auto"/>
                <w:w w:val="96"/>
              </w:rPr>
              <w:t>Weighted-</w:t>
            </w:r>
          </w:p>
        </w:tc>
        <w:tc>
          <w:tcPr>
            <w:tcW w:w="2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line="113"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9"/>
                <w:szCs w:val="9"/>
                <w:color w:val="auto"/>
              </w:rPr>
            </w:pPr>
          </w:p>
        </w:tc>
      </w:tr>
      <w:tr>
        <w:trPr>
          <w:trHeight w:val="149"/>
        </w:trPr>
        <w:tc>
          <w:tcPr>
            <w:tcW w:w="176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Minimum</w:t>
            </w: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Maximum</w:t>
            </w:r>
          </w:p>
        </w:tc>
        <w:tc>
          <w:tcPr>
            <w:tcW w:w="8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4"/>
              </w:rPr>
              <w:t>Minimum</w:t>
            </w:r>
          </w:p>
        </w:tc>
        <w:tc>
          <w:tcPr>
            <w:tcW w:w="940" w:type="dxa"/>
            <w:vAlign w:val="bottom"/>
            <w:gridSpan w:val="2"/>
          </w:tcPr>
          <w:p>
            <w:pPr>
              <w:jc w:val="right"/>
              <w:ind w:right="260"/>
              <w:spacing w:after="0" w:line="150" w:lineRule="exact"/>
              <w:rPr>
                <w:sz w:val="20"/>
                <w:szCs w:val="20"/>
                <w:color w:val="auto"/>
              </w:rPr>
            </w:pPr>
            <w:r>
              <w:rPr>
                <w:rFonts w:ascii="Arial" w:cs="Arial" w:eastAsia="Arial" w:hAnsi="Arial"/>
                <w:sz w:val="11"/>
                <w:szCs w:val="11"/>
                <w:b w:val="1"/>
                <w:bCs w:val="1"/>
                <w:color w:val="auto"/>
              </w:rPr>
              <w:t>Maximum</w:t>
            </w:r>
            <w:r>
              <w:rPr>
                <w:rFonts w:ascii="Arial" w:cs="Arial" w:eastAsia="Arial" w:hAnsi="Arial"/>
                <w:sz w:val="17"/>
                <w:szCs w:val="17"/>
                <w:b w:val="1"/>
                <w:bCs w:val="1"/>
                <w:color w:val="auto"/>
                <w:vertAlign w:val="superscript"/>
              </w:rPr>
              <w:t>(2)</w:t>
            </w:r>
          </w:p>
        </w:tc>
        <w:tc>
          <w:tcPr>
            <w:tcW w:w="860" w:type="dxa"/>
            <w:vAlign w:val="bottom"/>
            <w:gridSpan w:val="2"/>
          </w:tcPr>
          <w:p>
            <w:pPr>
              <w:jc w:val="right"/>
              <w:ind w:right="260"/>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8"/>
              </w:rPr>
              <w:t>Minimum</w:t>
            </w:r>
          </w:p>
        </w:tc>
        <w:tc>
          <w:tcPr>
            <w:tcW w:w="8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r>
      <w:tr>
        <w:trPr>
          <w:trHeight w:val="123"/>
        </w:trPr>
        <w:tc>
          <w:tcPr>
            <w:tcW w:w="17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Notes receivable and</w:t>
            </w:r>
          </w:p>
        </w:tc>
        <w:tc>
          <w:tcPr>
            <w:tcW w:w="5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72"/>
        </w:trPr>
        <w:tc>
          <w:tcPr>
            <w:tcW w:w="1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residual certificates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8"/>
        </w:trPr>
        <w:tc>
          <w:tcPr>
            <w:tcW w:w="1760" w:type="dxa"/>
            <w:vAlign w:val="bottom"/>
          </w:tcPr>
          <w:p>
            <w:pPr>
              <w:spacing w:after="0" w:line="158" w:lineRule="exact"/>
              <w:rPr>
                <w:sz w:val="20"/>
                <w:szCs w:val="20"/>
                <w:color w:val="auto"/>
              </w:rPr>
            </w:pPr>
            <w:r>
              <w:rPr>
                <w:rFonts w:ascii="Arial" w:cs="Arial" w:eastAsia="Arial" w:hAnsi="Arial"/>
                <w:sz w:val="14"/>
                <w:szCs w:val="14"/>
                <w:color w:val="auto"/>
              </w:rPr>
              <w:t>Discount rate</w:t>
            </w: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4.19%</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6.12%</w:t>
            </w:r>
          </w:p>
        </w:tc>
        <w:tc>
          <w:tcPr>
            <w:tcW w:w="7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2.91%</w:t>
            </w: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5.29%</w:t>
            </w: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2.93%</w:t>
            </w:r>
          </w:p>
        </w:tc>
        <w:tc>
          <w:tcPr>
            <w:tcW w:w="9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5.77%</w:t>
            </w:r>
          </w:p>
        </w:tc>
      </w:tr>
      <w:tr>
        <w:trPr>
          <w:trHeight w:val="158"/>
        </w:trPr>
        <w:tc>
          <w:tcPr>
            <w:tcW w:w="17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0.05%</w:t>
            </w: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43.21%</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14.83%</w:t>
            </w:r>
          </w:p>
        </w:tc>
        <w:tc>
          <w:tcPr>
            <w:tcW w:w="7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0.18%</w:t>
            </w:r>
          </w:p>
        </w:tc>
        <w:tc>
          <w:tcPr>
            <w:tcW w:w="9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50.67%</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17.08%</w:t>
            </w: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0.04%</w:t>
            </w:r>
          </w:p>
        </w:tc>
        <w:tc>
          <w:tcPr>
            <w:tcW w:w="9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50.69%</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16.96%</w:t>
            </w:r>
          </w:p>
        </w:tc>
      </w:tr>
      <w:tr>
        <w:trPr>
          <w:trHeight w:val="158"/>
        </w:trPr>
        <w:tc>
          <w:tcPr>
            <w:tcW w:w="1760" w:type="dxa"/>
            <w:vAlign w:val="bottom"/>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22.16%</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33.37%</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25.50%</w:t>
            </w:r>
          </w:p>
        </w:tc>
        <w:tc>
          <w:tcPr>
            <w:tcW w:w="7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15.19%</w:t>
            </w: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59.83%</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27.44%</w:t>
            </w: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15.60%</w:t>
            </w:r>
          </w:p>
        </w:tc>
        <w:tc>
          <w:tcPr>
            <w:tcW w:w="9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36.88%</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27.58%</w:t>
            </w:r>
          </w:p>
        </w:tc>
      </w:tr>
      <w:tr>
        <w:trPr>
          <w:trHeight w:val="143"/>
        </w:trPr>
        <w:tc>
          <w:tcPr>
            <w:tcW w:w="1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Payable to securitization</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8"/>
        </w:trPr>
        <w:tc>
          <w:tcPr>
            <w:tcW w:w="17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b w:val="1"/>
                <w:bCs w:val="1"/>
                <w:color w:val="auto"/>
              </w:rPr>
              <w:t>note holders and</w:t>
            </w: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8"/>
        </w:trPr>
        <w:tc>
          <w:tcPr>
            <w:tcW w:w="17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b w:val="1"/>
                <w:bCs w:val="1"/>
                <w:color w:val="auto"/>
              </w:rPr>
              <w:t>residual certificate</w:t>
            </w: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72"/>
        </w:trPr>
        <w:tc>
          <w:tcPr>
            <w:tcW w:w="1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holders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8"/>
        </w:trPr>
        <w:tc>
          <w:tcPr>
            <w:tcW w:w="1760" w:type="dxa"/>
            <w:vAlign w:val="bottom"/>
          </w:tcPr>
          <w:p>
            <w:pPr>
              <w:spacing w:after="0" w:line="158" w:lineRule="exact"/>
              <w:rPr>
                <w:sz w:val="20"/>
                <w:szCs w:val="20"/>
                <w:color w:val="auto"/>
              </w:rPr>
            </w:pPr>
            <w:r>
              <w:rPr>
                <w:rFonts w:ascii="Arial" w:cs="Arial" w:eastAsia="Arial" w:hAnsi="Arial"/>
                <w:sz w:val="14"/>
                <w:szCs w:val="14"/>
                <w:color w:val="auto"/>
              </w:rPr>
              <w:t>Discount rate</w:t>
            </w: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3.60%</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6.59%</w:t>
            </w:r>
          </w:p>
        </w:tc>
        <w:tc>
          <w:tcPr>
            <w:tcW w:w="7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5.03%</w:t>
            </w: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5.88%</w:t>
            </w: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11.86%</w:t>
            </w:r>
          </w:p>
        </w:tc>
        <w:tc>
          <w:tcPr>
            <w:tcW w:w="9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12.29%</w:t>
            </w:r>
          </w:p>
        </w:tc>
      </w:tr>
      <w:tr>
        <w:trPr>
          <w:trHeight w:val="158"/>
        </w:trPr>
        <w:tc>
          <w:tcPr>
            <w:tcW w:w="17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0.05%</w:t>
            </w: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43.21%</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12.91%</w:t>
            </w:r>
          </w:p>
        </w:tc>
        <w:tc>
          <w:tcPr>
            <w:tcW w:w="7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0.20%</w:t>
            </w:r>
          </w:p>
        </w:tc>
        <w:tc>
          <w:tcPr>
            <w:tcW w:w="9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40.97%</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15.17%</w:t>
            </w: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0.66%</w:t>
            </w:r>
          </w:p>
        </w:tc>
        <w:tc>
          <w:tcPr>
            <w:tcW w:w="9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40.74%</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16.29%</w:t>
            </w:r>
          </w:p>
        </w:tc>
      </w:tr>
      <w:tr>
        <w:trPr>
          <w:trHeight w:val="294"/>
        </w:trPr>
        <w:tc>
          <w:tcPr>
            <w:tcW w:w="1760" w:type="dxa"/>
            <w:vAlign w:val="bottom"/>
          </w:tcPr>
          <w:p>
            <w:pPr>
              <w:spacing w:after="0"/>
              <w:rPr>
                <w:sz w:val="20"/>
                <w:szCs w:val="20"/>
                <w:color w:val="auto"/>
              </w:rPr>
            </w:pPr>
            <w:r>
              <w:rPr>
                <w:rFonts w:ascii="Arial" w:cs="Arial" w:eastAsia="Arial" w:hAnsi="Arial"/>
                <w:sz w:val="14"/>
                <w:szCs w:val="14"/>
                <w:color w:val="auto"/>
              </w:rPr>
              <w:t>Prepayment rate</w:t>
            </w:r>
            <w:r>
              <w:rPr>
                <w:rFonts w:ascii="Arial" w:cs="Arial" w:eastAsia="Arial" w:hAnsi="Arial"/>
                <w:sz w:val="22"/>
                <w:szCs w:val="22"/>
                <w:color w:val="auto"/>
                <w:vertAlign w:val="superscript"/>
              </w:rPr>
              <w:t>(1)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22.16%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33.37%</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26.14%</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16.14%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32.47%</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25.68%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16.23%</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32.46%</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-14605</wp:posOffset>
            </wp:positionV>
            <wp:extent cx="64389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ind w:left="1480" w:hanging="453"/>
        <w:spacing w:after="0"/>
        <w:tabs>
          <w:tab w:leader="none" w:pos="148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Expressed as a percentage of the original principal balance of the loans underlying the financial instruments</w:t>
      </w:r>
    </w:p>
    <w:p>
      <w:pPr>
        <w:jc w:val="both"/>
        <w:ind w:left="1480" w:right="4980" w:hanging="453"/>
        <w:spacing w:after="0" w:line="486" w:lineRule="auto"/>
        <w:tabs>
          <w:tab w:leader="none" w:pos="147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 xml:space="preserve">Unobservable inputs were weighted by relative fair value </w:t>
      </w:r>
      <w:r>
        <w:rPr>
          <w:rFonts w:ascii="Arial" w:cs="Arial" w:eastAsia="Arial" w:hAnsi="Arial"/>
          <w:sz w:val="15"/>
          <w:szCs w:val="15"/>
          <w:i w:val="1"/>
          <w:iCs w:val="1"/>
          <w:color w:val="auto"/>
        </w:rPr>
        <w:t>Significant Recurring Level 3 Fair Value Input Sensitivity</w:t>
      </w:r>
    </w:p>
    <w:p>
      <w:pPr>
        <w:ind w:left="1020" w:right="20" w:firstLine="460"/>
        <w:spacing w:after="0" w:line="237" w:lineRule="auto"/>
        <w:rPr>
          <w:sz w:val="20"/>
          <w:szCs w:val="20"/>
          <w:color w:val="auto"/>
        </w:rPr>
      </w:pPr>
      <w:r>
        <w:rPr>
          <w:rFonts w:ascii="Arial" w:cs="Arial" w:eastAsia="Arial" w:hAnsi="Arial"/>
          <w:sz w:val="15"/>
          <w:szCs w:val="15"/>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25% decrease in the fair value of the residual certificates. The remaining classes of securities, with the exception of those in 2018-2, are all overcollateralized such that changes in credit risk rates are not expected to have significant impacts on their fair values.</w:t>
      </w:r>
    </w:p>
    <w:p>
      <w:pPr>
        <w:spacing w:after="0" w:line="171"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1.43%, 1.40%, and 1.15% as of December 31, 2018 and 2019, and September 30, 2020 (unaudited), respectively. On average, a hypothetical 200 basis point increase in discount rates results in a decrease in fair value of the securities (including securitization notes and residual certificates) of 2.80%, 2.77%, and 2.28% as of December 31, 2018 and 2019, and September 30, 2020 (unaudited), respectively.</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220"/>
          </w:cols>
          <w:pgMar w:left="320" w:top="407" w:right="1359" w:bottom="1440" w:gutter="0" w:footer="0" w:header="0"/>
        </w:sectPr>
      </w:pPr>
    </w:p>
    <w:bookmarkStart w:id="276" w:name="page277"/>
    <w:bookmarkEnd w:id="2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fair value of securitization notes and residual certificates are not sensitive to adverse changes in expected prepayment rates as such changes would not result in a significant impact on the fair value as of December 31, 2018 and 2019, and September 30, 2020 (unaudited).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include a rollforward of the assets and liabilities related to securitization transactions classified by the</w:t>
      </w:r>
    </w:p>
    <w:p>
      <w:pPr>
        <w:ind w:left="1020"/>
        <w:spacing w:after="0"/>
        <w:rPr>
          <w:sz w:val="20"/>
          <w:szCs w:val="20"/>
          <w:color w:val="auto"/>
        </w:rPr>
      </w:pPr>
      <w:r>
        <w:rPr>
          <w:rFonts w:ascii="Arial" w:cs="Arial" w:eastAsia="Arial" w:hAnsi="Arial"/>
          <w:sz w:val="15"/>
          <w:szCs w:val="15"/>
          <w:color w:val="auto"/>
        </w:rPr>
        <w:t>Company within Level 3 of the fair value hierarchy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Payable to</w:t>
            </w:r>
          </w:p>
        </w:tc>
      </w:tr>
      <w:tr>
        <w:trPr>
          <w:trHeight w:val="135"/>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rPr>
              <w:t>Securitization Note</w:t>
            </w:r>
          </w:p>
        </w:tc>
      </w:tr>
      <w:tr>
        <w:trPr>
          <w:trHeight w:val="135"/>
        </w:trPr>
        <w:tc>
          <w:tcPr>
            <w:tcW w:w="6540" w:type="dxa"/>
            <w:vAlign w:val="bottom"/>
          </w:tcPr>
          <w:p>
            <w:pPr>
              <w:spacing w:after="0"/>
              <w:rPr>
                <w:sz w:val="11"/>
                <w:szCs w:val="11"/>
                <w:color w:val="auto"/>
              </w:rPr>
            </w:pPr>
          </w:p>
        </w:tc>
        <w:tc>
          <w:tcPr>
            <w:tcW w:w="14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Notes Receivable</w:t>
            </w: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rPr>
              <w:t>Holders and</w:t>
            </w:r>
          </w:p>
        </w:tc>
      </w:tr>
      <w:tr>
        <w:trPr>
          <w:trHeight w:val="135"/>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580"/>
              <w:spacing w:after="0" w:line="136" w:lineRule="exact"/>
              <w:rPr>
                <w:sz w:val="20"/>
                <w:szCs w:val="20"/>
                <w:color w:val="auto"/>
              </w:rPr>
            </w:pPr>
            <w:r>
              <w:rPr>
                <w:rFonts w:ascii="Arial" w:cs="Arial" w:eastAsia="Arial" w:hAnsi="Arial"/>
                <w:sz w:val="12"/>
                <w:szCs w:val="12"/>
                <w:b w:val="1"/>
                <w:bCs w:val="1"/>
                <w:color w:val="auto"/>
                <w:w w:val="99"/>
              </w:rPr>
              <w:t>and Residual</w:t>
            </w:r>
          </w:p>
        </w:tc>
        <w:tc>
          <w:tcPr>
            <w:tcW w:w="12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Residual Certificate</w:t>
            </w:r>
          </w:p>
        </w:tc>
      </w:tr>
      <w:tr>
        <w:trPr>
          <w:trHeight w:val="145"/>
        </w:trPr>
        <w:tc>
          <w:tcPr>
            <w:tcW w:w="6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2"/>
                <w:szCs w:val="12"/>
                <w:b w:val="1"/>
                <w:bCs w:val="1"/>
                <w:color w:val="auto"/>
              </w:rPr>
              <w:t>Certificates</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rPr>
              <w:t>Holders</w:t>
            </w:r>
          </w:p>
        </w:tc>
        <w:tc>
          <w:tcPr>
            <w:tcW w:w="80" w:type="dxa"/>
            <w:vAlign w:val="bottom"/>
            <w:tcBorders>
              <w:bottom w:val="single" w:sz="8" w:color="CCEEFF"/>
            </w:tcBorders>
          </w:tcPr>
          <w:p>
            <w:pPr>
              <w:spacing w:after="0"/>
              <w:rPr>
                <w:sz w:val="12"/>
                <w:szCs w:val="12"/>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339,291</w:t>
            </w:r>
          </w:p>
        </w:tc>
        <w:tc>
          <w:tcPr>
            <w:tcW w:w="80" w:type="dxa"/>
            <w:vAlign w:val="bottom"/>
            <w:shd w:val="clear" w:color="auto" w:fill="CCEEFF"/>
          </w:tcPr>
          <w:p>
            <w:pPr>
              <w:spacing w:after="0"/>
              <w:rPr>
                <w:sz w:val="12"/>
                <w:szCs w:val="12"/>
                <w:color w:val="auto"/>
              </w:rPr>
            </w:pPr>
          </w:p>
        </w:tc>
      </w:tr>
      <w:tr>
        <w:trPr>
          <w:trHeight w:val="160"/>
        </w:trPr>
        <w:tc>
          <w:tcPr>
            <w:tcW w:w="6540" w:type="dxa"/>
            <w:vAlign w:val="bottom"/>
          </w:tcPr>
          <w:p>
            <w:pPr>
              <w:spacing w:after="0"/>
              <w:rPr>
                <w:sz w:val="20"/>
                <w:szCs w:val="20"/>
                <w:color w:val="auto"/>
              </w:rPr>
            </w:pPr>
            <w:r>
              <w:rPr>
                <w:rFonts w:ascii="Arial" w:cs="Arial" w:eastAsia="Arial" w:hAnsi="Arial"/>
                <w:sz w:val="14"/>
                <w:szCs w:val="14"/>
                <w:color w:val="auto"/>
              </w:rPr>
              <w:t>Purchases and issuances of securitization notes and residual certificates</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9,501</w:t>
            </w: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242,454</w:t>
            </w:r>
          </w:p>
        </w:tc>
        <w:tc>
          <w:tcPr>
            <w:tcW w:w="80" w:type="dxa"/>
            <w:vAlign w:val="bottom"/>
          </w:tcPr>
          <w:p>
            <w:pPr>
              <w:spacing w:after="0"/>
              <w:rPr>
                <w:sz w:val="13"/>
                <w:szCs w:val="13"/>
                <w:color w:val="auto"/>
              </w:rPr>
            </w:pP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and settlements</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(1,229)</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(226,775)</w:t>
            </w:r>
          </w:p>
        </w:tc>
      </w:tr>
      <w:tr>
        <w:trPr>
          <w:trHeight w:val="160"/>
        </w:trPr>
        <w:tc>
          <w:tcPr>
            <w:tcW w:w="654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0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42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(1,678)</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2018</w:t>
            </w:r>
          </w:p>
        </w:tc>
        <w:tc>
          <w:tcPr>
            <w:tcW w:w="1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8,314</w:t>
            </w:r>
          </w:p>
        </w:tc>
        <w:tc>
          <w:tcPr>
            <w:tcW w:w="44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353,292</w:t>
            </w:r>
          </w:p>
        </w:tc>
        <w:tc>
          <w:tcPr>
            <w:tcW w:w="80" w:type="dxa"/>
            <w:vAlign w:val="bottom"/>
            <w:shd w:val="clear" w:color="auto" w:fill="CCEEFF"/>
          </w:tcPr>
          <w:p>
            <w:pPr>
              <w:spacing w:after="0"/>
              <w:rPr>
                <w:sz w:val="13"/>
                <w:szCs w:val="13"/>
                <w:color w:val="auto"/>
              </w:rPr>
            </w:pPr>
          </w:p>
        </w:tc>
      </w:tr>
      <w:tr>
        <w:trPr>
          <w:trHeight w:val="160"/>
        </w:trPr>
        <w:tc>
          <w:tcPr>
            <w:tcW w:w="6540" w:type="dxa"/>
            <w:vAlign w:val="bottom"/>
          </w:tcPr>
          <w:p>
            <w:pPr>
              <w:spacing w:after="0"/>
              <w:rPr>
                <w:sz w:val="20"/>
                <w:szCs w:val="20"/>
                <w:color w:val="auto"/>
              </w:rPr>
            </w:pPr>
            <w:r>
              <w:rPr>
                <w:rFonts w:ascii="Arial" w:cs="Arial" w:eastAsia="Arial" w:hAnsi="Arial"/>
                <w:sz w:val="14"/>
                <w:szCs w:val="14"/>
                <w:color w:val="auto"/>
              </w:rPr>
              <w:t>Purchases and issuances of securitization notes and residual certificates</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31,645</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and settlements</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(8,760)</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(176,742)</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00" w:type="dxa"/>
            <w:vAlign w:val="bottom"/>
          </w:tcPr>
          <w:p>
            <w:pPr>
              <w:spacing w:after="0"/>
              <w:rPr>
                <w:sz w:val="13"/>
                <w:szCs w:val="13"/>
                <w:color w:val="auto"/>
              </w:rPr>
            </w:pPr>
          </w:p>
        </w:tc>
        <w:tc>
          <w:tcPr>
            <w:tcW w:w="134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(782)</w:t>
            </w: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(6,053)</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3,699</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(80,825)</w:t>
            </w:r>
          </w:p>
        </w:tc>
      </w:tr>
      <w:tr>
        <w:trPr>
          <w:trHeight w:val="160"/>
        </w:trPr>
        <w:tc>
          <w:tcPr>
            <w:tcW w:w="6540" w:type="dxa"/>
            <w:vAlign w:val="bottom"/>
          </w:tcPr>
          <w:p>
            <w:pPr>
              <w:spacing w:after="0"/>
              <w:rPr>
                <w:sz w:val="20"/>
                <w:szCs w:val="20"/>
                <w:color w:val="auto"/>
              </w:rPr>
            </w:pPr>
            <w:r>
              <w:rPr>
                <w:rFonts w:ascii="Arial" w:cs="Arial" w:eastAsia="Arial" w:hAnsi="Arial"/>
                <w:sz w:val="14"/>
                <w:szCs w:val="14"/>
                <w:b w:val="1"/>
                <w:bCs w:val="1"/>
                <w:color w:val="auto"/>
              </w:rPr>
              <w:t>Fair value at December 31, 2019</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34,116</w:t>
            </w:r>
          </w:p>
        </w:tc>
        <w:tc>
          <w:tcPr>
            <w:tcW w:w="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89,672</w:t>
            </w:r>
          </w:p>
        </w:tc>
        <w:tc>
          <w:tcPr>
            <w:tcW w:w="80" w:type="dxa"/>
            <w:vAlign w:val="bottom"/>
          </w:tcPr>
          <w:p>
            <w:pPr>
              <w:spacing w:after="0"/>
              <w:rPr>
                <w:sz w:val="13"/>
                <w:szCs w:val="13"/>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65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Purchases and issuances of securitization notes and residual certificates (unaudited)</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Repayments and settlements (unaudited)</w:t>
            </w:r>
          </w:p>
        </w:tc>
        <w:tc>
          <w:tcPr>
            <w:tcW w:w="100" w:type="dxa"/>
            <w:vAlign w:val="bottom"/>
          </w:tcPr>
          <w:p>
            <w:pPr>
              <w:spacing w:after="0"/>
              <w:rPr>
                <w:sz w:val="13"/>
                <w:szCs w:val="13"/>
                <w:color w:val="auto"/>
              </w:rPr>
            </w:pPr>
          </w:p>
        </w:tc>
        <w:tc>
          <w:tcPr>
            <w:tcW w:w="134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(11,306)</w:t>
            </w: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(26,126)</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 (unaudited)</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(761)</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(5,529)</w:t>
            </w:r>
          </w:p>
        </w:tc>
      </w:tr>
      <w:tr>
        <w:trPr>
          <w:trHeight w:val="160"/>
        </w:trPr>
        <w:tc>
          <w:tcPr>
            <w:tcW w:w="6540" w:type="dxa"/>
            <w:vAlign w:val="bottom"/>
          </w:tcPr>
          <w:p>
            <w:pPr>
              <w:spacing w:after="0" w:line="158" w:lineRule="exact"/>
              <w:rPr>
                <w:sz w:val="20"/>
                <w:szCs w:val="20"/>
                <w:color w:val="auto"/>
              </w:rPr>
            </w:pPr>
            <w:r>
              <w:rPr>
                <w:rFonts w:ascii="Arial" w:cs="Arial" w:eastAsia="Arial" w:hAnsi="Arial"/>
                <w:sz w:val="14"/>
                <w:szCs w:val="14"/>
                <w:color w:val="auto"/>
              </w:rPr>
              <w:t>Changes due to deconsolidation (unaudited)</w:t>
            </w:r>
          </w:p>
        </w:tc>
        <w:tc>
          <w:tcPr>
            <w:tcW w:w="10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(58,017)</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September 30, 2020 (unaudited)</w:t>
            </w:r>
          </w:p>
        </w:tc>
        <w:tc>
          <w:tcPr>
            <w:tcW w:w="1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22,053</w:t>
            </w:r>
          </w:p>
        </w:tc>
        <w:tc>
          <w:tcPr>
            <w:tcW w:w="44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 Servicing Assets and Liabilities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220"/>
          </w:cols>
          <w:pgMar w:left="320" w:top="407" w:right="1359" w:bottom="1440" w:gutter="0" w:footer="0" w:header="0"/>
        </w:sectPr>
      </w:pPr>
    </w:p>
    <w:bookmarkStart w:id="277" w:name="page278"/>
    <w:bookmarkEnd w:id="2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loan servicing assets and liabilities: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2"/>
                <w:szCs w:val="12"/>
                <w:b w:val="1"/>
                <w:bCs w:val="1"/>
                <w:color w:val="auto"/>
              </w:rPr>
              <w:t>September 30, 2020</w:t>
            </w: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2018</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2019</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i w:val="1"/>
                <w:iCs w:val="1"/>
                <w:color w:val="auto"/>
              </w:rPr>
              <w:t>(unaudited)</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ind w:left="20"/>
              <w:spacing w:after="0" w:line="113" w:lineRule="exact"/>
              <w:rPr>
                <w:sz w:val="20"/>
                <w:szCs w:val="20"/>
                <w:color w:val="auto"/>
              </w:rPr>
            </w:pPr>
            <w:r>
              <w:rPr>
                <w:rFonts w:ascii="Arial" w:cs="Arial" w:eastAsia="Arial" w:hAnsi="Arial"/>
                <w:sz w:val="12"/>
                <w:szCs w:val="12"/>
                <w:b w:val="1"/>
                <w:bCs w:val="1"/>
                <w:color w:val="auto"/>
                <w:w w:val="96"/>
              </w:rPr>
              <w:t>Weighted-</w:t>
            </w: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line="113" w:lineRule="exact"/>
              <w:rPr>
                <w:sz w:val="20"/>
                <w:szCs w:val="20"/>
                <w:color w:val="auto"/>
              </w:rPr>
            </w:pPr>
            <w:r>
              <w:rPr>
                <w:rFonts w:ascii="Arial" w:cs="Arial" w:eastAsia="Arial" w:hAnsi="Arial"/>
                <w:sz w:val="12"/>
                <w:szCs w:val="12"/>
                <w:b w:val="1"/>
                <w:bCs w:val="1"/>
                <w:color w:val="auto"/>
                <w:w w:val="96"/>
              </w:rPr>
              <w:t>Weighted-</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line="113"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w w:val="98"/>
              </w:rPr>
              <w:t>Minimum</w:t>
            </w:r>
          </w:p>
        </w:tc>
        <w:tc>
          <w:tcPr>
            <w:tcW w:w="28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w w:val="97"/>
              </w:rPr>
              <w:t>Maximum</w:t>
            </w:r>
          </w:p>
        </w:tc>
        <w:tc>
          <w:tcPr>
            <w:tcW w:w="280" w:type="dxa"/>
            <w:vAlign w:val="bottom"/>
          </w:tcPr>
          <w:p>
            <w:pPr>
              <w:spacing w:after="0"/>
              <w:rPr>
                <w:sz w:val="12"/>
                <w:szCs w:val="12"/>
                <w:color w:val="auto"/>
              </w:rPr>
            </w:pPr>
          </w:p>
        </w:tc>
        <w:tc>
          <w:tcPr>
            <w:tcW w:w="600" w:type="dxa"/>
            <w:vAlign w:val="bottom"/>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3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4"/>
              </w:rPr>
              <w:t>Minimum</w:t>
            </w:r>
          </w:p>
        </w:tc>
        <w:tc>
          <w:tcPr>
            <w:tcW w:w="8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Maximum</w:t>
            </w:r>
          </w:p>
        </w:tc>
        <w:tc>
          <w:tcPr>
            <w:tcW w:w="90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Minimum</w:t>
            </w:r>
          </w:p>
        </w:tc>
        <w:tc>
          <w:tcPr>
            <w:tcW w:w="10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22.81%</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35.00%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22.70%</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35.00%</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158"/>
        </w:trPr>
        <w:tc>
          <w:tcPr>
            <w:tcW w:w="158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0.04%</w:t>
            </w: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43.21%</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17.47%</w:t>
            </w:r>
          </w:p>
        </w:tc>
        <w:tc>
          <w:tcPr>
            <w:tcW w:w="8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0.05%</w:t>
            </w: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52.76%</w:t>
            </w:r>
          </w:p>
        </w:tc>
        <w:tc>
          <w:tcPr>
            <w:tcW w:w="9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16.72%</w:t>
            </w:r>
          </w:p>
        </w:tc>
        <w:tc>
          <w:tcPr>
            <w:tcW w:w="7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0.03%</w:t>
            </w:r>
          </w:p>
        </w:tc>
        <w:tc>
          <w:tcPr>
            <w:tcW w:w="98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52.78%</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55"/>
        </w:trPr>
        <w:tc>
          <w:tcPr>
            <w:tcW w:w="158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Market-servicing rate</w:t>
            </w:r>
            <w:r>
              <w:rPr>
                <w:rFonts w:ascii="Arial" w:cs="Arial" w:eastAsia="Arial" w:hAnsi="Arial"/>
                <w:sz w:val="17"/>
                <w:szCs w:val="17"/>
                <w:color w:val="auto"/>
                <w:vertAlign w:val="superscript"/>
              </w:rPr>
              <w:t>(3)</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0.81%</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0.81%</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0.81%</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0.78%</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0.78%</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0.78%</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0.75%</w:t>
            </w:r>
          </w:p>
        </w:tc>
        <w:tc>
          <w:tcPr>
            <w:tcW w:w="9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0.75%</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27"/>
        </w:trPr>
        <w:tc>
          <w:tcPr>
            <w:tcW w:w="1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(4)</w:t>
            </w:r>
          </w:p>
        </w:tc>
        <w:tc>
          <w:tcPr>
            <w:tcW w:w="8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980" w:type="dxa"/>
            <w:vAlign w:val="bottom"/>
            <w:gridSpan w:val="3"/>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1580" w:type="dxa"/>
            <w:vAlign w:val="bottom"/>
          </w:tcPr>
          <w:p>
            <w:pPr>
              <w:spacing w:after="0"/>
              <w:rPr>
                <w:sz w:val="20"/>
                <w:szCs w:val="20"/>
                <w:color w:val="auto"/>
              </w:rPr>
            </w:pPr>
            <w:r>
              <w:rPr>
                <w:rFonts w:ascii="Arial" w:cs="Arial" w:eastAsia="Arial" w:hAnsi="Arial"/>
                <w:sz w:val="14"/>
                <w:szCs w:val="14"/>
                <w:color w:val="auto"/>
              </w:rPr>
              <w:t>Prepayment rate</w:t>
            </w:r>
            <w:r>
              <w:rPr>
                <w:rFonts w:ascii="Arial" w:cs="Arial" w:eastAsia="Arial" w:hAnsi="Arial"/>
                <w:sz w:val="22"/>
                <w:szCs w:val="22"/>
                <w:color w:val="auto"/>
                <w:vertAlign w:val="superscript"/>
              </w:rPr>
              <w:t>(1)</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22.16%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33.37%</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25.67%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11.60%</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76.45%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28.57%</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9.15%</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88.81%</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-14605</wp:posOffset>
            </wp:positionV>
            <wp:extent cx="64389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ind w:left="1480" w:hanging="453"/>
        <w:spacing w:after="0"/>
        <w:tabs>
          <w:tab w:leader="none" w:pos="14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Expressed as a percentage of the original principal balance of the loans underlying the servicing arrangement</w:t>
      </w:r>
    </w:p>
    <w:p>
      <w:pPr>
        <w:ind w:left="1480" w:hanging="453"/>
        <w:spacing w:after="0" w:line="235" w:lineRule="auto"/>
        <w:tabs>
          <w:tab w:leader="none" w:pos="14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Unobservable inputs were weighted by relative fair value</w:t>
      </w:r>
    </w:p>
    <w:p>
      <w:pPr>
        <w:ind w:left="1480" w:hanging="453"/>
        <w:spacing w:after="0" w:line="235" w:lineRule="auto"/>
        <w:tabs>
          <w:tab w:leader="none" w:pos="14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Excludes ancillary fees charged to borrowers that would be passed on to a third-party servicer</w:t>
      </w:r>
    </w:p>
    <w:p>
      <w:pPr>
        <w:ind w:left="1480" w:hanging="453"/>
        <w:spacing w:after="0"/>
        <w:tabs>
          <w:tab w:leader="none" w:pos="14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Expressed as a percentage of the outstanding principal balance of the loan</w:t>
      </w:r>
    </w:p>
    <w:p>
      <w:pPr>
        <w:spacing w:after="0" w:line="161"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i w:val="1"/>
          <w:iCs w:val="1"/>
          <w:color w:val="auto"/>
        </w:rPr>
        <w:t>Discount rates</w:t>
      </w:r>
      <w:r>
        <w:rPr>
          <w:rFonts w:ascii="Arial" w:cs="Arial" w:eastAsia="Arial" w:hAnsi="Arial"/>
          <w:sz w:val="15"/>
          <w:szCs w:val="15"/>
          <w:color w:val="auto"/>
        </w:rPr>
        <w:t>—The discount rates are the Company’s estimate of the rates of return that market participants in servicing rights</w:t>
      </w:r>
      <w:r>
        <w:rPr>
          <w:rFonts w:ascii="Arial" w:cs="Arial" w:eastAsia="Arial" w:hAnsi="Arial"/>
          <w:sz w:val="15"/>
          <w:szCs w:val="15"/>
          <w:i w:val="1"/>
          <w:iCs w:val="1"/>
          <w:color w:val="auto"/>
        </w:rPr>
        <w:t xml:space="preserve"> </w:t>
      </w:r>
      <w:r>
        <w:rPr>
          <w:rFonts w:ascii="Arial" w:cs="Arial" w:eastAsia="Arial" w:hAnsi="Arial"/>
          <w:sz w:val="15"/>
          <w:szCs w:val="15"/>
          <w:color w:val="auto"/>
        </w:rPr>
        <w:t>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49" w:lineRule="exact"/>
        <w:rPr>
          <w:sz w:val="20"/>
          <w:szCs w:val="20"/>
          <w:color w:val="auto"/>
        </w:rPr>
      </w:pPr>
    </w:p>
    <w:p>
      <w:pPr>
        <w:ind w:left="1020" w:right="120" w:firstLine="460"/>
        <w:spacing w:after="0" w:line="251" w:lineRule="auto"/>
        <w:rPr>
          <w:sz w:val="20"/>
          <w:szCs w:val="20"/>
          <w:color w:val="auto"/>
        </w:rPr>
      </w:pPr>
      <w:r>
        <w:rPr>
          <w:rFonts w:ascii="Arial" w:cs="Arial" w:eastAsia="Arial" w:hAnsi="Arial"/>
          <w:sz w:val="15"/>
          <w:szCs w:val="15"/>
          <w:i w:val="1"/>
          <w:iCs w:val="1"/>
          <w:color w:val="auto"/>
        </w:rPr>
        <w:t>Credit risk rates</w:t>
      </w:r>
      <w:r>
        <w:rPr>
          <w:rFonts w:ascii="Arial" w:cs="Arial" w:eastAsia="Arial" w:hAnsi="Arial"/>
          <w:sz w:val="15"/>
          <w:szCs w:val="15"/>
          <w:color w:val="auto"/>
        </w:rPr>
        <w:t>—The credit risk rates are the Company’s estimate of the net cumulative principal payments that will not be repaid</w:t>
      </w:r>
      <w:r>
        <w:rPr>
          <w:rFonts w:ascii="Arial" w:cs="Arial" w:eastAsia="Arial" w:hAnsi="Arial"/>
          <w:sz w:val="15"/>
          <w:szCs w:val="15"/>
          <w:i w:val="1"/>
          <w:iCs w:val="1"/>
          <w:color w:val="auto"/>
        </w:rPr>
        <w:t xml:space="preserve"> </w:t>
      </w:r>
      <w:r>
        <w:rPr>
          <w:rFonts w:ascii="Arial" w:cs="Arial" w:eastAsia="Arial" w:hAnsi="Arial"/>
          <w:sz w:val="15"/>
          <w:szCs w:val="15"/>
          <w:color w:val="auto"/>
        </w:rPr>
        <w:t>over the entire 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146"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i w:val="1"/>
          <w:iCs w:val="1"/>
          <w:color w:val="auto"/>
        </w:rPr>
        <w:t>Market-servicing rates</w:t>
      </w:r>
      <w:r>
        <w:rPr>
          <w:rFonts w:ascii="Arial" w:cs="Arial" w:eastAsia="Arial" w:hAnsi="Arial"/>
          <w:sz w:val="15"/>
          <w:szCs w:val="15"/>
          <w:color w:val="auto"/>
        </w:rPr>
        <w:t>—Market-servicing rate is an estimated measure of adequate compensation for a market participant, if one</w:t>
      </w:r>
      <w:r>
        <w:rPr>
          <w:rFonts w:ascii="Arial" w:cs="Arial" w:eastAsia="Arial" w:hAnsi="Arial"/>
          <w:sz w:val="15"/>
          <w:szCs w:val="15"/>
          <w:i w:val="1"/>
          <w:iCs w:val="1"/>
          <w:color w:val="auto"/>
        </w:rPr>
        <w:t xml:space="preserve"> </w:t>
      </w:r>
      <w:r>
        <w:rPr>
          <w:rFonts w:ascii="Arial" w:cs="Arial" w:eastAsia="Arial" w:hAnsi="Arial"/>
          <w:sz w:val="15"/>
          <w:szCs w:val="15"/>
          <w:color w:val="auto"/>
        </w:rPr>
        <w:t>was required. The rate is expressed as a fixed percentage of outstanding principal balance on a per annum basis. The estimate considers the profit that would be demanded in the marketplace to service the portfolio of outstanding loans subject to the Company’s servicing agreements.</w:t>
      </w:r>
    </w:p>
    <w:p>
      <w:pPr>
        <w:spacing w:after="0" w:line="149" w:lineRule="exact"/>
        <w:rPr>
          <w:sz w:val="20"/>
          <w:szCs w:val="20"/>
          <w:color w:val="auto"/>
        </w:rPr>
      </w:pPr>
    </w:p>
    <w:p>
      <w:pPr>
        <w:ind w:left="1020" w:right="80" w:firstLine="460"/>
        <w:spacing w:after="0" w:line="251"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the Company’s estimate of the cumulative principal prepayments that will occur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entire life of a loan as a percentage of the original principal amount of the loan. The assumption regarding cumulative prepayments impacts the projected balances and expected terms of the loans, which are used to project future servicing revenues.</w:t>
      </w:r>
    </w:p>
    <w:p>
      <w:pPr>
        <w:spacing w:after="0" w:line="10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7" w:right="1359" w:bottom="1440" w:gutter="0" w:footer="0" w:header="0"/>
        </w:sectPr>
      </w:pPr>
    </w:p>
    <w:bookmarkStart w:id="278" w:name="page279"/>
    <w:bookmarkEnd w:id="2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2018 and 2019, and September 30, 2020 (unaudited), respectively.</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8"/>
          </w:tcPr>
          <w:p>
            <w:pPr>
              <w:ind w:left="320"/>
              <w:spacing w:after="0"/>
              <w:rPr>
                <w:sz w:val="20"/>
                <w:szCs w:val="20"/>
                <w:color w:val="auto"/>
              </w:rPr>
            </w:pPr>
            <w:r>
              <w:rPr>
                <w:rFonts w:ascii="Arial" w:cs="Arial" w:eastAsia="Arial" w:hAnsi="Arial"/>
                <w:sz w:val="12"/>
                <w:szCs w:val="12"/>
                <w:b w:val="1"/>
                <w:bCs w:val="1"/>
                <w:color w:val="auto"/>
              </w:rPr>
              <w:t>December 31,</w:t>
            </w:r>
          </w:p>
        </w:tc>
        <w:tc>
          <w:tcPr>
            <w:tcW w:w="9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360" w:type="dxa"/>
            <w:vAlign w:val="bottom"/>
          </w:tcPr>
          <w:p>
            <w:pPr>
              <w:spacing w:after="0" w:line="126" w:lineRule="exact"/>
              <w:rPr>
                <w:sz w:val="20"/>
                <w:szCs w:val="20"/>
                <w:color w:val="auto"/>
              </w:rPr>
            </w:pPr>
            <w:r>
              <w:rPr>
                <w:rFonts w:ascii="Arial" w:cs="Arial" w:eastAsia="Arial" w:hAnsi="Arial"/>
                <w:sz w:val="12"/>
                <w:szCs w:val="12"/>
                <w:i w:val="1"/>
                <w:iCs w:val="1"/>
                <w:color w:val="auto"/>
              </w:rPr>
              <w:t>(amounts in thousands)</w:t>
            </w:r>
          </w:p>
        </w:tc>
        <w:tc>
          <w:tcPr>
            <w:tcW w:w="17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rPr>
              <w:t>2018</w:t>
            </w:r>
          </w:p>
        </w:tc>
        <w:tc>
          <w:tcPr>
            <w:tcW w:w="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7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4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43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of loan servicing assets</w:t>
            </w:r>
          </w:p>
        </w:tc>
        <w:tc>
          <w:tcPr>
            <w:tcW w:w="18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  4,725</w:t>
            </w:r>
          </w:p>
        </w:tc>
        <w:tc>
          <w:tcPr>
            <w:tcW w:w="2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6,558</w:t>
            </w:r>
          </w:p>
        </w:tc>
        <w:tc>
          <w:tcPr>
            <w:tcW w:w="40" w:type="dxa"/>
            <w:vAlign w:val="bottom"/>
            <w:shd w:val="clear" w:color="auto" w:fill="CCEEFF"/>
          </w:tcPr>
          <w:p>
            <w:pPr>
              <w:spacing w:after="0"/>
              <w:rPr>
                <w:sz w:val="13"/>
                <w:szCs w:val="13"/>
                <w:color w:val="auto"/>
              </w:rPr>
            </w:pPr>
          </w:p>
        </w:tc>
      </w:tr>
      <w:tr>
        <w:trPr>
          <w:trHeight w:val="160"/>
        </w:trPr>
        <w:tc>
          <w:tcPr>
            <w:tcW w:w="4360" w:type="dxa"/>
            <w:vAlign w:val="bottom"/>
          </w:tcPr>
          <w:p>
            <w:pPr>
              <w:spacing w:after="0"/>
              <w:rPr>
                <w:sz w:val="20"/>
                <w:szCs w:val="20"/>
                <w:color w:val="auto"/>
              </w:rPr>
            </w:pPr>
            <w:r>
              <w:rPr>
                <w:rFonts w:ascii="Arial" w:cs="Arial" w:eastAsia="Arial" w:hAnsi="Arial"/>
                <w:sz w:val="14"/>
                <w:szCs w:val="14"/>
                <w:color w:val="auto"/>
              </w:rPr>
              <w:t>Expected servicing cost</w:t>
            </w:r>
          </w:p>
        </w:tc>
        <w:tc>
          <w:tcPr>
            <w:tcW w:w="1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3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 servicing cost increase</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(29,631)</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(27,576)</w:t>
            </w:r>
          </w:p>
        </w:tc>
      </w:tr>
      <w:tr>
        <w:trPr>
          <w:trHeight w:val="158"/>
        </w:trPr>
        <w:tc>
          <w:tcPr>
            <w:tcW w:w="4360" w:type="dxa"/>
            <w:vAlign w:val="bottom"/>
          </w:tcPr>
          <w:p>
            <w:pPr>
              <w:ind w:left="280"/>
              <w:spacing w:after="0" w:line="158" w:lineRule="exact"/>
              <w:rPr>
                <w:sz w:val="20"/>
                <w:szCs w:val="20"/>
                <w:color w:val="auto"/>
              </w:rPr>
            </w:pPr>
            <w:r>
              <w:rPr>
                <w:rFonts w:ascii="Arial" w:cs="Arial" w:eastAsia="Arial" w:hAnsi="Arial"/>
                <w:sz w:val="14"/>
                <w:szCs w:val="14"/>
                <w:color w:val="auto"/>
              </w:rPr>
              <w:t>20% servicing cost increase</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(59,262)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(55,152)</w:t>
            </w:r>
          </w:p>
        </w:tc>
      </w:tr>
      <w:tr>
        <w:trPr>
          <w:trHeight w:val="158"/>
        </w:trPr>
        <w:tc>
          <w:tcPr>
            <w:tcW w:w="4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prepayment rates</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36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(3,629)</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(2,951)</w:t>
            </w:r>
          </w:p>
        </w:tc>
      </w:tr>
      <w:tr>
        <w:trPr>
          <w:trHeight w:val="158"/>
        </w:trPr>
        <w:tc>
          <w:tcPr>
            <w:tcW w:w="43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(7,440)</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(6,033)</w:t>
            </w:r>
          </w:p>
        </w:tc>
      </w:tr>
      <w:tr>
        <w:trPr>
          <w:trHeight w:val="338"/>
        </w:trPr>
        <w:tc>
          <w:tcPr>
            <w:tcW w:w="4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6"/>
          </w:tcPr>
          <w:p>
            <w:pPr>
              <w:ind w:left="30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24"/>
                <w:szCs w:val="24"/>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4360" w:type="dxa"/>
            <w:vAlign w:val="bottom"/>
          </w:tcPr>
          <w:p>
            <w:pPr>
              <w:spacing w:after="0" w:line="126" w:lineRule="exact"/>
              <w:rPr>
                <w:sz w:val="20"/>
                <w:szCs w:val="20"/>
                <w:color w:val="auto"/>
              </w:rPr>
            </w:pPr>
            <w:r>
              <w:rPr>
                <w:rFonts w:ascii="Arial" w:cs="Arial" w:eastAsia="Arial" w:hAnsi="Arial"/>
                <w:sz w:val="12"/>
                <w:szCs w:val="12"/>
                <w:i w:val="1"/>
                <w:iCs w:val="1"/>
                <w:color w:val="auto"/>
              </w:rPr>
              <w:t>(amounts in thousands)</w:t>
            </w: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Borders>
              <w:top w:val="single" w:sz="8" w:color="auto"/>
            </w:tcBorders>
            <w:gridSpan w:val="2"/>
          </w:tcPr>
          <w:p>
            <w:pPr>
              <w:jc w:val="right"/>
              <w:ind w:right="80"/>
              <w:spacing w:after="0" w:line="126" w:lineRule="exact"/>
              <w:rPr>
                <w:sz w:val="20"/>
                <w:szCs w:val="20"/>
                <w:color w:val="auto"/>
              </w:rPr>
            </w:pPr>
            <w:r>
              <w:rPr>
                <w:rFonts w:ascii="Arial" w:cs="Arial" w:eastAsia="Arial" w:hAnsi="Arial"/>
                <w:sz w:val="12"/>
                <w:szCs w:val="12"/>
                <w:b w:val="1"/>
                <w:bCs w:val="1"/>
                <w:color w:val="auto"/>
              </w:rPr>
              <w:t>2018</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4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8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69"/>
        </w:trPr>
        <w:tc>
          <w:tcPr>
            <w:tcW w:w="4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of loan servicing liabilities</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1,685</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  5,140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7,349</w:t>
            </w:r>
          </w:p>
        </w:tc>
      </w:tr>
      <w:tr>
        <w:trPr>
          <w:trHeight w:val="169"/>
        </w:trPr>
        <w:tc>
          <w:tcPr>
            <w:tcW w:w="4360" w:type="dxa"/>
            <w:vAlign w:val="bottom"/>
          </w:tcPr>
          <w:p>
            <w:pPr>
              <w:spacing w:after="0"/>
              <w:rPr>
                <w:sz w:val="20"/>
                <w:szCs w:val="20"/>
                <w:color w:val="auto"/>
              </w:rPr>
            </w:pPr>
            <w:r>
              <w:rPr>
                <w:rFonts w:ascii="Arial" w:cs="Arial" w:eastAsia="Arial" w:hAnsi="Arial"/>
                <w:sz w:val="14"/>
                <w:szCs w:val="14"/>
                <w:color w:val="auto"/>
              </w:rPr>
              <w:t>Expected servicing cost on underlying loans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4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 servicing cost increase</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847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32,234</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30,902</w:t>
            </w:r>
          </w:p>
        </w:tc>
        <w:tc>
          <w:tcPr>
            <w:tcW w:w="40" w:type="dxa"/>
            <w:vAlign w:val="bottom"/>
            <w:shd w:val="clear" w:color="auto" w:fill="CCEEFF"/>
          </w:tcPr>
          <w:p>
            <w:pPr>
              <w:spacing w:after="0"/>
              <w:rPr>
                <w:sz w:val="14"/>
                <w:szCs w:val="14"/>
                <w:color w:val="auto"/>
              </w:rPr>
            </w:pPr>
          </w:p>
        </w:tc>
      </w:tr>
      <w:tr>
        <w:trPr>
          <w:trHeight w:val="169"/>
        </w:trPr>
        <w:tc>
          <w:tcPr>
            <w:tcW w:w="4360" w:type="dxa"/>
            <w:vAlign w:val="bottom"/>
          </w:tcPr>
          <w:p>
            <w:pPr>
              <w:ind w:left="280"/>
              <w:spacing w:after="0"/>
              <w:rPr>
                <w:sz w:val="20"/>
                <w:szCs w:val="20"/>
                <w:color w:val="auto"/>
              </w:rPr>
            </w:pPr>
            <w:r>
              <w:rPr>
                <w:rFonts w:ascii="Arial" w:cs="Arial" w:eastAsia="Arial" w:hAnsi="Arial"/>
                <w:sz w:val="14"/>
                <w:szCs w:val="14"/>
                <w:color w:val="auto"/>
              </w:rPr>
              <w:t>20% servicing cost increase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color w:val="auto"/>
              </w:rPr>
              <w:t>1,693</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64,467</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61,804</w:t>
            </w:r>
          </w:p>
        </w:tc>
        <w:tc>
          <w:tcPr>
            <w:tcW w:w="40" w:type="dxa"/>
            <w:vAlign w:val="bottom"/>
          </w:tcPr>
          <w:p>
            <w:pPr>
              <w:spacing w:after="0"/>
              <w:rPr>
                <w:sz w:val="14"/>
                <w:szCs w:val="14"/>
                <w:color w:val="auto"/>
              </w:rPr>
            </w:pPr>
          </w:p>
        </w:tc>
      </w:tr>
      <w:tr>
        <w:trPr>
          <w:trHeight w:val="158"/>
        </w:trPr>
        <w:tc>
          <w:tcPr>
            <w:tcW w:w="4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prepayment rates</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9"/>
        </w:trPr>
        <w:tc>
          <w:tcPr>
            <w:tcW w:w="4360" w:type="dxa"/>
            <w:vAlign w:val="bottom"/>
          </w:tcPr>
          <w:p>
            <w:pPr>
              <w:ind w:left="280"/>
              <w:spacing w:after="0"/>
              <w:rPr>
                <w:sz w:val="20"/>
                <w:szCs w:val="20"/>
                <w:color w:val="auto"/>
              </w:rPr>
            </w:pPr>
            <w:r>
              <w:rPr>
                <w:rFonts w:ascii="Arial" w:cs="Arial" w:eastAsia="Arial" w:hAnsi="Arial"/>
                <w:sz w:val="14"/>
                <w:szCs w:val="14"/>
                <w:color w:val="auto"/>
              </w:rPr>
              <w:t>10% adverse change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color w:val="auto"/>
              </w:rPr>
              <w:t>136</w:t>
            </w:r>
          </w:p>
        </w:tc>
        <w:tc>
          <w:tcPr>
            <w:tcW w:w="1140" w:type="dxa"/>
            <w:vAlign w:val="bottom"/>
            <w:gridSpan w:val="4"/>
          </w:tcPr>
          <w:p>
            <w:pPr>
              <w:jc w:val="right"/>
              <w:ind w:right="260"/>
              <w:spacing w:after="0"/>
              <w:rPr>
                <w:sz w:val="20"/>
                <w:szCs w:val="20"/>
                <w:color w:val="auto"/>
              </w:rPr>
            </w:pPr>
            <w:r>
              <w:rPr>
                <w:rFonts w:ascii="Arial" w:cs="Arial" w:eastAsia="Arial" w:hAnsi="Arial"/>
                <w:sz w:val="14"/>
                <w:szCs w:val="14"/>
                <w:color w:val="auto"/>
              </w:rPr>
              <w:t>3,948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3,307</w:t>
            </w:r>
          </w:p>
        </w:tc>
      </w:tr>
      <w:tr>
        <w:trPr>
          <w:trHeight w:val="169"/>
        </w:trPr>
        <w:tc>
          <w:tcPr>
            <w:tcW w:w="4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 adverse change</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278</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8,093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6,760</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following table presents a rollforward of the loan servicing assets and liabilities classified by the Company within Level 3 of the fair value hierarchy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920" w:type="dxa"/>
            <w:vAlign w:val="bottom"/>
          </w:tcPr>
          <w:p>
            <w:pPr>
              <w:spacing w:after="0"/>
              <w:rPr>
                <w:sz w:val="12"/>
                <w:szCs w:val="12"/>
                <w:color w:val="auto"/>
              </w:rPr>
            </w:pPr>
          </w:p>
        </w:tc>
        <w:tc>
          <w:tcPr>
            <w:tcW w:w="1120" w:type="dxa"/>
            <w:vAlign w:val="bottom"/>
            <w:gridSpan w:val="4"/>
          </w:tcPr>
          <w:p>
            <w:pPr>
              <w:spacing w:after="0"/>
              <w:rPr>
                <w:sz w:val="20"/>
                <w:szCs w:val="20"/>
                <w:color w:val="auto"/>
              </w:rPr>
            </w:pPr>
            <w:r>
              <w:rPr>
                <w:rFonts w:ascii="Arial" w:cs="Arial" w:eastAsia="Arial" w:hAnsi="Arial"/>
                <w:sz w:val="12"/>
                <w:szCs w:val="12"/>
                <w:b w:val="1"/>
                <w:bCs w:val="1"/>
                <w:color w:val="auto"/>
              </w:rPr>
              <w:t>Loan Servicing</w:t>
            </w:r>
          </w:p>
        </w:tc>
        <w:tc>
          <w:tcPr>
            <w:tcW w:w="20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Loan Servicing</w:t>
            </w:r>
          </w:p>
        </w:tc>
      </w:tr>
      <w:tr>
        <w:trPr>
          <w:trHeight w:val="145"/>
        </w:trPr>
        <w:tc>
          <w:tcPr>
            <w:tcW w:w="69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Assets</w:t>
            </w:r>
          </w:p>
        </w:tc>
        <w:tc>
          <w:tcPr>
            <w:tcW w:w="24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Liabilities</w:t>
            </w:r>
          </w:p>
        </w:tc>
        <w:tc>
          <w:tcPr>
            <w:tcW w:w="80" w:type="dxa"/>
            <w:vAlign w:val="bottom"/>
            <w:tcBorders>
              <w:bottom w:val="single" w:sz="8" w:color="CCEEFF"/>
            </w:tcBorders>
          </w:tcPr>
          <w:p>
            <w:pPr>
              <w:spacing w:after="0"/>
              <w:rPr>
                <w:sz w:val="12"/>
                <w:szCs w:val="12"/>
                <w:color w:val="auto"/>
              </w:rPr>
            </w:pPr>
          </w:p>
        </w:tc>
      </w:tr>
      <w:tr>
        <w:trPr>
          <w:trHeight w:val="149"/>
        </w:trPr>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837</w:t>
            </w:r>
          </w:p>
        </w:tc>
        <w:tc>
          <w:tcPr>
            <w:tcW w:w="80" w:type="dxa"/>
            <w:vAlign w:val="bottom"/>
            <w:shd w:val="clear" w:color="auto" w:fill="CCEEFF"/>
          </w:tcPr>
          <w:p>
            <w:pPr>
              <w:spacing w:after="0"/>
              <w:rPr>
                <w:sz w:val="12"/>
                <w:szCs w:val="12"/>
                <w:color w:val="auto"/>
              </w:rPr>
            </w:pPr>
          </w:p>
        </w:tc>
      </w:tr>
      <w:tr>
        <w:trPr>
          <w:trHeight w:val="160"/>
        </w:trPr>
        <w:tc>
          <w:tcPr>
            <w:tcW w:w="6920" w:type="dxa"/>
            <w:vAlign w:val="bottom"/>
          </w:tcPr>
          <w:p>
            <w:pPr>
              <w:spacing w:after="0"/>
              <w:rPr>
                <w:sz w:val="20"/>
                <w:szCs w:val="20"/>
                <w:color w:val="auto"/>
              </w:rPr>
            </w:pPr>
            <w:r>
              <w:rPr>
                <w:rFonts w:ascii="Arial" w:cs="Arial" w:eastAsia="Arial" w:hAnsi="Arial"/>
                <w:sz w:val="14"/>
                <w:szCs w:val="14"/>
                <w:color w:val="auto"/>
              </w:rPr>
              <w:t>Sale of loans</w:t>
            </w:r>
          </w:p>
        </w:tc>
        <w:tc>
          <w:tcPr>
            <w:tcW w:w="160" w:type="dxa"/>
            <w:vAlign w:val="bottom"/>
          </w:tcPr>
          <w:p>
            <w:pPr>
              <w:spacing w:after="0"/>
              <w:rPr>
                <w:sz w:val="13"/>
                <w:szCs w:val="13"/>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1,917</w:t>
            </w:r>
          </w:p>
        </w:tc>
      </w:tr>
      <w:tr>
        <w:trPr>
          <w:trHeight w:val="158"/>
        </w:trPr>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(1,069)</w:t>
            </w:r>
          </w:p>
        </w:tc>
      </w:tr>
      <w:tr>
        <w:trPr>
          <w:trHeight w:val="163"/>
        </w:trPr>
        <w:tc>
          <w:tcPr>
            <w:tcW w:w="6920" w:type="dxa"/>
            <w:vAlign w:val="bottom"/>
          </w:tcPr>
          <w:p>
            <w:pPr>
              <w:spacing w:after="0"/>
              <w:rPr>
                <w:sz w:val="20"/>
                <w:szCs w:val="20"/>
                <w:color w:val="auto"/>
              </w:rPr>
            </w:pPr>
            <w:r>
              <w:rPr>
                <w:rFonts w:ascii="Arial" w:cs="Arial" w:eastAsia="Arial" w:hAnsi="Arial"/>
                <w:sz w:val="14"/>
                <w:szCs w:val="14"/>
                <w:b w:val="1"/>
                <w:bCs w:val="1"/>
                <w:color w:val="auto"/>
              </w:rPr>
              <w:t>Fair value at December 31, 2018</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1,685</w:t>
            </w:r>
          </w:p>
        </w:tc>
        <w:tc>
          <w:tcPr>
            <w:tcW w:w="80" w:type="dxa"/>
            <w:vAlign w:val="bottom"/>
          </w:tcPr>
          <w:p>
            <w:pPr>
              <w:spacing w:after="0"/>
              <w:rPr>
                <w:sz w:val="14"/>
                <w:szCs w:val="14"/>
                <w:color w:val="auto"/>
              </w:rPr>
            </w:pPr>
          </w:p>
        </w:tc>
      </w:tr>
      <w:tr>
        <w:trPr>
          <w:trHeight w:val="158"/>
        </w:trPr>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 of loans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3,874</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4,730</w:t>
            </w:r>
          </w:p>
        </w:tc>
      </w:tr>
      <w:tr>
        <w:trPr>
          <w:trHeight w:val="160"/>
        </w:trPr>
        <w:tc>
          <w:tcPr>
            <w:tcW w:w="692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6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851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(1,275)</w:t>
            </w:r>
          </w:p>
        </w:tc>
      </w:tr>
      <w:tr>
        <w:trPr>
          <w:trHeight w:val="158"/>
        </w:trPr>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2019</w:t>
            </w:r>
          </w:p>
        </w:tc>
        <w:tc>
          <w:tcPr>
            <w:tcW w:w="16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4,725</w:t>
            </w:r>
          </w:p>
        </w:tc>
        <w:tc>
          <w:tcPr>
            <w:tcW w:w="24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5,140</w:t>
            </w:r>
          </w:p>
        </w:tc>
        <w:tc>
          <w:tcPr>
            <w:tcW w:w="80" w:type="dxa"/>
            <w:vAlign w:val="bottom"/>
            <w:shd w:val="clear" w:color="auto" w:fill="CCEEFF"/>
          </w:tcPr>
          <w:p>
            <w:pPr>
              <w:spacing w:after="0"/>
              <w:rPr>
                <w:sz w:val="13"/>
                <w:szCs w:val="13"/>
                <w:color w:val="auto"/>
              </w:rPr>
            </w:pPr>
          </w:p>
        </w:tc>
      </w:tr>
      <w:tr>
        <w:trPr>
          <w:trHeight w:val="160"/>
        </w:trPr>
        <w:tc>
          <w:tcPr>
            <w:tcW w:w="6920" w:type="dxa"/>
            <w:vAlign w:val="bottom"/>
          </w:tcPr>
          <w:p>
            <w:pPr>
              <w:spacing w:after="0"/>
              <w:rPr>
                <w:sz w:val="20"/>
                <w:szCs w:val="20"/>
                <w:color w:val="auto"/>
              </w:rPr>
            </w:pPr>
            <w:r>
              <w:rPr>
                <w:rFonts w:ascii="Arial" w:cs="Arial" w:eastAsia="Arial" w:hAnsi="Arial"/>
                <w:sz w:val="14"/>
                <w:szCs w:val="14"/>
                <w:color w:val="auto"/>
              </w:rPr>
              <w:t>Sale of loans (unaudited)</w:t>
            </w:r>
          </w:p>
        </w:tc>
        <w:tc>
          <w:tcPr>
            <w:tcW w:w="16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5,003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3,256</w:t>
            </w:r>
          </w:p>
        </w:tc>
      </w:tr>
      <w:tr>
        <w:trPr>
          <w:trHeight w:val="158"/>
        </w:trPr>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 (unaudited)</w:t>
            </w:r>
          </w:p>
        </w:tc>
        <w:tc>
          <w:tcPr>
            <w:tcW w:w="16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(3,170)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(1,047)</w:t>
            </w:r>
          </w:p>
        </w:tc>
      </w:tr>
      <w:tr>
        <w:trPr>
          <w:trHeight w:val="160"/>
        </w:trPr>
        <w:tc>
          <w:tcPr>
            <w:tcW w:w="6920" w:type="dxa"/>
            <w:vAlign w:val="bottom"/>
          </w:tcPr>
          <w:p>
            <w:pPr>
              <w:spacing w:after="0"/>
              <w:rPr>
                <w:sz w:val="20"/>
                <w:szCs w:val="20"/>
                <w:color w:val="auto"/>
              </w:rPr>
            </w:pPr>
            <w:r>
              <w:rPr>
                <w:rFonts w:ascii="Arial" w:cs="Arial" w:eastAsia="Arial" w:hAnsi="Arial"/>
                <w:sz w:val="14"/>
                <w:szCs w:val="14"/>
                <w:b w:val="1"/>
                <w:bCs w:val="1"/>
                <w:color w:val="auto"/>
              </w:rPr>
              <w:t>Fair value at September 30, 2020 (unaudited)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6,558</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7,349</w:t>
            </w:r>
          </w:p>
        </w:tc>
        <w:tc>
          <w:tcPr>
            <w:tcW w:w="80" w:type="dxa"/>
            <w:vAlign w:val="bottom"/>
          </w:tcPr>
          <w:p>
            <w:pPr>
              <w:spacing w:after="0"/>
              <w:rPr>
                <w:sz w:val="13"/>
                <w:szCs w:val="13"/>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20"/>
          </w:cols>
          <w:pgMar w:left="320" w:top="407" w:right="1359" w:bottom="1440" w:gutter="0" w:footer="0" w:header="0"/>
        </w:sectPr>
      </w:pPr>
    </w:p>
    <w:bookmarkStart w:id="279" w:name="page280"/>
    <w:bookmarkEnd w:id="2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Assets and Liabilities</w:t>
      </w:r>
    </w:p>
    <w:p>
      <w:pPr>
        <w:spacing w:after="0" w:line="105"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As of December 31, 2018, the Company’s Level 3 financial instruments included other assets and other liabilities, related to the Company’s legacy loan programs which were winding down. The other assets and liabilities had fair values of $1.4 million and</w:t>
      </w:r>
    </w:p>
    <w:p>
      <w:pPr>
        <w:jc w:val="both"/>
        <w:ind w:left="1020" w:right="280"/>
        <w:spacing w:after="0"/>
        <w:rPr>
          <w:sz w:val="20"/>
          <w:szCs w:val="20"/>
          <w:color w:val="auto"/>
        </w:rPr>
      </w:pPr>
      <w:r>
        <w:rPr>
          <w:rFonts w:ascii="Arial" w:cs="Arial" w:eastAsia="Arial" w:hAnsi="Arial"/>
          <w:sz w:val="15"/>
          <w:szCs w:val="15"/>
          <w:color w:val="auto"/>
        </w:rPr>
        <w:t>$1.4 million, respectively, which were estimated using the discounted cash flow model based on expected cash flows of the underlying loans. Significant inputs used for estimating the fair value of these financial instruments included discount rates of 6.00% to 9.70% and credit risk rates of 0.00% to 3.00%.</w:t>
      </w:r>
    </w:p>
    <w:p>
      <w:pPr>
        <w:spacing w:after="0" w:line="170" w:lineRule="exact"/>
        <w:rPr>
          <w:sz w:val="20"/>
          <w:szCs w:val="20"/>
          <w:color w:val="auto"/>
        </w:rPr>
      </w:pPr>
    </w:p>
    <w:p>
      <w:pPr>
        <w:ind w:left="1020" w:right="360" w:firstLine="1011"/>
        <w:spacing w:after="0" w:line="245" w:lineRule="auto"/>
        <w:rPr>
          <w:sz w:val="20"/>
          <w:szCs w:val="20"/>
          <w:color w:val="auto"/>
        </w:rPr>
      </w:pPr>
      <w:r>
        <w:rPr>
          <w:rFonts w:ascii="Arial" w:cs="Arial" w:eastAsia="Arial" w:hAnsi="Arial"/>
          <w:sz w:val="15"/>
          <w:szCs w:val="15"/>
          <w:color w:val="auto"/>
        </w:rPr>
        <w:t>The fair value sensitivity of the other assets and liabilities to adverse changes in key assumptions would not result in a material impact on the Company’s financial position.</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The following tables include a rollforward of other assets and liabilities classified by the Company within Level 3 of the fair value hierarchy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9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9"/>
              </w:rPr>
              <w:t>Other Assets</w:t>
            </w:r>
          </w:p>
        </w:tc>
        <w:tc>
          <w:tcPr>
            <w:tcW w:w="4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Other Liabilities</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2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1,886</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tcPr>
          <w:p>
            <w:pPr>
              <w:spacing w:after="0"/>
              <w:rPr>
                <w:sz w:val="20"/>
                <w:szCs w:val="20"/>
                <w:color w:val="auto"/>
              </w:rPr>
            </w:pPr>
            <w:r>
              <w:rPr>
                <w:rFonts w:ascii="Arial" w:cs="Arial" w:eastAsia="Arial" w:hAnsi="Arial"/>
                <w:sz w:val="14"/>
                <w:szCs w:val="14"/>
                <w:color w:val="auto"/>
              </w:rPr>
              <w:t>Repayments and settlements</w:t>
            </w:r>
          </w:p>
        </w:tc>
        <w:tc>
          <w:tcPr>
            <w:tcW w:w="26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(346)</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(130)</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December 31, 2018</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vMerge w:val="continue"/>
          </w:tcPr>
          <w:p>
            <w:pPr>
              <w:spacing w:after="0"/>
              <w:rPr>
                <w:sz w:val="13"/>
                <w:szCs w:val="13"/>
                <w:color w:val="auto"/>
              </w:rPr>
            </w:pPr>
          </w:p>
        </w:tc>
        <w:tc>
          <w:tcPr>
            <w:tcW w:w="260" w:type="dxa"/>
            <w:vAlign w:val="bottom"/>
          </w:tcPr>
          <w:p>
            <w:pPr>
              <w:jc w:val="right"/>
              <w:ind w:right="1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1,410</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23"/>
        </w:trPr>
        <w:tc>
          <w:tcPr>
            <w:tcW w:w="6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Issuances</w:t>
            </w:r>
          </w:p>
        </w:tc>
        <w:tc>
          <w:tcPr>
            <w:tcW w:w="260" w:type="dxa"/>
            <w:vAlign w:val="bottom"/>
            <w:shd w:val="clear" w:color="auto" w:fill="CCEEFF"/>
          </w:tcPr>
          <w:p>
            <w:pPr>
              <w:jc w:val="right"/>
              <w:ind w:right="113"/>
              <w:spacing w:after="0" w:line="158"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568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940" w:type="dxa"/>
            <w:vAlign w:val="bottom"/>
          </w:tcPr>
          <w:p>
            <w:pPr>
              <w:spacing w:after="0" w:line="158" w:lineRule="exact"/>
              <w:rPr>
                <w:sz w:val="20"/>
                <w:szCs w:val="20"/>
                <w:color w:val="auto"/>
              </w:rPr>
            </w:pPr>
            <w:r>
              <w:rPr>
                <w:rFonts w:ascii="Arial" w:cs="Arial" w:eastAsia="Arial" w:hAnsi="Arial"/>
                <w:sz w:val="14"/>
                <w:szCs w:val="14"/>
                <w:color w:val="auto"/>
              </w:rPr>
              <w:t>Repayments and settlements</w:t>
            </w:r>
          </w:p>
        </w:tc>
        <w:tc>
          <w:tcPr>
            <w:tcW w:w="26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(174)</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8"/>
        </w:trPr>
        <w:tc>
          <w:tcPr>
            <w:tcW w:w="6940" w:type="dxa"/>
            <w:vAlign w:val="bottom"/>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26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(1,136)</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(76)</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December 31, 2019</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vMerge w:val="continue"/>
          </w:tcPr>
          <w:p>
            <w:pPr>
              <w:spacing w:after="0"/>
              <w:rPr>
                <w:sz w:val="13"/>
                <w:szCs w:val="13"/>
                <w:color w:val="auto"/>
              </w:rPr>
            </w:pPr>
          </w:p>
        </w:tc>
        <w:tc>
          <w:tcPr>
            <w:tcW w:w="260" w:type="dxa"/>
            <w:vAlign w:val="bottom"/>
          </w:tcPr>
          <w:p>
            <w:pPr>
              <w:jc w:val="right"/>
              <w:ind w:right="1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Issuances (unaudited)</w:t>
            </w:r>
          </w:p>
        </w:tc>
        <w:tc>
          <w:tcPr>
            <w:tcW w:w="260" w:type="dxa"/>
            <w:vAlign w:val="bottom"/>
            <w:shd w:val="clear" w:color="auto" w:fill="CCEEFF"/>
          </w:tcPr>
          <w:p>
            <w:pPr>
              <w:jc w:val="right"/>
              <w:ind w:right="113"/>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940" w:type="dxa"/>
            <w:vAlign w:val="bottom"/>
          </w:tcPr>
          <w:p>
            <w:pPr>
              <w:spacing w:after="0" w:line="158" w:lineRule="exact"/>
              <w:rPr>
                <w:sz w:val="20"/>
                <w:szCs w:val="20"/>
                <w:color w:val="auto"/>
              </w:rPr>
            </w:pPr>
            <w:r>
              <w:rPr>
                <w:rFonts w:ascii="Arial" w:cs="Arial" w:eastAsia="Arial" w:hAnsi="Arial"/>
                <w:sz w:val="14"/>
                <w:szCs w:val="14"/>
                <w:color w:val="auto"/>
              </w:rPr>
              <w:t>Repayments and settlements (unaudited)</w:t>
            </w:r>
          </w:p>
        </w:tc>
        <w:tc>
          <w:tcPr>
            <w:tcW w:w="260" w:type="dxa"/>
            <w:vAlign w:val="bottom"/>
          </w:tcPr>
          <w:p>
            <w:pPr>
              <w:spacing w:after="0"/>
              <w:rPr>
                <w:sz w:val="13"/>
                <w:szCs w:val="13"/>
                <w:color w:val="auto"/>
              </w:rPr>
            </w:pPr>
          </w:p>
        </w:tc>
        <w:tc>
          <w:tcPr>
            <w:tcW w:w="100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 (unaudited)</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September 30, 2020 (unaudited)</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vMerge w:val="continue"/>
          </w:tcPr>
          <w:p>
            <w:pPr>
              <w:spacing w:after="0"/>
              <w:rPr>
                <w:sz w:val="13"/>
                <w:szCs w:val="13"/>
                <w:color w:val="auto"/>
              </w:rPr>
            </w:pPr>
          </w:p>
        </w:tc>
        <w:tc>
          <w:tcPr>
            <w:tcW w:w="260" w:type="dxa"/>
            <w:vAlign w:val="bottom"/>
          </w:tcPr>
          <w:p>
            <w:pPr>
              <w:jc w:val="right"/>
              <w:ind w:right="1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and Convertible Preferred Stock Warrants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fair values the of common stock warrant liabilities and convertible preferred stock warrant liabilities are estimated using the Black-Scholes option-pricing model. The Black-Scholes option-pricing model considers several variables and assumptions in estimating the fair value of the warrants, including the per share fair value of the underlying securities, exercise price, expected term, risk-free interest rate, expected annual dividend yield and expected stock price volatility over the expected term.</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20"/>
          </w:cols>
          <w:pgMar w:left="320" w:top="407" w:right="1359" w:bottom="1440" w:gutter="0" w:footer="0" w:header="0"/>
        </w:sectPr>
      </w:pPr>
    </w:p>
    <w:bookmarkStart w:id="280" w:name="page281"/>
    <w:bookmarkEnd w:id="2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common stock and convertible preferred stock warrants: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7"/>
          </w:tcPr>
          <w:p>
            <w:pPr>
              <w:ind w:left="40"/>
              <w:spacing w:after="0"/>
              <w:rPr>
                <w:sz w:val="20"/>
                <w:szCs w:val="20"/>
                <w:color w:val="auto"/>
              </w:rPr>
            </w:pPr>
            <w:r>
              <w:rPr>
                <w:rFonts w:ascii="Arial" w:cs="Arial" w:eastAsia="Arial" w:hAnsi="Arial"/>
                <w:sz w:val="12"/>
                <w:szCs w:val="12"/>
                <w:b w:val="1"/>
                <w:bCs w:val="1"/>
                <w:color w:val="auto"/>
              </w:rPr>
              <w:t>December 31, 2018</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2"/>
                <w:szCs w:val="12"/>
                <w:b w:val="1"/>
                <w:bCs w:val="1"/>
                <w:color w:val="auto"/>
              </w:rPr>
              <w:t>December 31, 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rPr>
              <w:t>September 30, 2020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ind w:left="20"/>
              <w:spacing w:after="0" w:line="113" w:lineRule="exact"/>
              <w:rPr>
                <w:sz w:val="20"/>
                <w:szCs w:val="20"/>
                <w:color w:val="auto"/>
              </w:rPr>
            </w:pPr>
            <w:r>
              <w:rPr>
                <w:rFonts w:ascii="Arial" w:cs="Arial" w:eastAsia="Arial" w:hAnsi="Arial"/>
                <w:sz w:val="12"/>
                <w:szCs w:val="12"/>
                <w:b w:val="1"/>
                <w:bCs w:val="1"/>
                <w:color w:val="auto"/>
                <w:w w:val="96"/>
              </w:rPr>
              <w:t>Weighted-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w w:val="99"/>
              </w:rPr>
              <w:t>Weighted-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w w:val="96"/>
              </w:rPr>
              <w:t>Weighted-</w:t>
            </w:r>
          </w:p>
        </w:tc>
        <w:tc>
          <w:tcPr>
            <w:tcW w:w="40" w:type="dxa"/>
            <w:vAlign w:val="bottom"/>
          </w:tcPr>
          <w:p>
            <w:pPr>
              <w:spacing w:after="0"/>
              <w:rPr>
                <w:sz w:val="9"/>
                <w:szCs w:val="9"/>
                <w:color w:val="auto"/>
              </w:rPr>
            </w:pPr>
          </w:p>
        </w:tc>
      </w:tr>
      <w:tr>
        <w:trPr>
          <w:trHeight w:val="14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Minimum</w:t>
            </w:r>
          </w:p>
        </w:tc>
        <w:tc>
          <w:tcPr>
            <w:tcW w:w="8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Maximum</w:t>
            </w:r>
          </w:p>
        </w:tc>
        <w:tc>
          <w:tcPr>
            <w:tcW w:w="60" w:type="dxa"/>
            <w:vAlign w:val="bottom"/>
          </w:tcPr>
          <w:p>
            <w:pPr>
              <w:spacing w:after="0"/>
              <w:rPr>
                <w:sz w:val="12"/>
                <w:szCs w:val="12"/>
                <w:color w:val="auto"/>
              </w:rPr>
            </w:pPr>
          </w:p>
        </w:tc>
        <w:tc>
          <w:tcPr>
            <w:tcW w:w="820" w:type="dxa"/>
            <w:vAlign w:val="bottom"/>
            <w:gridSpan w:val="3"/>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(1)</w:t>
            </w:r>
          </w:p>
        </w:tc>
        <w:tc>
          <w:tcPr>
            <w:tcW w:w="8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Minimum</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Maximum</w:t>
            </w:r>
          </w:p>
        </w:tc>
        <w:tc>
          <w:tcPr>
            <w:tcW w:w="720" w:type="dxa"/>
            <w:vAlign w:val="bottom"/>
            <w:gridSpan w:val="2"/>
          </w:tcPr>
          <w:p>
            <w:pPr>
              <w:jc w:val="right"/>
              <w:ind w:right="120"/>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Minimum</w:t>
            </w:r>
          </w:p>
        </w:tc>
        <w:tc>
          <w:tcPr>
            <w:tcW w:w="80" w:type="dxa"/>
            <w:vAlign w:val="bottom"/>
          </w:tcPr>
          <w:p>
            <w:pPr>
              <w:spacing w:after="0"/>
              <w:rPr>
                <w:sz w:val="12"/>
                <w:szCs w:val="1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Maximum</w:t>
            </w:r>
          </w:p>
        </w:tc>
        <w:tc>
          <w:tcPr>
            <w:tcW w:w="640" w:type="dxa"/>
            <w:vAlign w:val="bottom"/>
            <w:gridSpan w:val="2"/>
          </w:tcPr>
          <w:p>
            <w:pPr>
              <w:jc w:val="right"/>
              <w:ind w:right="40"/>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(1)</w:t>
            </w:r>
          </w:p>
        </w:tc>
      </w:tr>
      <w:tr>
        <w:trPr>
          <w:trHeight w:val="126"/>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3"/>
        </w:trPr>
        <w:tc>
          <w:tcPr>
            <w:tcW w:w="17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Convertible preferred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2"/>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stock warrant liabilities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8"/>
        </w:trPr>
        <w:tc>
          <w:tcPr>
            <w:tcW w:w="1720" w:type="dxa"/>
            <w:vAlign w:val="bottom"/>
          </w:tcPr>
          <w:p>
            <w:pPr>
              <w:spacing w:after="0" w:line="158" w:lineRule="exact"/>
              <w:rPr>
                <w:sz w:val="20"/>
                <w:szCs w:val="20"/>
                <w:color w:val="auto"/>
              </w:rPr>
            </w:pPr>
            <w:r>
              <w:rPr>
                <w:rFonts w:ascii="Arial" w:cs="Arial" w:eastAsia="Arial" w:hAnsi="Arial"/>
                <w:sz w:val="14"/>
                <w:szCs w:val="14"/>
                <w:color w:val="auto"/>
              </w:rPr>
              <w:t>Annual volatility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67.64%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75.19%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69.04%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53.00%</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55.89%</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80.00%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81.81%</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term (years)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0.46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2.86</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0.50</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1.86</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0.21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1.11</w:t>
            </w: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tcPr>
          <w:p>
            <w:pPr>
              <w:spacing w:after="0" w:line="158" w:lineRule="exact"/>
              <w:rPr>
                <w:sz w:val="20"/>
                <w:szCs w:val="20"/>
                <w:color w:val="auto"/>
              </w:rPr>
            </w:pPr>
            <w:r>
              <w:rPr>
                <w:rFonts w:ascii="Arial" w:cs="Arial" w:eastAsia="Arial" w:hAnsi="Arial"/>
                <w:sz w:val="14"/>
                <w:szCs w:val="14"/>
                <w:color w:val="auto"/>
              </w:rPr>
              <w:t>Dividend rate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interest rate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2.47%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1.60%</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0.12%</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9"/>
        </w:trPr>
        <w:tc>
          <w:tcPr>
            <w:tcW w:w="1720" w:type="dxa"/>
            <w:vAlign w:val="bottom"/>
          </w:tcPr>
          <w:p>
            <w:pPr>
              <w:spacing w:after="0" w:line="159" w:lineRule="exact"/>
              <w:rPr>
                <w:sz w:val="20"/>
                <w:szCs w:val="20"/>
                <w:color w:val="auto"/>
              </w:rPr>
            </w:pPr>
            <w:r>
              <w:rPr>
                <w:rFonts w:ascii="Arial" w:cs="Arial" w:eastAsia="Arial" w:hAnsi="Arial"/>
                <w:sz w:val="14"/>
                <w:szCs w:val="14"/>
                <w:color w:val="auto"/>
              </w:rPr>
              <w:t>Fair value of underlying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172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5.37</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5.37</w:t>
            </w:r>
          </w:p>
        </w:tc>
        <w:tc>
          <w:tcPr>
            <w:tcW w:w="180" w:type="dxa"/>
            <w:vAlign w:val="bottom"/>
          </w:tcPr>
          <w:p>
            <w:pPr>
              <w:spacing w:after="0"/>
              <w:rPr>
                <w:sz w:val="14"/>
                <w:szCs w:val="14"/>
                <w:color w:val="auto"/>
              </w:rPr>
            </w:pP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5.37</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6.68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12.22</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8.12</w:t>
            </w: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13.86</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84"/>
        </w:trPr>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43"/>
        </w:trPr>
        <w:tc>
          <w:tcPr>
            <w:tcW w:w="17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Common stock warrant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2"/>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8"/>
        </w:trPr>
        <w:tc>
          <w:tcPr>
            <w:tcW w:w="1720" w:type="dxa"/>
            <w:vAlign w:val="bottom"/>
          </w:tcPr>
          <w:p>
            <w:pPr>
              <w:spacing w:after="0" w:line="158" w:lineRule="exact"/>
              <w:rPr>
                <w:sz w:val="20"/>
                <w:szCs w:val="20"/>
                <w:color w:val="auto"/>
              </w:rPr>
            </w:pPr>
            <w:r>
              <w:rPr>
                <w:rFonts w:ascii="Arial" w:cs="Arial" w:eastAsia="Arial" w:hAnsi="Arial"/>
                <w:sz w:val="14"/>
                <w:szCs w:val="14"/>
                <w:color w:val="auto"/>
              </w:rPr>
              <w:t>Annual volatility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51.21%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57.39%</w:t>
            </w:r>
          </w:p>
        </w:tc>
        <w:tc>
          <w:tcPr>
            <w:tcW w:w="16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83.09%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term (years)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9.81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8.81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8.06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tcPr>
          <w:p>
            <w:pPr>
              <w:spacing w:after="0" w:line="158" w:lineRule="exact"/>
              <w:rPr>
                <w:sz w:val="20"/>
                <w:szCs w:val="20"/>
                <w:color w:val="auto"/>
              </w:rPr>
            </w:pPr>
            <w:r>
              <w:rPr>
                <w:rFonts w:ascii="Arial" w:cs="Arial" w:eastAsia="Arial" w:hAnsi="Arial"/>
                <w:sz w:val="14"/>
                <w:szCs w:val="14"/>
                <w:color w:val="auto"/>
              </w:rPr>
              <w:t>Dividend rate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interest rate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1.88%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9"/>
        </w:trPr>
        <w:tc>
          <w:tcPr>
            <w:tcW w:w="1720" w:type="dxa"/>
            <w:vAlign w:val="bottom"/>
          </w:tcPr>
          <w:p>
            <w:pPr>
              <w:spacing w:after="0" w:line="159" w:lineRule="exact"/>
              <w:rPr>
                <w:sz w:val="20"/>
                <w:szCs w:val="20"/>
                <w:color w:val="auto"/>
              </w:rPr>
            </w:pPr>
            <w:r>
              <w:rPr>
                <w:rFonts w:ascii="Arial" w:cs="Arial" w:eastAsia="Arial" w:hAnsi="Arial"/>
                <w:sz w:val="14"/>
                <w:szCs w:val="14"/>
                <w:color w:val="auto"/>
              </w:rPr>
              <w:t>Fair value of underlying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172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8.88</w:t>
            </w:r>
          </w:p>
        </w:tc>
        <w:tc>
          <w:tcPr>
            <w:tcW w:w="1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10.71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480" w:hanging="453"/>
        <w:spacing w:after="0"/>
        <w:tabs>
          <w:tab w:leader="none" w:pos="148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Unobservable inputs were weighted based on convertible preferred stock warrants outstanding</w:t>
      </w:r>
    </w:p>
    <w:p>
      <w:pPr>
        <w:spacing w:after="0" w:line="98" w:lineRule="exact"/>
        <w:rPr>
          <w:sz w:val="20"/>
          <w:szCs w:val="20"/>
          <w:color w:val="auto"/>
        </w:rPr>
      </w:pPr>
    </w:p>
    <w:p>
      <w:pPr>
        <w:ind w:left="1480" w:right="440" w:hanging="453"/>
        <w:spacing w:after="0"/>
        <w:tabs>
          <w:tab w:leader="none" w:pos="148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Not applicable as of the respective periods presented. Only one set of each of the convertible preferred stock warrants and common stock warrants were outstanding as of December 31, 2019 and September 30, 2020. Accordingly, weighted average inputs are not applicable.</w:t>
      </w:r>
    </w:p>
    <w:p>
      <w:pPr>
        <w:spacing w:after="0" w:line="154" w:lineRule="exact"/>
        <w:rPr>
          <w:sz w:val="20"/>
          <w:szCs w:val="20"/>
          <w:color w:val="auto"/>
        </w:rPr>
      </w:pPr>
    </w:p>
    <w:p>
      <w:pPr>
        <w:jc w:val="both"/>
        <w:ind w:left="1020" w:right="40" w:firstLine="460"/>
        <w:spacing w:after="0" w:line="251" w:lineRule="auto"/>
        <w:rPr>
          <w:sz w:val="20"/>
          <w:szCs w:val="20"/>
          <w:color w:val="auto"/>
        </w:rPr>
      </w:pPr>
      <w:r>
        <w:rPr>
          <w:rFonts w:ascii="Arial" w:cs="Arial" w:eastAsia="Arial" w:hAnsi="Arial"/>
          <w:sz w:val="15"/>
          <w:szCs w:val="15"/>
          <w:i w:val="1"/>
          <w:iCs w:val="1"/>
          <w:color w:val="auto"/>
        </w:rPr>
        <w:t>Volatility</w:t>
      </w:r>
      <w:r>
        <w:rPr>
          <w:rFonts w:ascii="Arial" w:cs="Arial" w:eastAsia="Arial" w:hAnsi="Arial"/>
          <w:sz w:val="15"/>
          <w:szCs w:val="15"/>
          <w:color w:val="auto"/>
        </w:rPr>
        <w:t>—Since the Company is privately held and does not have an active trading market for its common or convertible preferred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the expected volatility is estimated based on the average volatility for comparable publicly-traded companies, over a period equal to the expected term of the warrants.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contractual life of the warrants being valued.</w:t>
      </w:r>
    </w:p>
    <w:p>
      <w:pPr>
        <w:spacing w:after="0" w:line="177" w:lineRule="exact"/>
        <w:rPr>
          <w:sz w:val="20"/>
          <w:szCs w:val="20"/>
          <w:color w:val="auto"/>
        </w:rPr>
      </w:pPr>
    </w:p>
    <w:p>
      <w:pPr>
        <w:jc w:val="both"/>
        <w:ind w:left="1020" w:right="60" w:firstLine="460"/>
        <w:spacing w:after="0" w:line="267" w:lineRule="auto"/>
        <w:rPr>
          <w:sz w:val="20"/>
          <w:szCs w:val="20"/>
          <w:color w:val="auto"/>
        </w:rPr>
      </w:pPr>
      <w:r>
        <w:rPr>
          <w:rFonts w:ascii="Arial" w:cs="Arial" w:eastAsia="Arial" w:hAnsi="Arial"/>
          <w:sz w:val="15"/>
          <w:szCs w:val="15"/>
          <w:i w:val="1"/>
          <w:iCs w:val="1"/>
          <w:color w:val="auto"/>
        </w:rPr>
        <w:t>Dividend rate</w:t>
      </w:r>
      <w:r>
        <w:rPr>
          <w:rFonts w:ascii="Arial" w:cs="Arial" w:eastAsia="Arial" w:hAnsi="Arial"/>
          <w:sz w:val="15"/>
          <w:szCs w:val="15"/>
          <w:color w:val="auto"/>
        </w:rPr>
        <w:t>—The Company has never paid dividends on its common stock or convertible preferred stock and does not anticipate</w:t>
      </w:r>
      <w:r>
        <w:rPr>
          <w:rFonts w:ascii="Arial" w:cs="Arial" w:eastAsia="Arial" w:hAnsi="Arial"/>
          <w:sz w:val="15"/>
          <w:szCs w:val="15"/>
          <w:i w:val="1"/>
          <w:iCs w:val="1"/>
          <w:color w:val="auto"/>
        </w:rPr>
        <w:t xml:space="preserve"> </w:t>
      </w:r>
      <w:r>
        <w:rPr>
          <w:rFonts w:ascii="Arial" w:cs="Arial" w:eastAsia="Arial" w:hAnsi="Arial"/>
          <w:sz w:val="15"/>
          <w:szCs w:val="15"/>
          <w:color w:val="auto"/>
        </w:rPr>
        <w:t>paying dividends on common stock. Therefore, the Company uses an expected dividend yield of zero.</w:t>
      </w:r>
    </w:p>
    <w:p>
      <w:pPr>
        <w:spacing w:after="0" w:line="135" w:lineRule="exact"/>
        <w:rPr>
          <w:sz w:val="20"/>
          <w:szCs w:val="20"/>
          <w:color w:val="auto"/>
        </w:rPr>
      </w:pPr>
    </w:p>
    <w:p>
      <w:pPr>
        <w:ind w:left="1020" w:right="460" w:firstLine="460"/>
        <w:spacing w:after="0" w:line="267" w:lineRule="auto"/>
        <w:rPr>
          <w:sz w:val="20"/>
          <w:szCs w:val="20"/>
          <w:color w:val="auto"/>
        </w:rPr>
      </w:pPr>
      <w:r>
        <w:rPr>
          <w:rFonts w:ascii="Arial" w:cs="Arial" w:eastAsia="Arial" w:hAnsi="Arial"/>
          <w:sz w:val="15"/>
          <w:szCs w:val="15"/>
          <w:i w:val="1"/>
          <w:iCs w:val="1"/>
          <w:color w:val="auto"/>
        </w:rPr>
        <w:t>Risk-free rate</w:t>
      </w:r>
      <w:r>
        <w:rPr>
          <w:rFonts w:ascii="Arial" w:cs="Arial" w:eastAsia="Arial" w:hAnsi="Arial"/>
          <w:sz w:val="15"/>
          <w:szCs w:val="15"/>
          <w:color w:val="auto"/>
        </w:rPr>
        <w:t>—The risk-free interest rate is determined from the implied yields from U.S. Treasury zero-coupon bonds with a</w:t>
      </w:r>
      <w:r>
        <w:rPr>
          <w:rFonts w:ascii="Arial" w:cs="Arial" w:eastAsia="Arial" w:hAnsi="Arial"/>
          <w:sz w:val="15"/>
          <w:szCs w:val="15"/>
          <w:i w:val="1"/>
          <w:iCs w:val="1"/>
          <w:color w:val="auto"/>
        </w:rPr>
        <w:t xml:space="preserve"> </w:t>
      </w:r>
      <w:r>
        <w:rPr>
          <w:rFonts w:ascii="Arial" w:cs="Arial" w:eastAsia="Arial" w:hAnsi="Arial"/>
          <w:sz w:val="15"/>
          <w:szCs w:val="15"/>
          <w:color w:val="auto"/>
        </w:rPr>
        <w:t>remaining term consistent with the contractual term of the warrants being valued.</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20"/>
          </w:cols>
          <w:pgMar w:left="320" w:top="407" w:right="1359" w:bottom="1440" w:gutter="0" w:footer="0" w:header="0"/>
        </w:sectPr>
      </w:pPr>
    </w:p>
    <w:bookmarkStart w:id="281" w:name="page282"/>
    <w:bookmarkEnd w:id="2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firstLine="460"/>
        <w:spacing w:after="0" w:line="243" w:lineRule="auto"/>
        <w:rPr>
          <w:sz w:val="20"/>
          <w:szCs w:val="20"/>
          <w:color w:val="auto"/>
        </w:rPr>
      </w:pPr>
      <w:r>
        <w:rPr>
          <w:rFonts w:ascii="Arial" w:cs="Arial" w:eastAsia="Arial" w:hAnsi="Arial"/>
          <w:sz w:val="15"/>
          <w:szCs w:val="15"/>
          <w:i w:val="1"/>
          <w:iCs w:val="1"/>
          <w:color w:val="auto"/>
        </w:rPr>
        <w:t>Fair value of underlying security</w:t>
      </w:r>
      <w:r>
        <w:rPr>
          <w:rFonts w:ascii="Arial" w:cs="Arial" w:eastAsia="Arial" w:hAnsi="Arial"/>
          <w:sz w:val="15"/>
          <w:szCs w:val="15"/>
          <w:color w:val="auto"/>
        </w:rPr>
        <w:t>—The estimated fair value of the shares of underlying securities is determined by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as there is no public market for the Company’s common stock or preferred stock. The board of directors determines the fair value of the underlying securities by considering a number of objective and subjective factors, including: third-party valuations of the Company’s common stock and convertible preferred stock, the valuation of comparable companies, the Company’s operating and financial performance, and a general and an industry-specific economic outlook, amongst other factors.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103"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The fair value sensitivity of the common stock warrant liabilities and convertible preferred stock warrant liabilities to adverse changes in key assumptions would not result in a material impact on the Company’s financial position.</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following table presents a rollforward of the common stock warrant liabilities and convertible preferred stock warrant liabilities classified by the Company within Level 3 of the fair value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Convertible</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1"/>
                <w:szCs w:val="11"/>
                <w:color w:val="auto"/>
              </w:rPr>
            </w:pPr>
          </w:p>
        </w:tc>
        <w:tc>
          <w:tcPr>
            <w:tcW w:w="108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w w:val="98"/>
              </w:rPr>
              <w:t>Preferred Stock</w:t>
            </w:r>
          </w:p>
        </w:tc>
        <w:tc>
          <w:tcPr>
            <w:tcW w:w="0" w:type="dxa"/>
            <w:vAlign w:val="bottom"/>
          </w:tcPr>
          <w:p>
            <w:pPr>
              <w:spacing w:after="0"/>
              <w:rPr>
                <w:sz w:val="1"/>
                <w:szCs w:val="1"/>
                <w:color w:val="auto"/>
              </w:rPr>
            </w:pPr>
          </w:p>
        </w:tc>
      </w:tr>
      <w:tr>
        <w:trPr>
          <w:trHeight w:val="145"/>
        </w:trPr>
        <w:tc>
          <w:tcPr>
            <w:tcW w:w="6600" w:type="dxa"/>
            <w:vAlign w:val="bottom"/>
          </w:tcPr>
          <w:p>
            <w:pPr>
              <w:spacing w:after="0"/>
              <w:rPr>
                <w:sz w:val="12"/>
                <w:szCs w:val="12"/>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Warrant Liabilities</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Warrant Liabilities</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2017</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160"/>
        </w:trPr>
        <w:tc>
          <w:tcPr>
            <w:tcW w:w="6600" w:type="dxa"/>
            <w:vAlign w:val="bottom"/>
          </w:tcPr>
          <w:p>
            <w:pPr>
              <w:ind w:left="280"/>
              <w:spacing w:after="0"/>
              <w:rPr>
                <w:sz w:val="20"/>
                <w:szCs w:val="20"/>
                <w:color w:val="auto"/>
              </w:rPr>
            </w:pPr>
            <w:r>
              <w:rPr>
                <w:rFonts w:ascii="Arial" w:cs="Arial" w:eastAsia="Arial" w:hAnsi="Arial"/>
                <w:sz w:val="14"/>
                <w:szCs w:val="14"/>
                <w:color w:val="auto"/>
              </w:rPr>
              <w:t>Issuance of warrants</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227</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Exercises in the period</w:t>
            </w:r>
          </w:p>
        </w:tc>
        <w:tc>
          <w:tcPr>
            <w:tcW w:w="8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58"/>
        </w:trPr>
        <w:tc>
          <w:tcPr>
            <w:tcW w:w="6600" w:type="dxa"/>
            <w:vAlign w:val="bottom"/>
          </w:tcPr>
          <w:p>
            <w:pPr>
              <w:ind w:left="280"/>
              <w:spacing w:after="0" w:line="158" w:lineRule="exact"/>
              <w:rPr>
                <w:sz w:val="20"/>
                <w:szCs w:val="20"/>
                <w:color w:val="auto"/>
              </w:rPr>
            </w:pPr>
            <w:r>
              <w:rPr>
                <w:rFonts w:ascii="Arial" w:cs="Arial" w:eastAsia="Arial" w:hAnsi="Arial"/>
                <w:sz w:val="14"/>
                <w:szCs w:val="14"/>
                <w:color w:val="auto"/>
              </w:rPr>
              <w:t>Repurchases and retirements in the period</w:t>
            </w:r>
          </w:p>
        </w:tc>
        <w:tc>
          <w:tcPr>
            <w:tcW w:w="80" w:type="dxa"/>
            <w:vAlign w:val="bottom"/>
          </w:tcPr>
          <w:p>
            <w:pPr>
              <w:spacing w:after="0"/>
              <w:rPr>
                <w:sz w:val="13"/>
                <w:szCs w:val="13"/>
                <w:color w:val="auto"/>
              </w:rPr>
            </w:pPr>
          </w:p>
        </w:tc>
        <w:tc>
          <w:tcPr>
            <w:tcW w:w="13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(5,083)</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689</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4,301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380" w:type="dxa"/>
            <w:vAlign w:val="bottom"/>
            <w:gridSpan w:val="3"/>
          </w:tcPr>
          <w:p>
            <w:pPr>
              <w:jc w:val="right"/>
              <w:ind w:right="420"/>
              <w:spacing w:after="0"/>
              <w:rPr>
                <w:sz w:val="20"/>
                <w:szCs w:val="20"/>
                <w:color w:val="auto"/>
              </w:rPr>
            </w:pPr>
            <w:r>
              <w:rPr>
                <w:rFonts w:ascii="Arial" w:cs="Arial" w:eastAsia="Arial" w:hAnsi="Arial"/>
                <w:sz w:val="14"/>
                <w:szCs w:val="14"/>
                <w:color w:val="auto"/>
              </w:rPr>
              <w:t>1,136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5,666</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fair value recorded in earnings (unaudited)</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471</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0" w:type="dxa"/>
            <w:vAlign w:val="bottom"/>
          </w:tcPr>
          <w:p>
            <w:pPr>
              <w:spacing w:after="0"/>
              <w:rPr>
                <w:sz w:val="20"/>
                <w:szCs w:val="20"/>
                <w:color w:val="auto"/>
              </w:rPr>
            </w:pPr>
            <w:r>
              <w:rPr>
                <w:rFonts w:ascii="Arial" w:cs="Arial" w:eastAsia="Arial" w:hAnsi="Arial"/>
                <w:sz w:val="14"/>
                <w:szCs w:val="14"/>
                <w:b w:val="1"/>
                <w:bCs w:val="1"/>
                <w:color w:val="auto"/>
              </w:rPr>
              <w:t>Balance as of September 30, 2020 (unaudited)</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1,607</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7,458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5. Loans at Fair Value</w:t>
      </w:r>
    </w:p>
    <w:p>
      <w:pPr>
        <w:spacing w:after="0" w:line="105"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The following table presents the aggregate fair value and aggregate principal outstanding of all loans and loans that were 90 days or more past due included in the consolidated balance sheet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Loans</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8"/>
          </w:tcPr>
          <w:p>
            <w:pPr>
              <w:jc w:val="right"/>
              <w:ind w:right="334"/>
              <w:spacing w:after="0"/>
              <w:rPr>
                <w:sz w:val="20"/>
                <w:szCs w:val="20"/>
                <w:color w:val="auto"/>
              </w:rPr>
            </w:pPr>
            <w:r>
              <w:rPr>
                <w:rFonts w:ascii="Arial" w:cs="Arial" w:eastAsia="Arial" w:hAnsi="Arial"/>
                <w:sz w:val="12"/>
                <w:szCs w:val="12"/>
                <w:b w:val="1"/>
                <w:bCs w:val="1"/>
                <w:color w:val="auto"/>
              </w:rPr>
              <w:t>Loans &gt; 90 Days Past Due</w:t>
            </w:r>
          </w:p>
        </w:tc>
        <w:tc>
          <w:tcPr>
            <w:tcW w:w="80" w:type="dxa"/>
            <w:vAlign w:val="bottom"/>
          </w:tcPr>
          <w:p>
            <w:pPr>
              <w:spacing w:after="0"/>
              <w:rPr>
                <w:sz w:val="12"/>
                <w:szCs w:val="12"/>
                <w:color w:val="auto"/>
              </w:rPr>
            </w:pPr>
          </w:p>
        </w:tc>
      </w:tr>
      <w:tr>
        <w:trPr>
          <w:trHeight w:val="126"/>
        </w:trPr>
        <w:tc>
          <w:tcPr>
            <w:tcW w:w="3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80" w:type="dxa"/>
            <w:vAlign w:val="bottom"/>
            <w:gridSpan w:val="4"/>
          </w:tcPr>
          <w:p>
            <w:pPr>
              <w:jc w:val="right"/>
              <w:ind w:right="580"/>
              <w:spacing w:after="0" w:line="126" w:lineRule="exact"/>
              <w:rPr>
                <w:sz w:val="20"/>
                <w:szCs w:val="20"/>
                <w:color w:val="auto"/>
              </w:rPr>
            </w:pPr>
            <w:r>
              <w:rPr>
                <w:rFonts w:ascii="Arial" w:cs="Arial" w:eastAsia="Arial" w:hAnsi="Arial"/>
                <w:sz w:val="12"/>
                <w:szCs w:val="12"/>
                <w:b w:val="1"/>
                <w:bCs w:val="1"/>
                <w:color w:val="auto"/>
              </w:rPr>
              <w:t>December 31,</w:t>
            </w:r>
          </w:p>
        </w:tc>
        <w:tc>
          <w:tcPr>
            <w:tcW w:w="9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6"/>
          </w:tcPr>
          <w:p>
            <w:pPr>
              <w:jc w:val="right"/>
              <w:ind w:right="480"/>
              <w:spacing w:after="0" w:line="12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September 30</w:t>
            </w:r>
          </w:p>
        </w:tc>
      </w:tr>
      <w:tr>
        <w:trPr>
          <w:trHeight w:val="126"/>
        </w:trPr>
        <w:tc>
          <w:tcPr>
            <w:tcW w:w="3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97"/>
              <w:spacing w:after="0" w:line="126" w:lineRule="exact"/>
              <w:rPr>
                <w:sz w:val="20"/>
                <w:szCs w:val="20"/>
                <w:color w:val="auto"/>
              </w:rPr>
            </w:pPr>
            <w:r>
              <w:rPr>
                <w:rFonts w:ascii="Arial" w:cs="Arial" w:eastAsia="Arial" w:hAnsi="Arial"/>
                <w:sz w:val="12"/>
                <w:szCs w:val="12"/>
                <w:b w:val="1"/>
                <w:bCs w:val="1"/>
                <w:color w:val="auto"/>
              </w:rPr>
              <w:t>2018</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4"/>
              <w:spacing w:after="0" w:line="126" w:lineRule="exact"/>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w w:val="97"/>
              </w:rPr>
              <w:t>2018</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w w:val="97"/>
              </w:rPr>
              <w:t>2019</w:t>
            </w: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3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tcPr>
          <w:p>
            <w:pPr>
              <w:jc w:val="right"/>
              <w:ind w:right="1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0"/>
                <w:szCs w:val="10"/>
                <w:color w:val="auto"/>
              </w:rPr>
            </w:pPr>
          </w:p>
        </w:tc>
      </w:tr>
      <w:tr>
        <w:trPr>
          <w:trHeight w:val="158"/>
        </w:trPr>
        <w:tc>
          <w:tcPr>
            <w:tcW w:w="3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Outstanding principal balance</w:t>
            </w:r>
          </w:p>
        </w:tc>
        <w:tc>
          <w:tcPr>
            <w:tcW w:w="1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$550,466</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5"/>
              </w:rPr>
              <w:t>$276,974</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142,394</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4,362</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1,926</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1,398</w:t>
            </w: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4"/>
                <w:szCs w:val="14"/>
                <w:color w:val="auto"/>
              </w:rPr>
              <w:t>Net fair value and accrued interest adjustments</w:t>
            </w:r>
          </w:p>
        </w:tc>
        <w:tc>
          <w:tcPr>
            <w:tcW w:w="680" w:type="dxa"/>
            <w:vAlign w:val="bottom"/>
          </w:tcPr>
          <w:p>
            <w:pPr>
              <w:spacing w:after="0"/>
              <w:rPr>
                <w:sz w:val="13"/>
                <w:szCs w:val="13"/>
                <w:color w:val="auto"/>
              </w:rPr>
            </w:pPr>
          </w:p>
        </w:tc>
        <w:tc>
          <w:tcPr>
            <w:tcW w:w="8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(47,800)</w:t>
            </w:r>
          </w:p>
        </w:tc>
        <w:tc>
          <w:tcPr>
            <w:tcW w:w="8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(44,669)</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(19,686)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w w:val="94"/>
              </w:rPr>
              <w:t>(4,212)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(1,859)</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(1,360)</w:t>
            </w:r>
          </w:p>
        </w:tc>
      </w:tr>
      <w:tr>
        <w:trPr>
          <w:trHeight w:val="23"/>
        </w:trPr>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5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w:t>
            </w:r>
          </w:p>
        </w:tc>
        <w:tc>
          <w:tcPr>
            <w:tcW w:w="1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502,666</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232,305</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122,708</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67</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3"/>
                <w:szCs w:val="13"/>
                <w:color w:val="auto"/>
              </w:rPr>
            </w:pPr>
          </w:p>
        </w:tc>
      </w:tr>
      <w:tr>
        <w:trPr>
          <w:trHeight w:val="20"/>
        </w:trPr>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20"/>
          </w:cols>
          <w:pgMar w:left="320" w:top="407" w:right="1359" w:bottom="1440" w:gutter="0" w:footer="0" w:header="0"/>
        </w:sectPr>
      </w:pPr>
    </w:p>
    <w:bookmarkStart w:id="282" w:name="page283"/>
    <w:bookmarkEnd w:id="2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6. Balance Sheet Components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Assets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assets consisted of the following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ind w:left="22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Servicing fees and other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2,527</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8,321</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9,135</w:t>
            </w: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1,256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6,429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7,750</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Prepaid expenses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5,917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5,224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3,089</w:t>
            </w: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Loan servicing assets (at fair value)</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4,725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6,558</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assets (include $1,410 at fair value as of December 31, 2018)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1,484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4,899</w:t>
            </w:r>
          </w:p>
        </w:tc>
      </w:tr>
      <w:tr>
        <w:trPr>
          <w:trHeight w:val="20"/>
        </w:trPr>
        <w:tc>
          <w:tcPr>
            <w:tcW w:w="6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560" w:type="dxa"/>
            <w:vAlign w:val="bottom"/>
          </w:tcPr>
          <w:p>
            <w:pPr>
              <w:spacing w:after="0"/>
              <w:rPr>
                <w:sz w:val="20"/>
                <w:szCs w:val="20"/>
                <w:color w:val="auto"/>
              </w:rPr>
            </w:pPr>
            <w:r>
              <w:rPr>
                <w:rFonts w:ascii="Arial" w:cs="Arial" w:eastAsia="Arial" w:hAnsi="Arial"/>
                <w:sz w:val="14"/>
                <w:szCs w:val="14"/>
                <w:color w:val="auto"/>
              </w:rPr>
              <w:t>Total other assets</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11,184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24,754</w:t>
            </w:r>
          </w:p>
        </w:tc>
        <w:tc>
          <w:tcPr>
            <w:tcW w:w="20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31,431</w:t>
            </w:r>
          </w:p>
        </w:tc>
        <w:tc>
          <w:tcPr>
            <w:tcW w:w="40" w:type="dxa"/>
            <w:vAlign w:val="bottom"/>
          </w:tcPr>
          <w:p>
            <w:pPr>
              <w:spacing w:after="0"/>
              <w:rPr>
                <w:sz w:val="13"/>
                <w:szCs w:val="13"/>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Servicing fees and other receivables represent amounts recognized as revenue but not yet collected in relation to servicing and other agreements with institutional investors and bank partners.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Equipment, and Software,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Property, equipment, and software, net consisted of the following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40" w:type="dxa"/>
            <w:vAlign w:val="bottom"/>
          </w:tcPr>
          <w:p>
            <w:pPr>
              <w:spacing w:after="0"/>
              <w:rPr>
                <w:sz w:val="12"/>
                <w:szCs w:val="12"/>
                <w:color w:val="auto"/>
              </w:rPr>
            </w:pPr>
          </w:p>
        </w:tc>
        <w:tc>
          <w:tcPr>
            <w:tcW w:w="1740" w:type="dxa"/>
            <w:vAlign w:val="bottom"/>
            <w:gridSpan w:val="4"/>
          </w:tcPr>
          <w:p>
            <w:pPr>
              <w:jc w:val="right"/>
              <w:ind w:right="700"/>
              <w:spacing w:after="0"/>
              <w:rPr>
                <w:sz w:val="20"/>
                <w:szCs w:val="20"/>
                <w:color w:val="auto"/>
              </w:rPr>
            </w:pPr>
            <w:r>
              <w:rPr>
                <w:rFonts w:ascii="Arial" w:cs="Arial" w:eastAsia="Arial" w:hAnsi="Arial"/>
                <w:sz w:val="12"/>
                <w:szCs w:val="12"/>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54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6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3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Internally developed software</w:t>
            </w:r>
          </w:p>
        </w:tc>
        <w:tc>
          <w:tcPr>
            <w:tcW w:w="8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w w:val="93"/>
              </w:rPr>
              <w:t>$1,889</w:t>
            </w:r>
          </w:p>
        </w:tc>
        <w:tc>
          <w:tcPr>
            <w:tcW w:w="90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w w:val="98"/>
              </w:rPr>
              <w:t>$ 3,164</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6,461</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Computer equipment</w:t>
            </w:r>
          </w:p>
        </w:tc>
        <w:tc>
          <w:tcPr>
            <w:tcW w:w="8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124</w:t>
            </w:r>
          </w:p>
        </w:tc>
        <w:tc>
          <w:tcPr>
            <w:tcW w:w="90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672</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1,111</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Furniture and fixtures</w:t>
            </w:r>
          </w:p>
        </w:tc>
        <w:tc>
          <w:tcPr>
            <w:tcW w:w="8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114</w:t>
            </w:r>
          </w:p>
        </w:tc>
        <w:tc>
          <w:tcPr>
            <w:tcW w:w="90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1,638</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1,770</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Leasehold improvements</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15</w:t>
            </w:r>
          </w:p>
        </w:tc>
        <w:tc>
          <w:tcPr>
            <w:tcW w:w="420" w:type="dxa"/>
            <w:vAlign w:val="bottom"/>
          </w:tcPr>
          <w:p>
            <w:pPr>
              <w:spacing w:after="0"/>
              <w:rPr>
                <w:sz w:val="13"/>
                <w:szCs w:val="13"/>
                <w:color w:val="auto"/>
              </w:rPr>
            </w:pPr>
          </w:p>
        </w:tc>
        <w:tc>
          <w:tcPr>
            <w:tcW w:w="90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1,970</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2,763</w:t>
            </w:r>
          </w:p>
        </w:tc>
      </w:tr>
      <w:tr>
        <w:trPr>
          <w:trHeight w:val="23"/>
        </w:trPr>
        <w:tc>
          <w:tcPr>
            <w:tcW w:w="6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5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property, equipment, and software</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2,142</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7,444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12,105</w:t>
            </w:r>
          </w:p>
        </w:tc>
        <w:tc>
          <w:tcPr>
            <w:tcW w:w="80" w:type="dxa"/>
            <w:vAlign w:val="bottom"/>
            <w:shd w:val="clear" w:color="auto" w:fill="CCEEFF"/>
          </w:tcPr>
          <w:p>
            <w:pPr>
              <w:spacing w:after="0"/>
              <w:rPr>
                <w:sz w:val="13"/>
                <w:szCs w:val="13"/>
                <w:color w:val="auto"/>
              </w:rPr>
            </w:pP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Accumulated depreciation and amortization</w:t>
            </w:r>
          </w:p>
        </w:tc>
        <w:tc>
          <w:tcPr>
            <w:tcW w:w="8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(640)</w:t>
            </w: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(1,414)</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(3,045)</w:t>
            </w:r>
          </w:p>
        </w:tc>
      </w:tr>
      <w:tr>
        <w:trPr>
          <w:trHeight w:val="23"/>
        </w:trPr>
        <w:tc>
          <w:tcPr>
            <w:tcW w:w="6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property, equipment, and software, net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1,502</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w w:val="98"/>
              </w:rPr>
              <w:t>$ 6,030</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9,060</w:t>
            </w:r>
          </w:p>
        </w:tc>
      </w:tr>
      <w:tr>
        <w:trPr>
          <w:trHeight w:val="20"/>
        </w:trPr>
        <w:tc>
          <w:tcPr>
            <w:tcW w:w="6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Depreciation and amortization expense on property, equipment, and software for the years ended December 31, 2017, 2018, and 2019, was immaterial to the consolidated statements of operations and comprehensive income (loss). For the nine months ended September 30, 2020 (unaudited), depreciation and amortization expense on property, equipment, and software was $1.6 million. As of December 31, 2018 and 2019, and September 30, 2020 (unaudited), capitalized internally developed software balances, net of accumulated amortization, were $1.4 million, $2.2 million, and $4.9 million,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220"/>
          </w:cols>
          <w:pgMar w:left="320" w:top="407" w:right="1359" w:bottom="1440" w:gutter="0" w:footer="0" w:header="0"/>
        </w:sectPr>
      </w:pPr>
    </w:p>
    <w:bookmarkStart w:id="283" w:name="page284"/>
    <w:bookmarkEnd w:id="2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Liabilities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liabilities consisted of the following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22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6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5,158</w:t>
            </w: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$15,006</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11,321</w:t>
            </w:r>
          </w:p>
        </w:tc>
        <w:tc>
          <w:tcPr>
            <w:tcW w:w="40" w:type="dxa"/>
            <w:vAlign w:val="bottom"/>
            <w:shd w:val="clear" w:color="auto" w:fill="CCEEFF"/>
          </w:tcPr>
          <w:p>
            <w:pPr>
              <w:spacing w:after="0"/>
              <w:rPr>
                <w:sz w:val="13"/>
                <w:szCs w:val="13"/>
                <w:color w:val="auto"/>
              </w:rPr>
            </w:pP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Accrued payroll</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848</w:t>
            </w:r>
          </w:p>
        </w:tc>
        <w:tc>
          <w:tcPr>
            <w:tcW w:w="200" w:type="dxa"/>
            <w:vAlign w:val="bottom"/>
          </w:tcPr>
          <w:p>
            <w:pPr>
              <w:spacing w:after="0"/>
              <w:rPr>
                <w:sz w:val="13"/>
                <w:szCs w:val="13"/>
                <w:color w:val="auto"/>
              </w:rPr>
            </w:pPr>
          </w:p>
        </w:tc>
        <w:tc>
          <w:tcPr>
            <w:tcW w:w="90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5,746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3,722</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7,579</w:t>
            </w:r>
          </w:p>
        </w:tc>
        <w:tc>
          <w:tcPr>
            <w:tcW w:w="90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5,666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7,458</w:t>
            </w: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447</w:t>
            </w:r>
          </w:p>
        </w:tc>
        <w:tc>
          <w:tcPr>
            <w:tcW w:w="200" w:type="dxa"/>
            <w:vAlign w:val="bottom"/>
          </w:tcPr>
          <w:p>
            <w:pPr>
              <w:spacing w:after="0"/>
              <w:rPr>
                <w:sz w:val="13"/>
                <w:szCs w:val="13"/>
                <w:color w:val="auto"/>
              </w:rPr>
            </w:pPr>
          </w:p>
        </w:tc>
        <w:tc>
          <w:tcPr>
            <w:tcW w:w="90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1,136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1,607</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 servicing liabilities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1,685</w:t>
            </w:r>
          </w:p>
        </w:tc>
        <w:tc>
          <w:tcPr>
            <w:tcW w:w="90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5,140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7,349</w:t>
            </w: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Liability for repurchase and indemnification activities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20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143</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1,496</w:t>
            </w:r>
          </w:p>
        </w:tc>
        <w:tc>
          <w:tcPr>
            <w:tcW w:w="90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1,778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2,321</w:t>
            </w:r>
          </w:p>
        </w:tc>
      </w:tr>
      <w:tr>
        <w:trPr>
          <w:trHeight w:val="20"/>
        </w:trPr>
        <w:tc>
          <w:tcPr>
            <w:tcW w:w="6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560" w:type="dxa"/>
            <w:vAlign w:val="bottom"/>
          </w:tcPr>
          <w:p>
            <w:pPr>
              <w:spacing w:after="0"/>
              <w:rPr>
                <w:sz w:val="20"/>
                <w:szCs w:val="20"/>
                <w:color w:val="auto"/>
              </w:rPr>
            </w:pPr>
            <w:r>
              <w:rPr>
                <w:rFonts w:ascii="Arial" w:cs="Arial" w:eastAsia="Arial" w:hAnsi="Arial"/>
                <w:sz w:val="14"/>
                <w:szCs w:val="14"/>
                <w:color w:val="auto"/>
              </w:rPr>
              <w:t>Total other liabilities</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17,353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34,648</w:t>
            </w:r>
          </w:p>
        </w:tc>
        <w:tc>
          <w:tcPr>
            <w:tcW w:w="20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33,921</w:t>
            </w:r>
          </w:p>
        </w:tc>
        <w:tc>
          <w:tcPr>
            <w:tcW w:w="40" w:type="dxa"/>
            <w:vAlign w:val="bottom"/>
          </w:tcPr>
          <w:p>
            <w:pPr>
              <w:spacing w:after="0"/>
              <w:rPr>
                <w:sz w:val="13"/>
                <w:szCs w:val="13"/>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7. Borrowings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outstanding principal balances of borrowings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4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3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Term loans</w:t>
            </w:r>
          </w:p>
        </w:tc>
        <w:tc>
          <w:tcPr>
            <w:tcW w:w="2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$19,217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17,200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15,550</w:t>
            </w:r>
          </w:p>
        </w:tc>
        <w:tc>
          <w:tcPr>
            <w:tcW w:w="80" w:type="dxa"/>
            <w:vAlign w:val="bottom"/>
            <w:shd w:val="clear" w:color="auto" w:fill="CCEEFF"/>
          </w:tcPr>
          <w:p>
            <w:pPr>
              <w:spacing w:after="0"/>
              <w:rPr>
                <w:sz w:val="13"/>
                <w:szCs w:val="13"/>
                <w:color w:val="auto"/>
              </w:rPr>
            </w:pPr>
          </w:p>
        </w:tc>
      </w:tr>
      <w:tr>
        <w:trPr>
          <w:trHeight w:val="158"/>
        </w:trPr>
        <w:tc>
          <w:tcPr>
            <w:tcW w:w="4100" w:type="dxa"/>
            <w:vAlign w:val="bottom"/>
          </w:tcPr>
          <w:p>
            <w:pPr>
              <w:spacing w:after="0" w:line="158" w:lineRule="exact"/>
              <w:rPr>
                <w:sz w:val="20"/>
                <w:szCs w:val="20"/>
                <w:color w:val="auto"/>
              </w:rPr>
            </w:pPr>
            <w:r>
              <w:rPr>
                <w:rFonts w:ascii="Arial" w:cs="Arial" w:eastAsia="Arial" w:hAnsi="Arial"/>
                <w:sz w:val="14"/>
                <w:szCs w:val="14"/>
                <w:color w:val="auto"/>
              </w:rPr>
              <w:t>Revolving credit facility</w:t>
            </w:r>
          </w:p>
        </w:tc>
        <w:tc>
          <w:tcPr>
            <w:tcW w:w="3260" w:type="dxa"/>
            <w:vAlign w:val="bottom"/>
            <w:gridSpan w:val="3"/>
          </w:tcPr>
          <w:p>
            <w:pPr>
              <w:jc w:val="right"/>
              <w:ind w:right="360"/>
              <w:spacing w:after="0" w:line="158"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5,500</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5,500</w:t>
            </w: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Warehouse credit facilities</w:t>
            </w:r>
          </w:p>
        </w:tc>
        <w:tc>
          <w:tcPr>
            <w:tcW w:w="2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47,266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79,096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70,213</w:t>
            </w:r>
          </w:p>
        </w:tc>
        <w:tc>
          <w:tcPr>
            <w:tcW w:w="80" w:type="dxa"/>
            <w:vAlign w:val="bottom"/>
            <w:shd w:val="clear" w:color="auto" w:fill="CCEEFF"/>
          </w:tcPr>
          <w:p>
            <w:pPr>
              <w:spacing w:after="0"/>
              <w:rPr>
                <w:sz w:val="13"/>
                <w:szCs w:val="13"/>
                <w:color w:val="auto"/>
              </w:rPr>
            </w:pPr>
          </w:p>
        </w:tc>
      </w:tr>
      <w:tr>
        <w:trPr>
          <w:trHeight w:val="160"/>
        </w:trPr>
        <w:tc>
          <w:tcPr>
            <w:tcW w:w="4100" w:type="dxa"/>
            <w:vAlign w:val="bottom"/>
          </w:tcPr>
          <w:p>
            <w:pPr>
              <w:spacing w:after="0" w:line="158" w:lineRule="exact"/>
              <w:rPr>
                <w:sz w:val="20"/>
                <w:szCs w:val="20"/>
                <w:color w:val="auto"/>
              </w:rPr>
            </w:pPr>
            <w:r>
              <w:rPr>
                <w:rFonts w:ascii="Arial" w:cs="Arial" w:eastAsia="Arial" w:hAnsi="Arial"/>
                <w:sz w:val="14"/>
                <w:szCs w:val="14"/>
                <w:color w:val="auto"/>
              </w:rPr>
              <w:t>Risk retention funding loans</w:t>
            </w:r>
          </w:p>
        </w:tc>
        <w:tc>
          <w:tcPr>
            <w:tcW w:w="2400" w:type="dxa"/>
            <w:vAlign w:val="bottom"/>
          </w:tcPr>
          <w:p>
            <w:pPr>
              <w:spacing w:after="0"/>
              <w:rPr>
                <w:sz w:val="13"/>
                <w:szCs w:val="13"/>
                <w:color w:val="auto"/>
              </w:rPr>
            </w:pPr>
          </w:p>
        </w:tc>
        <w:tc>
          <w:tcPr>
            <w:tcW w:w="8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6,702</w:t>
            </w: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16,941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9,398</w:t>
            </w: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payments due</w:t>
            </w:r>
          </w:p>
        </w:tc>
        <w:tc>
          <w:tcPr>
            <w:tcW w:w="240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75,185</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118,737</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100,661</w:t>
            </w:r>
          </w:p>
        </w:tc>
        <w:tc>
          <w:tcPr>
            <w:tcW w:w="80" w:type="dxa"/>
            <w:vAlign w:val="bottom"/>
            <w:shd w:val="clear" w:color="auto" w:fill="CCEEFF"/>
          </w:tcPr>
          <w:p>
            <w:pPr>
              <w:spacing w:after="0"/>
              <w:rPr>
                <w:sz w:val="13"/>
                <w:szCs w:val="13"/>
                <w:color w:val="auto"/>
              </w:rPr>
            </w:pPr>
          </w:p>
        </w:tc>
      </w:tr>
      <w:tr>
        <w:trPr>
          <w:trHeight w:val="160"/>
        </w:trPr>
        <w:tc>
          <w:tcPr>
            <w:tcW w:w="4100" w:type="dxa"/>
            <w:vAlign w:val="bottom"/>
          </w:tcPr>
          <w:p>
            <w:pPr>
              <w:spacing w:after="0" w:line="158" w:lineRule="exact"/>
              <w:rPr>
                <w:sz w:val="20"/>
                <w:szCs w:val="20"/>
                <w:color w:val="auto"/>
              </w:rPr>
            </w:pPr>
            <w:r>
              <w:rPr>
                <w:rFonts w:ascii="Arial" w:cs="Arial" w:eastAsia="Arial" w:hAnsi="Arial"/>
                <w:sz w:val="14"/>
                <w:szCs w:val="14"/>
                <w:color w:val="auto"/>
              </w:rPr>
              <w:t>Unamortized debt discount</w:t>
            </w:r>
          </w:p>
        </w:tc>
        <w:tc>
          <w:tcPr>
            <w:tcW w:w="2400" w:type="dxa"/>
            <w:vAlign w:val="bottom"/>
          </w:tcPr>
          <w:p>
            <w:pPr>
              <w:spacing w:after="0"/>
              <w:rPr>
                <w:sz w:val="13"/>
                <w:szCs w:val="13"/>
                <w:color w:val="auto"/>
              </w:rPr>
            </w:pPr>
          </w:p>
        </w:tc>
        <w:tc>
          <w:tcPr>
            <w:tcW w:w="8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3"/>
                <w:szCs w:val="13"/>
                <w:color w:val="auto"/>
              </w:rPr>
            </w:pPr>
          </w:p>
        </w:tc>
        <w:tc>
          <w:tcPr>
            <w:tcW w:w="84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(73)</w:t>
            </w: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borrowings</w:t>
            </w:r>
          </w:p>
        </w:tc>
        <w:tc>
          <w:tcPr>
            <w:tcW w:w="2400" w:type="dxa"/>
            <w:vAlign w:val="bottom"/>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74,983</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118,609</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100,588</w:t>
            </w:r>
          </w:p>
        </w:tc>
        <w:tc>
          <w:tcPr>
            <w:tcW w:w="80" w:type="dxa"/>
            <w:vAlign w:val="bottom"/>
            <w:shd w:val="clear" w:color="auto" w:fill="CCEEFF"/>
          </w:tcPr>
          <w:p>
            <w:pPr>
              <w:spacing w:after="0"/>
              <w:rPr>
                <w:sz w:val="13"/>
                <w:szCs w:val="13"/>
                <w:color w:val="auto"/>
              </w:rPr>
            </w:pPr>
          </w:p>
        </w:tc>
      </w:tr>
      <w:tr>
        <w:trPr>
          <w:trHeight w:val="20"/>
        </w:trPr>
        <w:tc>
          <w:tcPr>
            <w:tcW w:w="4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Term Loans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February 2016, the Company, together with its wholly-owned subsidiary, Upstart Network, Inc. (“UNI”) as the co-borrower, entered into a loan and security agreement (the “LSA”) with a third-party lender to obtain a term loan of $5.5 million. The term loan had an original maturity of March 1, 2019. In September 2018, the parties amended the LSA to extend the maturity date to December 1, 2020. Commencing on the effective date of the amended LSA, the Company is required to repay the term loan in thirty (30) equal monthly installments plus accrued interest. Any outstanding principal and accrued and unpaid interest are due in full on December 1, 2020. The term loan bears a floating interest of prime rate plus 1.75% per annum, payable on the first calendar day of each month. As of December 31, 2018 and 2019, and September 30, 2020, the interest rates were 7.25%, 6.50%, and 5.00%, respectively.</w:t>
      </w:r>
    </w:p>
    <w:p>
      <w:pPr>
        <w:spacing w:after="0" w:line="171" w:lineRule="exact"/>
        <w:rPr>
          <w:sz w:val="20"/>
          <w:szCs w:val="20"/>
          <w:color w:val="auto"/>
        </w:rPr>
      </w:pPr>
    </w:p>
    <w:p>
      <w:pPr>
        <w:ind w:left="1020" w:right="260" w:firstLine="460"/>
        <w:spacing w:after="0" w:line="235" w:lineRule="auto"/>
        <w:rPr>
          <w:sz w:val="20"/>
          <w:szCs w:val="20"/>
          <w:color w:val="auto"/>
        </w:rPr>
      </w:pPr>
      <w:r>
        <w:rPr>
          <w:rFonts w:ascii="Arial" w:cs="Arial" w:eastAsia="Arial" w:hAnsi="Arial"/>
          <w:sz w:val="15"/>
          <w:szCs w:val="15"/>
          <w:color w:val="auto"/>
        </w:rPr>
        <w:t>In October 2018, the Company and UNI entered into a mezzanine loan and security agreement with the same lender to obtain a second term loan of up to $15.0 million (the “Mezzanine Loan”). The Mezzanine Loan bears interest at the greater of prime rate plus 5.25% or 10.00% per annum, payable monthly. As of December 31, 2018 and 2019, and September 30, 2020, the interest rates were</w:t>
      </w:r>
    </w:p>
    <w:p>
      <w:pPr>
        <w:ind w:left="1020"/>
        <w:spacing w:after="0"/>
        <w:rPr>
          <w:sz w:val="20"/>
          <w:szCs w:val="20"/>
          <w:color w:val="auto"/>
        </w:rPr>
      </w:pPr>
      <w:r>
        <w:rPr>
          <w:rFonts w:ascii="Arial" w:cs="Arial" w:eastAsia="Arial" w:hAnsi="Arial"/>
          <w:sz w:val="15"/>
          <w:szCs w:val="15"/>
          <w:color w:val="auto"/>
        </w:rPr>
        <w:t>10.75%, 10.00% and 8.50%, respectively. The principal balance is due upon maturity on October 1, 2021.</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20"/>
          </w:cols>
          <w:pgMar w:left="320" w:top="407" w:right="1359" w:bottom="1440" w:gutter="0" w:footer="0" w:header="0"/>
        </w:sectPr>
      </w:pPr>
    </w:p>
    <w:bookmarkStart w:id="284" w:name="page285"/>
    <w:bookmarkEnd w:id="2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term loans are secured by all assets of the Company, excluding assets of consolidated securitizations and cash and restricted cash relating to other borrowing arrangements.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UNI Credit Facility</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connection with the LSA with the same lender above, as amended in September 2018, the Company and UNI also obtained a revolving credit facility of up to $5.5 million (the “UNI Credit Facility”). The UNI Credit Facility had an original termination and maturity date of June 1, 2020. During the nine months ended September 30, 2020 (unaudited), the parties agreed to extend the maturity date of the UNI Credit Facility to December 1, 2020 when the outstanding principal and any accrued and unpaid interest are due and payable in full. The UNI Credit Facility bears floating interest at the greater of prime rate plus 1.00% or 4.25% annum, payable monthly, subject to a monthly minimum interest requirement prior to maturity. As of December 31, 2018 and 2019, and September 30, 2020, the interest rates were 6.50%, 5.75% and 4.25%, respectively.</w:t>
      </w:r>
    </w:p>
    <w:p>
      <w:pPr>
        <w:spacing w:after="0" w:line="171"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UNI Credit Facility is secured by all assets of the Company, excluding assets of consolidated securitizations and cash and restricted cash relating to other borrowing arrangements. The UNI Credit Facility contains certain financial covenants. As of December 31, 2019 and September 30, 2020 (unaudited), the Company was in material compliance with all applicable covenants under the revolving credit and security agreement.</w:t>
      </w:r>
    </w:p>
    <w:p>
      <w:pPr>
        <w:spacing w:after="0" w:line="172"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As of December 31, 2018 and 2019, and September 30, 2020 (unaudited), outstanding borrowings under the UNI Credit Facility were $2.0 million, $5.5 million, and $5.5 million, respectively.</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Warehouse Credit Facilities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Loan Trust Credit Facility</w:t>
      </w:r>
    </w:p>
    <w:p>
      <w:pPr>
        <w:spacing w:after="0" w:line="103"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Under the revolving credit and security agreement, as amended from time to time, ULT may borrow up to $100.0 million (subject to a borrowing base capacity) until the earlier of May 15, 2021 or the occurrence of an accelerated amortization event. An accelerated amortization event includes failure to satisfy certain loan performance metrics or the occurrence of an event of default. The proceeds may only be used to purchase unsecured personal loans from Upstart’s platform and to pay fees and expenses related to the credit facility. The ULT Warehouse Credit Facility matures on the earlier of May 15, 2022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plus a spread ranging from 3.35% to 4.00% per annum, due and payable monthly in arrears. The Company is subject to additional interest payments under a minimum utilization requirement of $35 million (unaudited). As of December 31, 2018 and 2019, and September 30, 2020, the interest rates were</w:t>
      </w:r>
    </w:p>
    <w:p>
      <w:pPr>
        <w:spacing w:after="0" w:line="2" w:lineRule="exact"/>
        <w:rPr>
          <w:sz w:val="20"/>
          <w:szCs w:val="20"/>
          <w:color w:val="auto"/>
        </w:rPr>
      </w:pPr>
    </w:p>
    <w:p>
      <w:pPr>
        <w:ind w:left="1020" w:right="140"/>
        <w:spacing w:after="0" w:line="245" w:lineRule="auto"/>
        <w:rPr>
          <w:sz w:val="20"/>
          <w:szCs w:val="20"/>
          <w:color w:val="auto"/>
        </w:rPr>
      </w:pPr>
      <w:r>
        <w:rPr>
          <w:rFonts w:ascii="Arial" w:cs="Arial" w:eastAsia="Arial" w:hAnsi="Arial"/>
          <w:sz w:val="15"/>
          <w:szCs w:val="15"/>
          <w:color w:val="auto"/>
        </w:rPr>
        <w:t>5.66%, 5.68% and 4.08%, respectively. The maximum advance rate under the ULT Warehouse Credit Facility on outstanding principal of loans held by ULT was 85% as of December 31, 2019 and 80% as of September 30, 2020 (unaudited).</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220"/>
          </w:cols>
          <w:pgMar w:left="320" w:top="407" w:right="1359" w:bottom="1440" w:gutter="0" w:footer="0" w:header="0"/>
        </w:sectPr>
      </w:pPr>
    </w:p>
    <w:bookmarkStart w:id="285" w:name="page286"/>
    <w:bookmarkEnd w:id="2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 ULT Warehouse Credit Facility contains certain financial covenants. As of December 31, 2019 and September 30, 2020 (unaudited), ULT was in material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following table includes the aggregate balances held by ULT that were pledged as collateral for the ULT Warehouse Credit Facility and included in loans at fair value and restricted cash in the condensed consolidated balance sheets, respectively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gridSpan w:val="9"/>
          </w:tcPr>
          <w:p>
            <w:pPr>
              <w:ind w:left="420"/>
              <w:spacing w:after="0"/>
              <w:rPr>
                <w:sz w:val="20"/>
                <w:szCs w:val="20"/>
                <w:color w:val="auto"/>
              </w:rPr>
            </w:pPr>
            <w:r>
              <w:rPr>
                <w:rFonts w:ascii="Arial" w:cs="Arial" w:eastAsia="Arial" w:hAnsi="Arial"/>
                <w:sz w:val="12"/>
                <w:szCs w:val="12"/>
                <w:b w:val="1"/>
                <w:bCs w:val="1"/>
                <w:color w:val="auto"/>
              </w:rPr>
              <w:t>ULT Warehouse Credit Facility</w:t>
            </w:r>
          </w:p>
        </w:tc>
      </w:tr>
      <w:tr>
        <w:trPr>
          <w:trHeight w:val="126"/>
        </w:trPr>
        <w:tc>
          <w:tcPr>
            <w:tcW w:w="5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5"/>
          </w:tcPr>
          <w:p>
            <w:pPr>
              <w:ind w:left="280"/>
              <w:spacing w:after="0" w:line="126" w:lineRule="exact"/>
              <w:rPr>
                <w:sz w:val="20"/>
                <w:szCs w:val="20"/>
                <w:color w:val="auto"/>
              </w:rPr>
            </w:pPr>
            <w:r>
              <w:rPr>
                <w:rFonts w:ascii="Arial" w:cs="Arial" w:eastAsia="Arial" w:hAnsi="Arial"/>
                <w:sz w:val="12"/>
                <w:szCs w:val="12"/>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7"/>
              </w:rPr>
              <w:t>September 30,</w:t>
            </w:r>
          </w:p>
        </w:tc>
        <w:tc>
          <w:tcPr>
            <w:tcW w:w="40" w:type="dxa"/>
            <w:vAlign w:val="bottom"/>
          </w:tcPr>
          <w:p>
            <w:pPr>
              <w:spacing w:after="0"/>
              <w:rPr>
                <w:sz w:val="10"/>
                <w:szCs w:val="10"/>
                <w:color w:val="auto"/>
              </w:rPr>
            </w:pPr>
          </w:p>
        </w:tc>
      </w:tr>
      <w:tr>
        <w:trPr>
          <w:trHeight w:val="126"/>
        </w:trPr>
        <w:tc>
          <w:tcPr>
            <w:tcW w:w="5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1"/>
              <w:spacing w:after="0" w:line="126" w:lineRule="exact"/>
              <w:rPr>
                <w:sz w:val="20"/>
                <w:szCs w:val="20"/>
                <w:color w:val="auto"/>
              </w:rPr>
            </w:pPr>
            <w:r>
              <w:rPr>
                <w:rFonts w:ascii="Arial" w:cs="Arial" w:eastAsia="Arial" w:hAnsi="Arial"/>
                <w:sz w:val="12"/>
                <w:szCs w:val="12"/>
                <w:b w:val="1"/>
                <w:bCs w:val="1"/>
                <w:color w:val="auto"/>
              </w:rPr>
              <w:t>2018</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5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0"/>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69"/>
        </w:trPr>
        <w:tc>
          <w:tcPr>
            <w:tcW w:w="5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Outstanding borrowings</w:t>
            </w:r>
          </w:p>
        </w:tc>
        <w:tc>
          <w:tcPr>
            <w:tcW w:w="1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42,739</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5"/>
              </w:rPr>
              <w:t>54,770</w:t>
            </w:r>
          </w:p>
        </w:tc>
        <w:tc>
          <w:tcPr>
            <w:tcW w:w="2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52,754</w:t>
            </w:r>
          </w:p>
        </w:tc>
      </w:tr>
      <w:tr>
        <w:trPr>
          <w:trHeight w:val="169"/>
        </w:trPr>
        <w:tc>
          <w:tcPr>
            <w:tcW w:w="5420" w:type="dxa"/>
            <w:vAlign w:val="bottom"/>
          </w:tcPr>
          <w:p>
            <w:pPr>
              <w:spacing w:after="0" w:line="169" w:lineRule="exact"/>
              <w:rPr>
                <w:sz w:val="20"/>
                <w:szCs w:val="20"/>
                <w:color w:val="auto"/>
              </w:rPr>
            </w:pPr>
            <w:r>
              <w:rPr>
                <w:rFonts w:ascii="Arial" w:cs="Arial" w:eastAsia="Arial" w:hAnsi="Arial"/>
                <w:sz w:val="15"/>
                <w:szCs w:val="15"/>
                <w:color w:val="auto"/>
              </w:rPr>
              <w:t>Aggregate outstanding principal of loans pledged as collateral</w:t>
            </w:r>
          </w:p>
        </w:tc>
        <w:tc>
          <w:tcPr>
            <w:tcW w:w="11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62,291</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w w:val="95"/>
              </w:rPr>
              <w:t>73,489</w:t>
            </w:r>
          </w:p>
        </w:tc>
        <w:tc>
          <w:tcPr>
            <w:tcW w:w="280" w:type="dxa"/>
            <w:vAlign w:val="bottom"/>
            <w:gridSpan w:val="2"/>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80,962</w:t>
            </w:r>
          </w:p>
        </w:tc>
      </w:tr>
      <w:tr>
        <w:trPr>
          <w:trHeight w:val="169"/>
        </w:trPr>
        <w:tc>
          <w:tcPr>
            <w:tcW w:w="5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Aggregate fair value of personal loans purchased and held by ULT</w:t>
            </w:r>
          </w:p>
        </w:tc>
        <w:tc>
          <w:tcPr>
            <w:tcW w:w="1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65,967</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5"/>
              </w:rPr>
              <w:t>86,742</w:t>
            </w:r>
          </w:p>
        </w:tc>
        <w:tc>
          <w:tcPr>
            <w:tcW w:w="2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81,989</w:t>
            </w:r>
          </w:p>
        </w:tc>
      </w:tr>
      <w:tr>
        <w:trPr>
          <w:trHeight w:val="180"/>
        </w:trPr>
        <w:tc>
          <w:tcPr>
            <w:tcW w:w="5420" w:type="dxa"/>
            <w:vAlign w:val="bottom"/>
          </w:tcPr>
          <w:p>
            <w:pPr>
              <w:spacing w:after="0"/>
              <w:rPr>
                <w:sz w:val="20"/>
                <w:szCs w:val="20"/>
                <w:color w:val="auto"/>
              </w:rPr>
            </w:pPr>
            <w:r>
              <w:rPr>
                <w:rFonts w:ascii="Arial" w:cs="Arial" w:eastAsia="Arial" w:hAnsi="Arial"/>
                <w:sz w:val="15"/>
                <w:szCs w:val="15"/>
                <w:color w:val="auto"/>
              </w:rPr>
              <w:t>Restricted cash pledged as collateral</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5"/>
                <w:szCs w:val="15"/>
                <w:color w:val="auto"/>
              </w:rPr>
              <w:t>3,880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3,441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13,032</w:t>
            </w:r>
          </w:p>
        </w:tc>
      </w:tr>
    </w:tbl>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Warehouse Trust Credit Facility</w:t>
      </w:r>
    </w:p>
    <w:p>
      <w:pPr>
        <w:spacing w:after="0" w:line="103"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In May 2018, the Company’s consolidated VIE, Upstart Warehouse Trust (“UWT”) entered into a revolving credit and security agreement with third-party lenders, including one subordinated lender, for an uncommitted credit facility up to $152.0 million (the “UWT Warehouse Credit Facility”) to fund UWT’s purchase of loans from Upstart’s platform. The ability to borrow additional amounts under this warehouse credit facility expired in May 2020. The UWT Warehouse Credit Facility matures on the earlier of May 21, 2021 or the acceleration of the facility following an event of default, upon which date 100% of the outstanding principal, together with any accrued and unpaid interest, becomes due and payable. The entire amount of the outstanding debt may be prepaid at any time without penalty. The UWT Warehouse Credit Facility bears a floating interest rate of LIBOR plus 2.75% for a total amount up to $125.0 million and LIBOR plus 6.25% for an additional amount up to $27.0 million funded by the subordinated lender. These interest rates increased by an additional</w:t>
      </w:r>
    </w:p>
    <w:p>
      <w:pPr>
        <w:spacing w:after="0" w:line="1"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0.75% following the scheduled expiration of the revolving period on May 22, 2020. As of December 31, 2018 and 2019, and September 30, 2020, the interest rates were 4.77%, 4.97% and 3.34%, respectively. The maximum advance rates under the UWT Warehouse Credit Facility for the senior loans and the subordinated loans held by UWT were 70% and 85%, respectively, as of December 31, 2018 and 2019, and September 30, 2020 (unaudited).</w:t>
      </w:r>
    </w:p>
    <w:p>
      <w:pPr>
        <w:spacing w:after="0" w:line="172"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The UWT Warehouse Credit Facility contains certain financial covenants. As of December 31, 2019, and September 30, 2020 (unaudited), UWT was in material compliance with all applicable covenants under the UWT Warehouse Credit Facility. The creditors of UWT have no recourse to the general credit of the Company except for certain limited obligations of UWT to its creditors that are guaranteed by the Company. The Company does not guarantee the credit performance of the loans owned by UWT, and the loans and other assets owned by UWT are not available to settle the claims of creditors of the Company.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0220"/>
          </w:cols>
          <w:pgMar w:left="320" w:top="407" w:right="1359" w:bottom="1440" w:gutter="0" w:footer="0" w:header="0"/>
        </w:sectPr>
      </w:pPr>
    </w:p>
    <w:bookmarkStart w:id="286" w:name="page287"/>
    <w:bookmarkEnd w:id="2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following table includes the aggregate balances held by UWT that were pledged as collateral for the UWT Warehouse Credit Facility and included in loans at fair value and restricted cash in the condensed consolidated balance sheets, respectively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9"/>
          </w:tcPr>
          <w:p>
            <w:pPr>
              <w:ind w:left="320"/>
              <w:spacing w:after="0"/>
              <w:rPr>
                <w:sz w:val="20"/>
                <w:szCs w:val="20"/>
                <w:color w:val="auto"/>
              </w:rPr>
            </w:pPr>
            <w:r>
              <w:rPr>
                <w:rFonts w:ascii="Arial" w:cs="Arial" w:eastAsia="Arial" w:hAnsi="Arial"/>
                <w:sz w:val="12"/>
                <w:szCs w:val="12"/>
                <w:b w:val="1"/>
                <w:bCs w:val="1"/>
                <w:color w:val="auto"/>
              </w:rPr>
              <w:t>UWT Warehouse Credit Facility</w:t>
            </w:r>
          </w:p>
        </w:tc>
      </w:tr>
      <w:tr>
        <w:trPr>
          <w:trHeight w:val="126"/>
        </w:trPr>
        <w:tc>
          <w:tcPr>
            <w:tcW w:w="6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ind w:left="220"/>
              <w:spacing w:after="0" w:line="126" w:lineRule="exact"/>
              <w:rPr>
                <w:sz w:val="20"/>
                <w:szCs w:val="20"/>
                <w:color w:val="auto"/>
              </w:rPr>
            </w:pPr>
            <w:r>
              <w:rPr>
                <w:rFonts w:ascii="Arial" w:cs="Arial" w:eastAsia="Arial" w:hAnsi="Arial"/>
                <w:sz w:val="12"/>
                <w:szCs w:val="12"/>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7"/>
              </w:rPr>
              <w:t>September 30,</w:t>
            </w:r>
          </w:p>
        </w:tc>
        <w:tc>
          <w:tcPr>
            <w:tcW w:w="40" w:type="dxa"/>
            <w:vAlign w:val="bottom"/>
          </w:tcPr>
          <w:p>
            <w:pPr>
              <w:spacing w:after="0"/>
              <w:rPr>
                <w:sz w:val="10"/>
                <w:szCs w:val="10"/>
                <w:color w:val="auto"/>
              </w:rPr>
            </w:pPr>
          </w:p>
        </w:tc>
      </w:tr>
      <w:tr>
        <w:trPr>
          <w:trHeight w:val="126"/>
        </w:trPr>
        <w:tc>
          <w:tcPr>
            <w:tcW w:w="65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1"/>
              <w:spacing w:after="0" w:line="126" w:lineRule="exact"/>
              <w:rPr>
                <w:sz w:val="20"/>
                <w:szCs w:val="20"/>
                <w:color w:val="auto"/>
              </w:rPr>
            </w:pPr>
            <w:r>
              <w:rPr>
                <w:rFonts w:ascii="Arial" w:cs="Arial" w:eastAsia="Arial" w:hAnsi="Arial"/>
                <w:sz w:val="12"/>
                <w:szCs w:val="12"/>
                <w:b w:val="1"/>
                <w:bCs w:val="1"/>
                <w:color w:val="auto"/>
                <w:w w:val="89"/>
              </w:rPr>
              <w:t>2018</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0"/>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69"/>
        </w:trPr>
        <w:tc>
          <w:tcPr>
            <w:tcW w:w="65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Outstanding borrowings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w w:val="95"/>
              </w:rPr>
              <w:t>4,527</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5"/>
              </w:rPr>
              <w:t>24,326</w:t>
            </w:r>
          </w:p>
        </w:tc>
        <w:tc>
          <w:tcPr>
            <w:tcW w:w="2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17,459</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color w:val="auto"/>
              </w:rPr>
              <w:t>Aggregate outstanding principal of loans pledged as collateral</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w w:val="95"/>
              </w:rPr>
              <w:t>6,056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w w:val="95"/>
              </w:rPr>
              <w:t>36,228</w:t>
            </w:r>
          </w:p>
        </w:tc>
        <w:tc>
          <w:tcPr>
            <w:tcW w:w="280" w:type="dxa"/>
            <w:vAlign w:val="bottom"/>
            <w:gridSpan w:val="2"/>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25,606</w:t>
            </w:r>
          </w:p>
        </w:tc>
      </w:tr>
      <w:tr>
        <w:trPr>
          <w:trHeight w:val="169"/>
        </w:trPr>
        <w:tc>
          <w:tcPr>
            <w:tcW w:w="65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Aggregate fair value of personal loans purchased and held by UWT</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w w:val="95"/>
              </w:rPr>
              <w:t>6,946</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5"/>
              </w:rPr>
              <w:t>39,557</w:t>
            </w:r>
          </w:p>
        </w:tc>
        <w:tc>
          <w:tcPr>
            <w:tcW w:w="2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27,164</w:t>
            </w:r>
          </w:p>
        </w:tc>
      </w:tr>
      <w:tr>
        <w:trPr>
          <w:trHeight w:val="180"/>
        </w:trPr>
        <w:tc>
          <w:tcPr>
            <w:tcW w:w="6520" w:type="dxa"/>
            <w:vAlign w:val="bottom"/>
          </w:tcPr>
          <w:p>
            <w:pPr>
              <w:spacing w:after="0"/>
              <w:rPr>
                <w:sz w:val="20"/>
                <w:szCs w:val="20"/>
                <w:color w:val="auto"/>
              </w:rPr>
            </w:pPr>
            <w:r>
              <w:rPr>
                <w:rFonts w:ascii="Arial" w:cs="Arial" w:eastAsia="Arial" w:hAnsi="Arial"/>
                <w:sz w:val="15"/>
                <w:szCs w:val="15"/>
                <w:color w:val="auto"/>
              </w:rPr>
              <w:t>Restricted cash pledged as collateral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80"/>
              <w:spacing w:after="0"/>
              <w:rPr>
                <w:sz w:val="20"/>
                <w:szCs w:val="20"/>
                <w:color w:val="auto"/>
              </w:rPr>
            </w:pPr>
            <w:r>
              <w:rPr>
                <w:rFonts w:ascii="Arial" w:cs="Arial" w:eastAsia="Arial" w:hAnsi="Arial"/>
                <w:sz w:val="15"/>
                <w:szCs w:val="15"/>
                <w:color w:val="auto"/>
              </w:rPr>
              <w:t>224</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1,720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1,326</w:t>
            </w:r>
          </w:p>
        </w:tc>
      </w:tr>
    </w:tbl>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Risk Retention Funding Loans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 RR entity as part of monthly cash distributions from the 2018-2 securitization on securitization notes and residual certificates. As of December 31, 2018 and 2019, the outstanding principal balance under the 2018-2 RR Financing Agreement was $6.7 million and $3.2 million, respectively. As of September 30, 2020 (unaudited), the outstanding principal balance under the 2018-2 RR Financing Agreement was immaterial.</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2019, the outstanding principal balance under the 2019-2 RR Financing Agreement was $13.8 million. As of September 30, 2020 (unaudited), the outstanding principal balance under the 2019-2 RR Financing Agreement was $9.4 million.</w:t>
      </w:r>
    </w:p>
    <w:p>
      <w:pPr>
        <w:spacing w:after="0" w:line="171"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$8.3 million, $22.0 million and $14.5 million of securities held for risk retention for the 2018-2 and 2019-2 securitization transactions, included in notes receivables and residual certificates on the consolidated balance sheets as of December 31, 2018 and 2019, and September 30, 2020 (unaudited),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220"/>
          </w:cols>
          <w:pgMar w:left="320" w:top="407" w:right="1359" w:bottom="1440" w:gutter="0" w:footer="0" w:header="0"/>
        </w:sectPr>
      </w:pPr>
    </w:p>
    <w:bookmarkStart w:id="287" w:name="page288"/>
    <w:bookmarkEnd w:id="2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aggregate amount of maturities of all borrowings as of September 30, 2020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834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83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8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8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Remainder of 2020</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6,050</w:t>
            </w:r>
          </w:p>
        </w:tc>
      </w:tr>
      <w:tr>
        <w:trPr>
          <w:trHeight w:val="158"/>
        </w:trPr>
        <w:tc>
          <w:tcPr>
            <w:tcW w:w="834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32,459</w:t>
            </w:r>
          </w:p>
        </w:tc>
        <w:tc>
          <w:tcPr>
            <w:tcW w:w="40" w:type="dxa"/>
            <w:vAlign w:val="bottom"/>
          </w:tcPr>
          <w:p>
            <w:pPr>
              <w:spacing w:after="0"/>
              <w:rPr>
                <w:sz w:val="13"/>
                <w:szCs w:val="13"/>
                <w:color w:val="auto"/>
              </w:rPr>
            </w:pPr>
          </w:p>
        </w:tc>
      </w:tr>
      <w:tr>
        <w:trPr>
          <w:trHeight w:val="158"/>
        </w:trPr>
        <w:tc>
          <w:tcPr>
            <w:tcW w:w="8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53,868</w:t>
            </w:r>
          </w:p>
        </w:tc>
        <w:tc>
          <w:tcPr>
            <w:tcW w:w="40" w:type="dxa"/>
            <w:vAlign w:val="bottom"/>
            <w:shd w:val="clear" w:color="auto" w:fill="CCEEFF"/>
          </w:tcPr>
          <w:p>
            <w:pPr>
              <w:spacing w:after="0"/>
              <w:rPr>
                <w:sz w:val="13"/>
                <w:szCs w:val="13"/>
                <w:color w:val="auto"/>
              </w:rPr>
            </w:pPr>
          </w:p>
        </w:tc>
      </w:tr>
      <w:tr>
        <w:trPr>
          <w:trHeight w:val="158"/>
        </w:trPr>
        <w:tc>
          <w:tcPr>
            <w:tcW w:w="834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8,283</w:t>
            </w:r>
          </w:p>
        </w:tc>
      </w:tr>
      <w:tr>
        <w:trPr>
          <w:trHeight w:val="158"/>
        </w:trPr>
        <w:tc>
          <w:tcPr>
            <w:tcW w:w="8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60"/>
        </w:trPr>
        <w:tc>
          <w:tcPr>
            <w:tcW w:w="8340" w:type="dxa"/>
            <w:vAlign w:val="bottom"/>
          </w:tcPr>
          <w:p>
            <w:pPr>
              <w:ind w:left="28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100,660</w:t>
            </w:r>
          </w:p>
        </w:tc>
        <w:tc>
          <w:tcPr>
            <w:tcW w:w="40" w:type="dxa"/>
            <w:vAlign w:val="bottom"/>
          </w:tcPr>
          <w:p>
            <w:pPr>
              <w:spacing w:after="0"/>
              <w:rPr>
                <w:sz w:val="13"/>
                <w:szCs w:val="13"/>
                <w:color w:val="auto"/>
              </w:rPr>
            </w:pPr>
          </w:p>
        </w:tc>
      </w:tr>
      <w:tr>
        <w:trPr>
          <w:trHeight w:val="20"/>
        </w:trPr>
        <w:tc>
          <w:tcPr>
            <w:tcW w:w="8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8. Convertible Promissory Notes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In September and October 2017, respectively, the Company issued $10.0 million of subordinated convertible promissory notes to each of two institutional investors, one of which is a related party of the Company, for total proceeds of $20.0 million. The notes had an annual interest of 8.00% and a maturity date of June 30, 2018. On June 30, 2018, the outstanding principal and accrued and unpaid interests of $21.2 million on the convertible promissory notes were converted into 5,871,382 shares of Series C-1 convertible preferred stock at a per share price of $3.612, equal to the issue price in the Series C-1 financing round. No convertible promissory notes were issued or outstanding as of and for the years ended December 31, 2018 and 2019, and as of and for the nine months ended September 30, 2020 (unaudited). Refer to “</w:t>
      </w:r>
      <w:r>
        <w:rPr>
          <w:rFonts w:ascii="Arial" w:cs="Arial" w:eastAsia="Arial" w:hAnsi="Arial"/>
          <w:sz w:val="15"/>
          <w:szCs w:val="15"/>
          <w:i w:val="1"/>
          <w:iCs w:val="1"/>
          <w:color w:val="auto"/>
        </w:rPr>
        <w:t>Note 15. Related Party Transactions”</w:t>
      </w:r>
      <w:r>
        <w:rPr>
          <w:rFonts w:ascii="Arial" w:cs="Arial" w:eastAsia="Arial" w:hAnsi="Arial"/>
          <w:sz w:val="15"/>
          <w:szCs w:val="15"/>
          <w:b w:val="1"/>
          <w:bCs w:val="1"/>
          <w:color w:val="auto"/>
        </w:rPr>
        <w:t>.</w:t>
      </w:r>
    </w:p>
    <w:p>
      <w:pPr>
        <w:spacing w:after="0" w:line="171"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In conjunction with the issuance of the convertible promissory notes, the Company issued warrants to purchase an aggregate of 830,468 shares of Series C-1 convertible preferred stock. Of these warrants, 415,234 were issued to a related party of the Company. On conversion of the convertible promissory notes on June 30, 2018, these warrants were cancelled.</w:t>
      </w:r>
    </w:p>
    <w:p>
      <w:pPr>
        <w:spacing w:after="0" w:line="242" w:lineRule="exact"/>
        <w:rPr>
          <w:sz w:val="20"/>
          <w:szCs w:val="20"/>
          <w:color w:val="auto"/>
        </w:rPr>
      </w:pPr>
    </w:p>
    <w:p>
      <w:pPr>
        <w:ind w:left="1480" w:right="4020" w:hanging="453"/>
        <w:spacing w:after="0" w:line="373" w:lineRule="auto"/>
        <w:tabs>
          <w:tab w:leader="none" w:pos="1187" w:val="left"/>
        </w:tabs>
        <w:numPr>
          <w:ilvl w:val="0"/>
          <w:numId w:val="15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Convertible Preferred Stock and Convertible Preferred Stock Warrants Convertible Preferred Stock</w:t>
      </w:r>
    </w:p>
    <w:p>
      <w:pPr>
        <w:ind w:left="1020" w:right="300" w:firstLine="460"/>
        <w:spacing w:after="0" w:line="245" w:lineRule="auto"/>
        <w:rPr>
          <w:sz w:val="20"/>
          <w:szCs w:val="20"/>
          <w:color w:val="auto"/>
        </w:rPr>
      </w:pPr>
      <w:r>
        <w:rPr>
          <w:rFonts w:ascii="Arial" w:cs="Arial" w:eastAsia="Arial" w:hAnsi="Arial"/>
          <w:sz w:val="15"/>
          <w:szCs w:val="15"/>
          <w:color w:val="auto"/>
        </w:rPr>
        <w:t>As of December 31, 2018, the Company’s convertible preferred stock consisted of the following balances (in thousands, except share and per share amounts):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Shares Issued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04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and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c>
          <w:tcPr>
            <w:tcW w:w="0" w:type="dxa"/>
            <w:vAlign w:val="bottom"/>
          </w:tcPr>
          <w:p>
            <w:pPr>
              <w:spacing w:after="0"/>
              <w:rPr>
                <w:sz w:val="1"/>
                <w:szCs w:val="1"/>
                <w:color w:val="auto"/>
              </w:rPr>
            </w:pPr>
          </w:p>
        </w:tc>
      </w:tr>
      <w:tr>
        <w:trPr>
          <w:trHeight w:val="145"/>
        </w:trPr>
        <w:tc>
          <w:tcPr>
            <w:tcW w:w="5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Authorized</w:t>
            </w:r>
          </w:p>
        </w:tc>
        <w:tc>
          <w:tcPr>
            <w:tcW w:w="3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Outstanding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Carrying Value</w:t>
            </w:r>
          </w:p>
        </w:tc>
        <w:tc>
          <w:tcPr>
            <w:tcW w:w="16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Preference</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Series Seed</w:t>
            </w: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6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2,009,641</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2,009,641</w:t>
            </w:r>
          </w:p>
        </w:tc>
        <w:tc>
          <w:tcPr>
            <w:tcW w:w="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1,693</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A</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5,547,713</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5,547,713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5,828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5,900</w:t>
            </w:r>
          </w:p>
        </w:tc>
        <w:tc>
          <w:tcPr>
            <w:tcW w:w="0" w:type="dxa"/>
            <w:vAlign w:val="bottom"/>
          </w:tcPr>
          <w:p>
            <w:pPr>
              <w:spacing w:after="0"/>
              <w:rPr>
                <w:sz w:val="1"/>
                <w:szCs w:val="1"/>
                <w:color w:val="auto"/>
              </w:rPr>
            </w:pP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B</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10,140,679</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8,640,160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14,312</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14,395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C</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9,724,108</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9,724,108</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34,877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C-1</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15,394,772</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15,394,772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53,368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55,612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D</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99"/>
              </w:rPr>
              <w:t>11,110,744</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5,566,483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47,845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50,100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53,927,657</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46,882,877</w:t>
            </w:r>
          </w:p>
        </w:tc>
        <w:tc>
          <w:tcPr>
            <w:tcW w:w="38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157,923</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162,757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0220"/>
          </w:cols>
          <w:pgMar w:left="320" w:top="407" w:right="1359" w:bottom="1440" w:gutter="0" w:footer="0" w:header="0"/>
        </w:sectPr>
      </w:pPr>
    </w:p>
    <w:bookmarkStart w:id="288" w:name="page289"/>
    <w:bookmarkEnd w:id="2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As of December 31, 2019, the Company’s convertible preferred stock consisted of the following balances (in thousands, except share and per share amounts):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8"/>
              </w:rPr>
              <w:t>Shares Issued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7"/>
              </w:rPr>
              <w:t>Aggregate</w:t>
            </w:r>
          </w:p>
        </w:tc>
      </w:tr>
      <w:tr>
        <w:trPr>
          <w:trHeight w:val="135"/>
        </w:trPr>
        <w:tc>
          <w:tcPr>
            <w:tcW w:w="5520" w:type="dxa"/>
            <w:vAlign w:val="bottom"/>
          </w:tcPr>
          <w:p>
            <w:pPr>
              <w:spacing w:after="0"/>
              <w:rPr>
                <w:sz w:val="11"/>
                <w:szCs w:val="11"/>
                <w:color w:val="auto"/>
              </w:rPr>
            </w:pPr>
          </w:p>
        </w:tc>
        <w:tc>
          <w:tcPr>
            <w:tcW w:w="98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rPr>
              <w:t>Shares</w:t>
            </w: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and</w:t>
            </w:r>
          </w:p>
        </w:tc>
        <w:tc>
          <w:tcPr>
            <w:tcW w:w="220" w:type="dxa"/>
            <w:vAlign w:val="bottom"/>
          </w:tcPr>
          <w:p>
            <w:pPr>
              <w:spacing w:after="0"/>
              <w:rPr>
                <w:sz w:val="11"/>
                <w:szCs w:val="11"/>
                <w:color w:val="auto"/>
              </w:rPr>
            </w:pP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1"/>
                <w:szCs w:val="11"/>
                <w:color w:val="auto"/>
              </w:rPr>
            </w:pPr>
          </w:p>
        </w:tc>
        <w:tc>
          <w:tcPr>
            <w:tcW w:w="76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55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Authorized</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Value</w:t>
            </w:r>
          </w:p>
        </w:tc>
        <w:tc>
          <w:tcPr>
            <w:tcW w:w="120" w:type="dxa"/>
            <w:vAlign w:val="bottom"/>
          </w:tcPr>
          <w:p>
            <w:pPr>
              <w:spacing w:after="0"/>
              <w:rPr>
                <w:sz w:val="12"/>
                <w:szCs w:val="12"/>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Preference</w:t>
            </w:r>
          </w:p>
        </w:tc>
      </w:tr>
      <w:tr>
        <w:trPr>
          <w:trHeight w:val="126"/>
        </w:trPr>
        <w:tc>
          <w:tcPr>
            <w:tcW w:w="55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right"/>
              <w:spacing w:after="0" w:line="126" w:lineRule="exact"/>
              <w:rPr>
                <w:sz w:val="20"/>
                <w:szCs w:val="20"/>
                <w:color w:val="auto"/>
              </w:rPr>
            </w:pPr>
            <w:r>
              <w:rPr>
                <w:rFonts w:ascii="Arial" w:cs="Arial" w:eastAsia="Arial" w:hAnsi="Arial"/>
                <w:sz w:val="12"/>
                <w:szCs w:val="12"/>
                <w:b w:val="1"/>
                <w:bCs w:val="1"/>
                <w:color w:val="auto"/>
              </w:rPr>
              <w:t>(unaudited)</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Seed</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2,009,641</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2,009,641</w:t>
            </w:r>
          </w:p>
        </w:tc>
        <w:tc>
          <w:tcPr>
            <w:tcW w:w="3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1,693</w:t>
            </w: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1,750</w:t>
            </w: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A</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5,547,713</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5,547,713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5,828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5,900</w:t>
            </w: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B</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10,140,679</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8,940,263</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15,943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14,895</w:t>
            </w:r>
          </w:p>
        </w:tc>
        <w:tc>
          <w:tcPr>
            <w:tcW w:w="60" w:type="dxa"/>
            <w:vAlign w:val="bottom"/>
            <w:shd w:val="clear" w:color="auto" w:fill="CCEEFF"/>
          </w:tcPr>
          <w:p>
            <w:pPr>
              <w:spacing w:after="0"/>
              <w:rPr>
                <w:sz w:val="13"/>
                <w:szCs w:val="13"/>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C</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9,724,108</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9,446,277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33,877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34,000</w:t>
            </w:r>
          </w:p>
        </w:tc>
        <w:tc>
          <w:tcPr>
            <w:tcW w:w="60" w:type="dxa"/>
            <w:vAlign w:val="bottom"/>
          </w:tcPr>
          <w:p>
            <w:pPr>
              <w:spacing w:after="0"/>
              <w:rPr>
                <w:sz w:val="13"/>
                <w:szCs w:val="13"/>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C-1</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15,394,772</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15,394,772</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53,368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55,612</w:t>
            </w:r>
          </w:p>
        </w:tc>
        <w:tc>
          <w:tcPr>
            <w:tcW w:w="60" w:type="dxa"/>
            <w:vAlign w:val="bottom"/>
            <w:shd w:val="clear" w:color="auto" w:fill="CCEEFF"/>
          </w:tcPr>
          <w:p>
            <w:pPr>
              <w:spacing w:after="0"/>
              <w:rPr>
                <w:sz w:val="13"/>
                <w:szCs w:val="13"/>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D</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11,110,744</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6,010,911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51,837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54,100</w:t>
            </w:r>
          </w:p>
        </w:tc>
        <w:tc>
          <w:tcPr>
            <w:tcW w:w="60" w:type="dxa"/>
            <w:vAlign w:val="bottom"/>
          </w:tcPr>
          <w:p>
            <w:pPr>
              <w:spacing w:after="0"/>
              <w:rPr>
                <w:sz w:val="13"/>
                <w:szCs w:val="13"/>
                <w:color w:val="auto"/>
              </w:rPr>
            </w:pPr>
          </w:p>
        </w:tc>
      </w:tr>
      <w:tr>
        <w:trPr>
          <w:trHeight w:val="23"/>
        </w:trPr>
        <w:tc>
          <w:tcPr>
            <w:tcW w:w="5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53,927,657</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47,349,577</w:t>
            </w:r>
          </w:p>
        </w:tc>
        <w:tc>
          <w:tcPr>
            <w:tcW w:w="3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162,546</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166,257</w:t>
            </w:r>
          </w:p>
        </w:tc>
        <w:tc>
          <w:tcPr>
            <w:tcW w:w="60" w:type="dxa"/>
            <w:vAlign w:val="bottom"/>
            <w:shd w:val="clear" w:color="auto" w:fill="CCEEFF"/>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As of September 30, 2020, the Company’s convertible preferred stock consisted of the following balances (in thousands, except share and per share amounts):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Shares Issued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Aggregate</w:t>
            </w:r>
          </w:p>
        </w:tc>
      </w:tr>
      <w:tr>
        <w:trPr>
          <w:trHeight w:val="135"/>
        </w:trPr>
        <w:tc>
          <w:tcPr>
            <w:tcW w:w="5140" w:type="dxa"/>
            <w:vAlign w:val="bottom"/>
          </w:tcPr>
          <w:p>
            <w:pPr>
              <w:spacing w:after="0"/>
              <w:rPr>
                <w:sz w:val="11"/>
                <w:szCs w:val="11"/>
                <w:color w:val="auto"/>
              </w:rPr>
            </w:pPr>
          </w:p>
        </w:tc>
        <w:tc>
          <w:tcPr>
            <w:tcW w:w="1140" w:type="dxa"/>
            <w:vAlign w:val="bottom"/>
            <w:gridSpan w:val="2"/>
          </w:tcPr>
          <w:p>
            <w:pPr>
              <w:jc w:val="right"/>
              <w:ind w:right="480"/>
              <w:spacing w:after="0" w:line="136" w:lineRule="exact"/>
              <w:rPr>
                <w:sz w:val="20"/>
                <w:szCs w:val="20"/>
                <w:color w:val="auto"/>
              </w:rPr>
            </w:pPr>
            <w:r>
              <w:rPr>
                <w:rFonts w:ascii="Arial" w:cs="Arial" w:eastAsia="Arial" w:hAnsi="Arial"/>
                <w:sz w:val="12"/>
                <w:szCs w:val="12"/>
                <w:b w:val="1"/>
                <w:bCs w:val="1"/>
                <w:color w:val="auto"/>
              </w:rPr>
              <w:t>Shares</w:t>
            </w:r>
          </w:p>
        </w:tc>
        <w:tc>
          <w:tcPr>
            <w:tcW w:w="114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rPr>
              <w:t>and</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1"/>
                <w:szCs w:val="11"/>
                <w:color w:val="auto"/>
              </w:rPr>
            </w:pPr>
          </w:p>
        </w:tc>
        <w:tc>
          <w:tcPr>
            <w:tcW w:w="82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8"/>
              </w:rPr>
              <w:t>Liquidation</w:t>
            </w:r>
          </w:p>
        </w:tc>
      </w:tr>
      <w:tr>
        <w:trPr>
          <w:trHeight w:val="145"/>
        </w:trPr>
        <w:tc>
          <w:tcPr>
            <w:tcW w:w="5140" w:type="dxa"/>
            <w:vAlign w:val="bottom"/>
          </w:tcPr>
          <w:p>
            <w:pPr>
              <w:spacing w:after="0"/>
              <w:rPr>
                <w:sz w:val="12"/>
                <w:szCs w:val="12"/>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Authorized</w:t>
            </w: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Outstanding</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2"/>
                <w:szCs w:val="12"/>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9"/>
              </w:rPr>
              <w:t>Preference</w:t>
            </w:r>
          </w:p>
        </w:tc>
      </w:tr>
      <w:tr>
        <w:trPr>
          <w:trHeight w:val="160"/>
        </w:trPr>
        <w:tc>
          <w:tcPr>
            <w:tcW w:w="514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Series Seed (unaudited)</w:t>
            </w:r>
          </w:p>
        </w:tc>
        <w:tc>
          <w:tcPr>
            <w:tcW w:w="9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2,009,641</w:t>
            </w:r>
          </w:p>
        </w:tc>
        <w:tc>
          <w:tcPr>
            <w:tcW w:w="2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2,009,641</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1,693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1,750</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5140" w:type="dxa"/>
            <w:vAlign w:val="bottom"/>
          </w:tcPr>
          <w:p>
            <w:pPr>
              <w:spacing w:after="0" w:line="169" w:lineRule="exact"/>
              <w:rPr>
                <w:sz w:val="20"/>
                <w:szCs w:val="20"/>
                <w:color w:val="auto"/>
              </w:rPr>
            </w:pPr>
            <w:r>
              <w:rPr>
                <w:rFonts w:ascii="Arial" w:cs="Arial" w:eastAsia="Arial" w:hAnsi="Arial"/>
                <w:sz w:val="15"/>
                <w:szCs w:val="15"/>
                <w:color w:val="auto"/>
              </w:rPr>
              <w:t>Series A (unaudited)</w:t>
            </w:r>
          </w:p>
        </w:tc>
        <w:tc>
          <w:tcPr>
            <w:tcW w:w="11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5,547,713</w:t>
            </w: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5,547,713</w:t>
            </w:r>
          </w:p>
        </w:tc>
        <w:tc>
          <w:tcPr>
            <w:tcW w:w="100" w:type="dxa"/>
            <w:vAlign w:val="bottom"/>
          </w:tcPr>
          <w:p>
            <w:pPr>
              <w:spacing w:after="0"/>
              <w:rPr>
                <w:sz w:val="14"/>
                <w:szCs w:val="14"/>
                <w:color w:val="auto"/>
              </w:rPr>
            </w:pPr>
          </w:p>
        </w:tc>
        <w:tc>
          <w:tcPr>
            <w:tcW w:w="7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5,828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5,900</w:t>
            </w:r>
          </w:p>
        </w:tc>
      </w:tr>
      <w:tr>
        <w:trPr>
          <w:trHeight w:val="169"/>
        </w:trPr>
        <w:tc>
          <w:tcPr>
            <w:tcW w:w="5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 (unaudited)</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10,140,679</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8,940,263</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15,943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14,895</w:t>
            </w:r>
          </w:p>
        </w:tc>
      </w:tr>
      <w:tr>
        <w:trPr>
          <w:trHeight w:val="169"/>
        </w:trPr>
        <w:tc>
          <w:tcPr>
            <w:tcW w:w="5140" w:type="dxa"/>
            <w:vAlign w:val="bottom"/>
          </w:tcPr>
          <w:p>
            <w:pPr>
              <w:spacing w:after="0" w:line="169" w:lineRule="exact"/>
              <w:rPr>
                <w:sz w:val="20"/>
                <w:szCs w:val="20"/>
                <w:color w:val="auto"/>
              </w:rPr>
            </w:pPr>
            <w:r>
              <w:rPr>
                <w:rFonts w:ascii="Arial" w:cs="Arial" w:eastAsia="Arial" w:hAnsi="Arial"/>
                <w:sz w:val="15"/>
                <w:szCs w:val="15"/>
                <w:color w:val="auto"/>
              </w:rPr>
              <w:t>Series C (unaudited)</w:t>
            </w:r>
          </w:p>
        </w:tc>
        <w:tc>
          <w:tcPr>
            <w:tcW w:w="11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9,724,108</w:t>
            </w: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9,446,277</w:t>
            </w:r>
          </w:p>
        </w:tc>
        <w:tc>
          <w:tcPr>
            <w:tcW w:w="100" w:type="dxa"/>
            <w:vAlign w:val="bottom"/>
          </w:tcPr>
          <w:p>
            <w:pPr>
              <w:spacing w:after="0"/>
              <w:rPr>
                <w:sz w:val="14"/>
                <w:szCs w:val="14"/>
                <w:color w:val="auto"/>
              </w:rPr>
            </w:pPr>
          </w:p>
        </w:tc>
        <w:tc>
          <w:tcPr>
            <w:tcW w:w="7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33,877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34,000</w:t>
            </w:r>
          </w:p>
        </w:tc>
      </w:tr>
      <w:tr>
        <w:trPr>
          <w:trHeight w:val="169"/>
        </w:trPr>
        <w:tc>
          <w:tcPr>
            <w:tcW w:w="5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 (unaudited)</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15,394,772</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15,394,772</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53,368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55,612</w:t>
            </w:r>
          </w:p>
        </w:tc>
      </w:tr>
      <w:tr>
        <w:trPr>
          <w:trHeight w:val="169"/>
        </w:trPr>
        <w:tc>
          <w:tcPr>
            <w:tcW w:w="5140" w:type="dxa"/>
            <w:vAlign w:val="bottom"/>
          </w:tcPr>
          <w:p>
            <w:pPr>
              <w:spacing w:after="0" w:line="169" w:lineRule="exact"/>
              <w:rPr>
                <w:sz w:val="20"/>
                <w:szCs w:val="20"/>
                <w:color w:val="auto"/>
              </w:rPr>
            </w:pPr>
            <w:r>
              <w:rPr>
                <w:rFonts w:ascii="Arial" w:cs="Arial" w:eastAsia="Arial" w:hAnsi="Arial"/>
                <w:sz w:val="15"/>
                <w:szCs w:val="15"/>
                <w:color w:val="auto"/>
              </w:rPr>
              <w:t>Series D (unaudited)</w:t>
            </w: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11,110,744</w:t>
            </w: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6,010,911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51,837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54,100</w:t>
            </w:r>
          </w:p>
        </w:tc>
      </w:tr>
      <w:tr>
        <w:trPr>
          <w:trHeight w:val="23"/>
        </w:trPr>
        <w:tc>
          <w:tcPr>
            <w:tcW w:w="5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53,927,657</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47,349,577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162,546</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166,257</w:t>
            </w:r>
          </w:p>
        </w:tc>
      </w:tr>
      <w:tr>
        <w:trPr>
          <w:trHeight w:val="20"/>
        </w:trPr>
        <w:tc>
          <w:tcPr>
            <w:tcW w:w="5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holders of the Series Seed, A, B, C, C-1, and D convertible preferred stock (together the “convertible preferred stock”) have various rights, preferences, privileges, and restrictions, with respect to voting, dividends, liquidation, and conversion as follows:</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Dividends</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holders of Series Seed, A, B, C, C-1, and D convertible preferred stock are entitled to receive noncumulative dividends at an annual rate of $0.07, $0.09, $0.13, $0.29, $0.29, and $0.72 per share payable, respectively, if and when, declared by the board of directors, prior and in preference to any payment of any dividend on the common stock. The holders of convertible preferred stock are also entitled to participate in dividends on common stock on an as-converted basis. As of December 31, 2018 and 2019, and September 30, 2020 (unaudited), no dividends have been declared or paid to date.</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Voting Rights</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Each share of convertible preferred stock has voting rights equal to the number of shares of common stock into which such preferred stock is convertible. The holders of convertible preferred stock vote together with the holders of common stock as a single class.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220"/>
          </w:cols>
          <w:pgMar w:left="320" w:top="407" w:right="1359" w:bottom="1440" w:gutter="0" w:footer="0" w:header="0"/>
        </w:sectPr>
      </w:pPr>
    </w:p>
    <w:bookmarkStart w:id="289" w:name="page290"/>
    <w:bookmarkEnd w:id="2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Liquidation Preference</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the event of any liquidation, dissolution, or winding up of the Company, either voluntary or involuntary, the holders of convertible preferred stock shall be entitled to receive, on the same basis for each class, prior and in preference to any distribution of any of the assets of the Company to the holders of common stock, an amount equal to $ 0.8708, $1.0635, $1.666089, $3.599299, $3.612413 and $9.000295 per share for each outstanding share of Series Seed, A, B, C, C-1 and D convertible preferred stock then held, plus any declared or accrued but unpaid dividends thereon. If, upon occurrence of such event, the assets and funds distributed among the holders of convertible preferred stock shall be insufficient to permit the payment, then the entire assets and funds of the Company legally available for distribution shall be distributed ratably among the holders of convertible preferred stock in proportion to the preferential amount each such holder is otherwise entitled to receive.</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the event of the liquidation, dissolution, winding up of the Company, or occurrence of (i) sale, lease, transfer, or disposal of any subsidiary or substantially all of its assets or (ii) merger with, into, or consolidation with another entity (the “Liquidation Transaction”), after payment of all preferential amounts required to be paid to the holders, the remaining assets of the Company available for distribution to the Company’s stockholders shall be distributed among the holders of common stock.</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Conversion Rights</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At the option of the holder, each share of convertible preferred stock is convertible into shares of common stock as is determined by dividing $0.8708, $1.0635, $1.666089, $3.599299, $3.612413 and $9.000295 per share for Series Seed, A, B, C, C-1 and D, respectively, by the conversion price applicable to such shares. The initial conversion price per share is $0.8708, $ 1.0635, $1.666089, $3.599299, $3.612413 and $9.000295 per share for Series Seed, A, B, C, C-1 and D convertible preferred stock, respectively. The conversion ratio for the convertible preferred stock shall be subject to appropriate adjustments for stock splits, stock dividends, combinations, subdivisions, recapitalizations, or the like. In addition, if the Company should issue any additional stock without consideration or for a consideration per share less than the conversion price for the convertible preferred stock, the conversion price for each series shall automatically be adjusted in accordance with anti-dilution provisions contained in the Company’s Amended Certificate of Incorporation.</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Each share of convertible preferred stock will automatically convert into shares of common stock at the conversion rate then in effect upon the earlier of (i) the closing of a firm commitment underwritten public offering registered on Form S-1 with the offering price not less than $13.451340 per share and aggregate proceeds of not less than $150.0 million, net of underwriting discounts and commissions or</w:t>
      </w:r>
    </w:p>
    <w:p>
      <w:pPr>
        <w:ind w:left="1020" w:right="120" w:firstLine="7"/>
        <w:spacing w:after="0"/>
        <w:tabs>
          <w:tab w:leader="none" w:pos="1228"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vote or written consent of the holders of at least 65% of the then-outstanding shares of convertible preferred stock, voting together as a single class, and the vote of written consent of at least a majority of the shares of Series D convertible preferred stock, voting separately as a single class.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Classification</w:t>
      </w:r>
    </w:p>
    <w:p>
      <w:pPr>
        <w:spacing w:after="0" w:line="103"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The Company has classified its convertible preferred stock as mezzanine equity on the consolidated balance sheets as the stock is contingently redeemable. Upon the occurrence of certain deemed liquidation events that are outside the Company’s control, including liquidation, sale or transfer of the Company, holders of the convertible preferred stock can cause redemption for cash. During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220"/>
          </w:cols>
          <w:pgMar w:left="320" w:top="407" w:right="1359" w:bottom="1440" w:gutter="0" w:footer="0" w:header="0"/>
        </w:sectPr>
      </w:pPr>
    </w:p>
    <w:bookmarkStart w:id="290" w:name="page291"/>
    <w:bookmarkEnd w:id="2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40"/>
        <w:spacing w:after="0" w:line="245" w:lineRule="auto"/>
        <w:rPr>
          <w:sz w:val="20"/>
          <w:szCs w:val="20"/>
          <w:color w:val="auto"/>
        </w:rPr>
      </w:pPr>
      <w:r>
        <w:rPr>
          <w:rFonts w:ascii="Arial" w:cs="Arial" w:eastAsia="Arial" w:hAnsi="Arial"/>
          <w:sz w:val="15"/>
          <w:szCs w:val="15"/>
          <w:color w:val="auto"/>
        </w:rPr>
        <w:t>years ended December 31, 2018 and 2019, and September 30, 2020 (unaudited), the Company did not adjust the carrying value of the convertible preferred stock to the deemed liquidation value of such shares as a deemed liquidation event was not probable.</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 Warrants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June through November 2014, the Company issued initial lenders in the Upstart platform warrants to purchase an aggregate of 1,500,519 shares of Series B convertible preferred stock at a strike price of $0.01 or $1.67 per share. Of these warrants, 1,500,519 were outstanding as of December 31, 2018, and 600,208 were outstanding as of December 31, 2019, and September 30, 2020 (unaudited). The warrants have a contractual term of five to seven years and expire between June 2019 and November 2021. The convertible preferred stock warrants are recorded within other liabilities on the consolidated balance sheets at their estimated fair value.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xml:space="preserve"> for further details.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Repurchase of Convertible Preferred Stock and Convertible Preferred Stock Warrants</w:t>
      </w:r>
    </w:p>
    <w:p>
      <w:pPr>
        <w:spacing w:after="0" w:line="10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In November 2019, the Company repurchased and retired 277,831 shares of the Company’s Series C convertible preferred stock held by investors for a purchase price of $0.7 million. On repurchase, the portion equal to the original issuance price of $1.0 million was recorded as a reduction to convertible preferred stock and the excess of the original issuance price over the repurchase price was reflected as a decrease in accumulated deficit.</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On the same day, the Company also repurchased and cancelled 600,208 warrants to purchase Series B convertible preferred stock held by the same investor for a purchase price of $1.4 million. Upon repurchase, the Company derecognized $5.1 million of the convertible preferred stock warrant liabilities to reflect the fair value of the warrants repurchased. The Company recognized a $ 3.7 million gain on repurchase of the warrants, calculated as the difference between the price paid to repurchase the warrants and the fair value of the warrants immediately before the repurchase. The gain on repurchase of the warrants is included in expense on warrants and convertible notes, net in the consolidated statements of operations and comprehensive income (loss).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10. Common Stock and Common Stock Warrants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As of December 31, 2018 and 2019, and September 30, 2020 (unaudited), the Company had reserved shares of common stock for issuance, on an as-converted basis, as follows: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24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6240" w:type="dxa"/>
            <w:vAlign w:val="bottom"/>
          </w:tcPr>
          <w:p>
            <w:pPr>
              <w:spacing w:after="0"/>
              <w:rPr>
                <w:sz w:val="10"/>
                <w:szCs w:val="10"/>
                <w:color w:val="auto"/>
              </w:rPr>
            </w:pPr>
          </w:p>
        </w:tc>
        <w:tc>
          <w:tcPr>
            <w:tcW w:w="840" w:type="dxa"/>
            <w:vAlign w:val="bottom"/>
          </w:tcPr>
          <w:p>
            <w:pPr>
              <w:jc w:val="right"/>
              <w:ind w:right="214"/>
              <w:spacing w:after="0" w:line="126" w:lineRule="exact"/>
              <w:rPr>
                <w:sz w:val="20"/>
                <w:szCs w:val="20"/>
                <w:color w:val="auto"/>
              </w:rPr>
            </w:pPr>
            <w:r>
              <w:rPr>
                <w:rFonts w:ascii="Arial" w:cs="Arial" w:eastAsia="Arial" w:hAnsi="Arial"/>
                <w:sz w:val="12"/>
                <w:szCs w:val="12"/>
                <w:b w:val="1"/>
                <w:bCs w:val="1"/>
                <w:color w:val="auto"/>
              </w:rPr>
              <w:t>2018</w:t>
            </w:r>
          </w:p>
        </w:tc>
        <w:tc>
          <w:tcPr>
            <w:tcW w:w="960" w:type="dxa"/>
            <w:vAlign w:val="bottom"/>
            <w:gridSpan w:val="2"/>
          </w:tcPr>
          <w:p>
            <w:pPr>
              <w:jc w:val="right"/>
              <w:ind w:right="212"/>
              <w:spacing w:after="0" w:line="126" w:lineRule="exact"/>
              <w:rPr>
                <w:sz w:val="20"/>
                <w:szCs w:val="20"/>
                <w:color w:val="auto"/>
              </w:rPr>
            </w:pPr>
            <w:r>
              <w:rPr>
                <w:rFonts w:ascii="Arial" w:cs="Arial" w:eastAsia="Arial" w:hAnsi="Arial"/>
                <w:sz w:val="12"/>
                <w:szCs w:val="12"/>
                <w:b w:val="1"/>
                <w:bCs w:val="1"/>
                <w:color w:val="auto"/>
              </w:rPr>
              <w:t>2019</w:t>
            </w:r>
          </w:p>
        </w:tc>
        <w:tc>
          <w:tcPr>
            <w:tcW w:w="1100" w:type="dxa"/>
            <w:vAlign w:val="bottom"/>
            <w:gridSpan w:val="2"/>
          </w:tcPr>
          <w:p>
            <w:pPr>
              <w:jc w:val="center"/>
              <w:ind w:left="7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r>
      <w:tr>
        <w:trPr>
          <w:trHeight w:val="126"/>
        </w:trPr>
        <w:tc>
          <w:tcPr>
            <w:tcW w:w="6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60" w:type="dxa"/>
            <w:vAlign w:val="bottom"/>
          </w:tcPr>
          <w:p>
            <w:pPr>
              <w:spacing w:after="0"/>
              <w:rPr>
                <w:sz w:val="10"/>
                <w:szCs w:val="10"/>
                <w:color w:val="auto"/>
              </w:rPr>
            </w:pP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 outstanding</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46,882,877</w:t>
            </w:r>
          </w:p>
        </w:tc>
        <w:tc>
          <w:tcPr>
            <w:tcW w:w="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47,349,577</w:t>
            </w:r>
          </w:p>
        </w:tc>
        <w:tc>
          <w:tcPr>
            <w:tcW w:w="11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47,349,577</w:t>
            </w:r>
          </w:p>
        </w:tc>
      </w:tr>
      <w:tr>
        <w:trPr>
          <w:trHeight w:val="158"/>
        </w:trPr>
        <w:tc>
          <w:tcPr>
            <w:tcW w:w="6240" w:type="dxa"/>
            <w:vAlign w:val="bottom"/>
          </w:tcPr>
          <w:p>
            <w:pPr>
              <w:spacing w:after="0" w:line="158" w:lineRule="exact"/>
              <w:rPr>
                <w:sz w:val="20"/>
                <w:szCs w:val="20"/>
                <w:color w:val="auto"/>
              </w:rPr>
            </w:pPr>
            <w:r>
              <w:rPr>
                <w:rFonts w:ascii="Arial" w:cs="Arial" w:eastAsia="Arial" w:hAnsi="Arial"/>
                <w:sz w:val="14"/>
                <w:szCs w:val="14"/>
                <w:color w:val="auto"/>
              </w:rPr>
              <w:t>Options issued and outstanding</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12,293,165</w:t>
            </w:r>
          </w:p>
        </w:tc>
        <w:tc>
          <w:tcPr>
            <w:tcW w:w="9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16,502,206</w:t>
            </w:r>
          </w:p>
        </w:tc>
        <w:tc>
          <w:tcPr>
            <w:tcW w:w="11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19,356,042</w:t>
            </w: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Shares available for future stock option grants</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2,500,951</w:t>
            </w:r>
          </w:p>
        </w:tc>
        <w:tc>
          <w:tcPr>
            <w:tcW w:w="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1,319,666</w:t>
            </w:r>
          </w:p>
        </w:tc>
        <w:tc>
          <w:tcPr>
            <w:tcW w:w="11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3,865,271</w:t>
            </w:r>
          </w:p>
        </w:tc>
      </w:tr>
      <w:tr>
        <w:trPr>
          <w:trHeight w:val="158"/>
        </w:trPr>
        <w:tc>
          <w:tcPr>
            <w:tcW w:w="6240" w:type="dxa"/>
            <w:vAlign w:val="bottom"/>
          </w:tcPr>
          <w:p>
            <w:pPr>
              <w:spacing w:after="0" w:line="158" w:lineRule="exact"/>
              <w:rPr>
                <w:sz w:val="20"/>
                <w:szCs w:val="20"/>
                <w:color w:val="auto"/>
              </w:rPr>
            </w:pPr>
            <w:r>
              <w:rPr>
                <w:rFonts w:ascii="Arial" w:cs="Arial" w:eastAsia="Arial" w:hAnsi="Arial"/>
                <w:sz w:val="14"/>
                <w:szCs w:val="14"/>
                <w:color w:val="auto"/>
              </w:rPr>
              <w:t>Warrants to purchase convertible preferred stock</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1,500,519</w:t>
            </w:r>
          </w:p>
        </w:tc>
        <w:tc>
          <w:tcPr>
            <w:tcW w:w="9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600,208</w:t>
            </w:r>
          </w:p>
        </w:tc>
        <w:tc>
          <w:tcPr>
            <w:tcW w:w="11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600,208</w:t>
            </w:r>
          </w:p>
        </w:tc>
        <w:tc>
          <w:tcPr>
            <w:tcW w:w="60" w:type="dxa"/>
            <w:vAlign w:val="bottom"/>
          </w:tcPr>
          <w:p>
            <w:pPr>
              <w:spacing w:after="0"/>
              <w:rPr>
                <w:sz w:val="13"/>
                <w:szCs w:val="13"/>
                <w:color w:val="auto"/>
              </w:rPr>
            </w:pP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Warrants to purchase common stock</w:t>
            </w:r>
          </w:p>
        </w:tc>
        <w:tc>
          <w:tcPr>
            <w:tcW w:w="8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1,617,553</w:t>
            </w:r>
          </w:p>
        </w:tc>
        <w:tc>
          <w:tcPr>
            <w:tcW w:w="12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319,669</w:t>
            </w:r>
          </w:p>
        </w:tc>
        <w:tc>
          <w:tcPr>
            <w:tcW w:w="1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319,669</w:t>
            </w:r>
          </w:p>
        </w:tc>
        <w:tc>
          <w:tcPr>
            <w:tcW w:w="60" w:type="dxa"/>
            <w:vAlign w:val="bottom"/>
            <w:shd w:val="clear" w:color="auto" w:fill="CCEEFF"/>
          </w:tcPr>
          <w:p>
            <w:pPr>
              <w:spacing w:after="0"/>
              <w:rPr>
                <w:sz w:val="13"/>
                <w:szCs w:val="13"/>
                <w:color w:val="auto"/>
              </w:rPr>
            </w:pPr>
          </w:p>
        </w:tc>
      </w:tr>
      <w:tr>
        <w:trPr>
          <w:trHeight w:val="160"/>
        </w:trPr>
        <w:tc>
          <w:tcPr>
            <w:tcW w:w="6240" w:type="dxa"/>
            <w:vAlign w:val="bottom"/>
          </w:tcPr>
          <w:p>
            <w:pPr>
              <w:ind w:left="280"/>
              <w:spacing w:after="0"/>
              <w:rPr>
                <w:sz w:val="20"/>
                <w:szCs w:val="20"/>
                <w:color w:val="auto"/>
              </w:rPr>
            </w:pPr>
            <w:r>
              <w:rPr>
                <w:rFonts w:ascii="Arial" w:cs="Arial" w:eastAsia="Arial" w:hAnsi="Arial"/>
                <w:sz w:val="14"/>
                <w:szCs w:val="14"/>
                <w:color w:val="auto"/>
              </w:rPr>
              <w:t>Total</w:t>
            </w:r>
          </w:p>
        </w:tc>
        <w:tc>
          <w:tcPr>
            <w:tcW w:w="840" w:type="dxa"/>
            <w:vAlign w:val="bottom"/>
          </w:tcPr>
          <w:p>
            <w:pPr>
              <w:jc w:val="right"/>
              <w:spacing w:after="0"/>
              <w:rPr>
                <w:sz w:val="20"/>
                <w:szCs w:val="20"/>
                <w:color w:val="auto"/>
              </w:rPr>
            </w:pPr>
            <w:r>
              <w:rPr>
                <w:rFonts w:ascii="Arial" w:cs="Arial" w:eastAsia="Arial" w:hAnsi="Arial"/>
                <w:sz w:val="14"/>
                <w:szCs w:val="14"/>
                <w:color w:val="auto"/>
              </w:rPr>
              <w:t>64,795,065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66,091,326</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71,490,767</w:t>
            </w:r>
          </w:p>
        </w:tc>
      </w:tr>
      <w:tr>
        <w:trPr>
          <w:trHeight w:val="20"/>
        </w:trPr>
        <w:tc>
          <w:tcPr>
            <w:tcW w:w="6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220"/>
          </w:cols>
          <w:pgMar w:left="320" w:top="407" w:right="1359" w:bottom="1440" w:gutter="0" w:footer="0" w:header="0"/>
        </w:sectPr>
      </w:pPr>
    </w:p>
    <w:bookmarkStart w:id="291" w:name="page292"/>
    <w:bookmarkEnd w:id="2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Warrants</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March 2015 through July 2017, the Company issued warrants to purchase common stock in connection with the Mezzanine Loan and other historical borrowings. The Company also issued warrants to purchase common stock to other investors in March 2016. The outstanding warrants to purchase common stock not subject to remeasurement as of the balance sheet dates are as follows: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2"/>
                <w:szCs w:val="12"/>
                <w:b w:val="1"/>
                <w:bCs w:val="1"/>
                <w:color w:val="auto"/>
                <w:w w:val="99"/>
              </w:rPr>
              <w:t>Warrants Outstanding</w:t>
            </w:r>
          </w:p>
        </w:tc>
        <w:tc>
          <w:tcPr>
            <w:tcW w:w="3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Exercise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8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500" w:type="dxa"/>
            <w:vAlign w:val="bottom"/>
            <w:tcBorders>
              <w:bottom w:val="single" w:sz="8" w:color="auto"/>
            </w:tcBorders>
            <w:gridSpan w:val="3"/>
          </w:tcPr>
          <w:p>
            <w:pPr>
              <w:jc w:val="right"/>
              <w:ind w:right="292"/>
              <w:spacing w:after="0" w:line="115" w:lineRule="exact"/>
              <w:rPr>
                <w:sz w:val="20"/>
                <w:szCs w:val="20"/>
                <w:color w:val="auto"/>
              </w:rPr>
            </w:pPr>
            <w:r>
              <w:rPr>
                <w:rFonts w:ascii="Arial" w:cs="Arial" w:eastAsia="Arial" w:hAnsi="Arial"/>
                <w:sz w:val="12"/>
                <w:szCs w:val="12"/>
                <w:b w:val="1"/>
                <w:bCs w:val="1"/>
                <w:color w:val="auto"/>
              </w:rPr>
              <w:t>December 31,</w:t>
            </w:r>
          </w:p>
        </w:tc>
        <w:tc>
          <w:tcPr>
            <w:tcW w:w="30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Arial" w:cs="Arial" w:eastAsia="Arial" w:hAnsi="Arial"/>
                <w:sz w:val="12"/>
                <w:szCs w:val="12"/>
                <w:b w:val="1"/>
                <w:bCs w:val="1"/>
                <w:color w:val="auto"/>
                <w:w w:val="99"/>
              </w:rPr>
              <w:t>September 30,</w:t>
            </w:r>
          </w:p>
        </w:tc>
        <w:tc>
          <w:tcPr>
            <w:tcW w:w="840" w:type="dxa"/>
            <w:vAlign w:val="bottom"/>
            <w:gridSpan w:val="2"/>
          </w:tcPr>
          <w:p>
            <w:pPr>
              <w:jc w:val="center"/>
              <w:ind w:right="300"/>
              <w:spacing w:after="0" w:line="118" w:lineRule="exact"/>
              <w:rPr>
                <w:sz w:val="20"/>
                <w:szCs w:val="20"/>
                <w:color w:val="auto"/>
              </w:rPr>
            </w:pPr>
            <w:r>
              <w:rPr>
                <w:rFonts w:ascii="Arial" w:cs="Arial" w:eastAsia="Arial" w:hAnsi="Arial"/>
                <w:sz w:val="12"/>
                <w:szCs w:val="12"/>
                <w:b w:val="1"/>
                <w:bCs w:val="1"/>
                <w:color w:val="auto"/>
                <w:w w:val="97"/>
              </w:rPr>
              <w:t>Price per</w:t>
            </w:r>
          </w:p>
        </w:tc>
        <w:tc>
          <w:tcPr>
            <w:tcW w:w="440" w:type="dxa"/>
            <w:vAlign w:val="bottom"/>
            <w:gridSpan w:val="2"/>
          </w:tcPr>
          <w:p>
            <w:pPr>
              <w:jc w:val="center"/>
              <w:ind w:right="40"/>
              <w:spacing w:after="0" w:line="118" w:lineRule="exact"/>
              <w:rPr>
                <w:sz w:val="20"/>
                <w:szCs w:val="20"/>
                <w:color w:val="auto"/>
              </w:rPr>
            </w:pPr>
            <w:r>
              <w:rPr>
                <w:rFonts w:ascii="Arial" w:cs="Arial" w:eastAsia="Arial" w:hAnsi="Arial"/>
                <w:sz w:val="12"/>
                <w:szCs w:val="12"/>
                <w:b w:val="1"/>
                <w:bCs w:val="1"/>
                <w:color w:val="auto"/>
                <w:w w:val="95"/>
              </w:rPr>
              <w:t>Term</w:t>
            </w:r>
          </w:p>
        </w:tc>
      </w:tr>
      <w:tr>
        <w:trPr>
          <w:trHeight w:val="140"/>
        </w:trPr>
        <w:tc>
          <w:tcPr>
            <w:tcW w:w="5000" w:type="dxa"/>
            <w:vAlign w:val="bottom"/>
            <w:gridSpan w:val="2"/>
          </w:tcPr>
          <w:p>
            <w:pPr>
              <w:spacing w:after="0"/>
              <w:rPr>
                <w:sz w:val="20"/>
                <w:szCs w:val="20"/>
                <w:color w:val="auto"/>
              </w:rPr>
            </w:pPr>
            <w:r>
              <w:rPr>
                <w:rFonts w:ascii="Arial" w:cs="Arial" w:eastAsia="Arial" w:hAnsi="Arial"/>
                <w:sz w:val="12"/>
                <w:szCs w:val="12"/>
                <w:b w:val="1"/>
                <w:bCs w:val="1"/>
                <w:color w:val="auto"/>
              </w:rPr>
              <w:t>Issuance Date</w:t>
            </w:r>
          </w:p>
        </w:tc>
        <w:tc>
          <w:tcPr>
            <w:tcW w:w="660" w:type="dxa"/>
            <w:vAlign w:val="bottom"/>
          </w:tcPr>
          <w:p>
            <w:pPr>
              <w:jc w:val="right"/>
              <w:ind w:right="113"/>
              <w:spacing w:after="0" w:line="138" w:lineRule="exact"/>
              <w:rPr>
                <w:sz w:val="20"/>
                <w:szCs w:val="20"/>
                <w:color w:val="auto"/>
              </w:rPr>
            </w:pPr>
            <w:r>
              <w:rPr>
                <w:rFonts w:ascii="Arial" w:cs="Arial" w:eastAsia="Arial" w:hAnsi="Arial"/>
                <w:sz w:val="14"/>
                <w:szCs w:val="14"/>
                <w:b w:val="1"/>
                <w:bCs w:val="1"/>
                <w:color w:val="auto"/>
              </w:rPr>
              <w:t>2018</w:t>
            </w:r>
          </w:p>
        </w:tc>
        <w:tc>
          <w:tcPr>
            <w:tcW w:w="840" w:type="dxa"/>
            <w:vAlign w:val="bottom"/>
            <w:gridSpan w:val="2"/>
          </w:tcPr>
          <w:p>
            <w:pPr>
              <w:jc w:val="right"/>
              <w:ind w:right="52"/>
              <w:spacing w:after="0" w:line="138"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7"/>
              </w:rPr>
              <w:t>2020</w:t>
            </w:r>
          </w:p>
        </w:tc>
        <w:tc>
          <w:tcPr>
            <w:tcW w:w="3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Share</w:t>
            </w:r>
          </w:p>
        </w:tc>
        <w:tc>
          <w:tcPr>
            <w:tcW w:w="4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(Years)</w:t>
            </w:r>
          </w:p>
        </w:tc>
      </w:tr>
      <w:tr>
        <w:trPr>
          <w:trHeight w:val="135"/>
        </w:trPr>
        <w:tc>
          <w:tcPr>
            <w:tcW w:w="820" w:type="dxa"/>
            <w:vAlign w:val="bottom"/>
            <w:tcBorders>
              <w:top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b w:val="1"/>
                <w:bCs w:val="1"/>
                <w:i w:val="1"/>
                <w:iCs w:val="1"/>
                <w:color w:val="auto"/>
              </w:rPr>
              <w:t>(unaudited)</w:t>
            </w:r>
          </w:p>
        </w:tc>
        <w:tc>
          <w:tcPr>
            <w:tcW w:w="3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58"/>
        </w:trPr>
        <w:tc>
          <w:tcPr>
            <w:tcW w:w="50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March 2015</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78,031</w:t>
            </w: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78,031</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78,031</w:t>
            </w:r>
          </w:p>
        </w:tc>
        <w:tc>
          <w:tcPr>
            <w:tcW w:w="3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   1.67</w:t>
            </w:r>
          </w:p>
        </w:tc>
        <w:tc>
          <w:tcPr>
            <w:tcW w:w="4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w:t>
            </w:r>
          </w:p>
        </w:tc>
      </w:tr>
      <w:tr>
        <w:trPr>
          <w:trHeight w:val="158"/>
        </w:trPr>
        <w:tc>
          <w:tcPr>
            <w:tcW w:w="5000" w:type="dxa"/>
            <w:vAlign w:val="bottom"/>
            <w:gridSpan w:val="2"/>
          </w:tcPr>
          <w:p>
            <w:pPr>
              <w:spacing w:after="0" w:line="158" w:lineRule="exact"/>
              <w:rPr>
                <w:sz w:val="20"/>
                <w:szCs w:val="20"/>
                <w:color w:val="auto"/>
              </w:rPr>
            </w:pPr>
            <w:r>
              <w:rPr>
                <w:rFonts w:ascii="Arial" w:cs="Arial" w:eastAsia="Arial" w:hAnsi="Arial"/>
                <w:sz w:val="14"/>
                <w:szCs w:val="14"/>
                <w:color w:val="auto"/>
              </w:rPr>
              <w:t>February 2016</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60,084</w:t>
            </w:r>
          </w:p>
        </w:tc>
        <w:tc>
          <w:tcPr>
            <w:tcW w:w="8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60,084</w:t>
            </w:r>
          </w:p>
        </w:tc>
        <w:tc>
          <w:tcPr>
            <w:tcW w:w="3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60,084</w:t>
            </w:r>
          </w:p>
        </w:tc>
        <w:tc>
          <w:tcPr>
            <w:tcW w:w="300" w:type="dxa"/>
            <w:vAlign w:val="bottom"/>
          </w:tcPr>
          <w:p>
            <w:pPr>
              <w:spacing w:after="0"/>
              <w:rPr>
                <w:sz w:val="13"/>
                <w:szCs w:val="13"/>
                <w:color w:val="auto"/>
              </w:rPr>
            </w:pPr>
          </w:p>
        </w:tc>
        <w:tc>
          <w:tcPr>
            <w:tcW w:w="8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1.17</w:t>
            </w:r>
          </w:p>
        </w:tc>
        <w:tc>
          <w:tcPr>
            <w:tcW w:w="4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w:t>
            </w:r>
          </w:p>
        </w:tc>
      </w:tr>
      <w:tr>
        <w:trPr>
          <w:trHeight w:val="158"/>
        </w:trPr>
        <w:tc>
          <w:tcPr>
            <w:tcW w:w="50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March 2016</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1,297,884</w:t>
            </w:r>
          </w:p>
        </w:tc>
        <w:tc>
          <w:tcPr>
            <w:tcW w:w="3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0.0001</w:t>
            </w:r>
          </w:p>
        </w:tc>
        <w:tc>
          <w:tcPr>
            <w:tcW w:w="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w:t>
            </w:r>
          </w:p>
        </w:tc>
      </w:tr>
      <w:tr>
        <w:trPr>
          <w:trHeight w:val="160"/>
        </w:trPr>
        <w:tc>
          <w:tcPr>
            <w:tcW w:w="5000" w:type="dxa"/>
            <w:vAlign w:val="bottom"/>
            <w:gridSpan w:val="2"/>
          </w:tcPr>
          <w:p>
            <w:pPr>
              <w:spacing w:after="0" w:line="158" w:lineRule="exact"/>
              <w:rPr>
                <w:sz w:val="20"/>
                <w:szCs w:val="20"/>
                <w:color w:val="auto"/>
              </w:rPr>
            </w:pPr>
            <w:r>
              <w:rPr>
                <w:rFonts w:ascii="Arial" w:cs="Arial" w:eastAsia="Arial" w:hAnsi="Arial"/>
                <w:sz w:val="14"/>
                <w:szCs w:val="14"/>
                <w:color w:val="auto"/>
              </w:rPr>
              <w:t>July 2017</w:t>
            </w:r>
          </w:p>
        </w:tc>
        <w:tc>
          <w:tcPr>
            <w:tcW w:w="6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31,554</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31,554</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31,554</w:t>
            </w:r>
          </w:p>
        </w:tc>
        <w:tc>
          <w:tcPr>
            <w:tcW w:w="300" w:type="dxa"/>
            <w:vAlign w:val="bottom"/>
          </w:tcPr>
          <w:p>
            <w:pPr>
              <w:spacing w:after="0"/>
              <w:rPr>
                <w:sz w:val="13"/>
                <w:szCs w:val="13"/>
                <w:color w:val="auto"/>
              </w:rPr>
            </w:pPr>
          </w:p>
        </w:tc>
        <w:tc>
          <w:tcPr>
            <w:tcW w:w="8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1.35</w:t>
            </w:r>
          </w:p>
        </w:tc>
        <w:tc>
          <w:tcPr>
            <w:tcW w:w="4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w:t>
            </w:r>
          </w:p>
        </w:tc>
      </w:tr>
      <w:tr>
        <w:trPr>
          <w:trHeight w:val="158"/>
        </w:trPr>
        <w:tc>
          <w:tcPr>
            <w:tcW w:w="82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1,467,553</w:t>
            </w: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169,669</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169,669</w:t>
            </w: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estimated grant date fair value of the above common stock warrants granted in March 2015 through July 2017 was immaterial and recognized as an expense in the period granted.</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Common Stock Warrants Measured at Fair Value on a Recurring Basis</w:t>
      </w:r>
    </w:p>
    <w:p>
      <w:pPr>
        <w:spacing w:after="0" w:line="10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 xml:space="preserve">In October 2018, the Company issued warrants to purchase an aggregate of 150,000 shares of common stock, with an exercise price of $2.16 per share. The estimated grant date fair value of the common stock warrants was recognized as debt issuance costs in the period granted. The common stock warrants were outstanding in their entirety at December 31, 2018 and 2019, and September 30, 2020. The common stock warrants have a contractual term of ten years and expire in October 2028. These common stock warrants are recorded with other liabilities on the consolidated balance sheets at their estimated fair value.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xml:space="preserve"> for further details.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11. Equity Incentive Plans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2012, the Company adopted the Equity Incentive Plan (“2012 Equity Incentive Plan”) authorizing the granting of incentive stock options (“ISOs”) and non-statutory stock options (“NSOs”) to eligible participants. As of December 31, 2019, the Company is authorized to issue up to 19,063,647 shares of common stock under the 2012 Equity Incentive Plan.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220"/>
          </w:cols>
          <w:pgMar w:left="320" w:top="407" w:right="1359" w:bottom="1440" w:gutter="0" w:footer="0" w:header="0"/>
        </w:sectPr>
      </w:pPr>
    </w:p>
    <w:bookmarkStart w:id="292" w:name="page293"/>
    <w:bookmarkEnd w:id="2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Activity under the Company’s stock option plan is set forth below (in thousands, except share and per share amounts):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Weighted-</w:t>
            </w: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rPr>
              <w:t>Average</w:t>
            </w:r>
          </w:p>
        </w:tc>
        <w:tc>
          <w:tcPr>
            <w:tcW w:w="90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9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Options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7"/>
              </w:rPr>
              <w:t>Exercise</w:t>
            </w:r>
          </w:p>
        </w:tc>
        <w:tc>
          <w:tcPr>
            <w:tcW w:w="90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Remaining</w:t>
            </w:r>
          </w:p>
        </w:tc>
        <w:tc>
          <w:tcPr>
            <w:tcW w:w="6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Aggregate</w:t>
            </w:r>
          </w:p>
        </w:tc>
      </w:tr>
      <w:tr>
        <w:trPr>
          <w:trHeight w:val="135"/>
        </w:trPr>
        <w:tc>
          <w:tcPr>
            <w:tcW w:w="4920" w:type="dxa"/>
            <w:vAlign w:val="bottom"/>
          </w:tcPr>
          <w:p>
            <w:pPr>
              <w:spacing w:after="0"/>
              <w:rPr>
                <w:sz w:val="11"/>
                <w:szCs w:val="11"/>
                <w:color w:val="auto"/>
              </w:rPr>
            </w:pPr>
          </w:p>
        </w:tc>
        <w:tc>
          <w:tcPr>
            <w:tcW w:w="960" w:type="dxa"/>
            <w:vAlign w:val="bottom"/>
            <w:gridSpan w:val="2"/>
          </w:tcPr>
          <w:p>
            <w:pPr>
              <w:jc w:val="right"/>
              <w:ind w:right="340"/>
              <w:spacing w:after="0" w:line="136" w:lineRule="exact"/>
              <w:rPr>
                <w:sz w:val="20"/>
                <w:szCs w:val="20"/>
                <w:color w:val="auto"/>
              </w:rPr>
            </w:pPr>
            <w:r>
              <w:rPr>
                <w:rFonts w:ascii="Arial" w:cs="Arial" w:eastAsia="Arial" w:hAnsi="Arial"/>
                <w:sz w:val="12"/>
                <w:szCs w:val="12"/>
                <w:b w:val="1"/>
                <w:bCs w:val="1"/>
                <w:color w:val="auto"/>
              </w:rPr>
              <w:t>Available</w:t>
            </w:r>
          </w:p>
        </w:tc>
        <w:tc>
          <w:tcPr>
            <w:tcW w:w="880" w:type="dxa"/>
            <w:vAlign w:val="bottom"/>
            <w:gridSpan w:val="2"/>
          </w:tcPr>
          <w:p>
            <w:pPr>
              <w:jc w:val="right"/>
              <w:ind w:right="220"/>
              <w:spacing w:after="0" w:line="136"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Price Per</w:t>
            </w:r>
          </w:p>
        </w:tc>
        <w:tc>
          <w:tcPr>
            <w:tcW w:w="900" w:type="dxa"/>
            <w:vAlign w:val="bottom"/>
            <w:gridSpan w:val="2"/>
          </w:tcPr>
          <w:p>
            <w:pPr>
              <w:jc w:val="right"/>
              <w:ind w:right="220"/>
              <w:spacing w:after="0" w:line="136" w:lineRule="exact"/>
              <w:rPr>
                <w:sz w:val="20"/>
                <w:szCs w:val="20"/>
                <w:color w:val="auto"/>
              </w:rPr>
            </w:pPr>
            <w:r>
              <w:rPr>
                <w:rFonts w:ascii="Arial" w:cs="Arial" w:eastAsia="Arial" w:hAnsi="Arial"/>
                <w:sz w:val="12"/>
                <w:szCs w:val="12"/>
                <w:b w:val="1"/>
                <w:bCs w:val="1"/>
                <w:color w:val="auto"/>
                <w:w w:val="98"/>
              </w:rPr>
              <w:t>Contractual</w:t>
            </w:r>
          </w:p>
        </w:tc>
        <w:tc>
          <w:tcPr>
            <w:tcW w:w="6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Intrinsic</w:t>
            </w:r>
          </w:p>
        </w:tc>
      </w:tr>
      <w:tr>
        <w:trPr>
          <w:trHeight w:val="145"/>
        </w:trPr>
        <w:tc>
          <w:tcPr>
            <w:tcW w:w="49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for Grant</w:t>
            </w:r>
          </w:p>
        </w:tc>
        <w:tc>
          <w:tcPr>
            <w:tcW w:w="2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Options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95"/>
              </w:rPr>
              <w:t>Share</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Life (years)</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Value</w:t>
            </w:r>
          </w:p>
        </w:tc>
        <w:tc>
          <w:tcPr>
            <w:tcW w:w="40" w:type="dxa"/>
            <w:vAlign w:val="bottom"/>
            <w:tcBorders>
              <w:bottom w:val="single" w:sz="8" w:color="CCEEFF"/>
            </w:tcBorders>
          </w:tcPr>
          <w:p>
            <w:pPr>
              <w:spacing w:after="0"/>
              <w:rPr>
                <w:sz w:val="12"/>
                <w:szCs w:val="12"/>
                <w:color w:val="auto"/>
              </w:rPr>
            </w:pPr>
          </w:p>
        </w:tc>
      </w:tr>
      <w:tr>
        <w:trPr>
          <w:trHeight w:val="149"/>
        </w:trPr>
        <w:tc>
          <w:tcPr>
            <w:tcW w:w="49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Balances at December 31, 2018</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2,500,951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12,293,165</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33,793</w:t>
            </w:r>
          </w:p>
        </w:tc>
        <w:tc>
          <w:tcPr>
            <w:tcW w:w="40" w:type="dxa"/>
            <w:vAlign w:val="bottom"/>
            <w:shd w:val="clear" w:color="auto" w:fill="CCEEFF"/>
          </w:tcPr>
          <w:p>
            <w:pPr>
              <w:spacing w:after="0"/>
              <w:rPr>
                <w:sz w:val="12"/>
                <w:szCs w:val="12"/>
                <w:color w:val="auto"/>
              </w:rPr>
            </w:pPr>
          </w:p>
        </w:tc>
      </w:tr>
      <w:tr>
        <w:trPr>
          <w:trHeight w:val="158"/>
        </w:trPr>
        <w:tc>
          <w:tcPr>
            <w:tcW w:w="4920" w:type="dxa"/>
            <w:vAlign w:val="bottom"/>
          </w:tcPr>
          <w:p>
            <w:pPr>
              <w:ind w:left="280"/>
              <w:spacing w:after="0" w:line="158" w:lineRule="exact"/>
              <w:rPr>
                <w:sz w:val="20"/>
                <w:szCs w:val="20"/>
                <w:color w:val="auto"/>
              </w:rPr>
            </w:pPr>
            <w:r>
              <w:rPr>
                <w:rFonts w:ascii="Arial" w:cs="Arial" w:eastAsia="Arial" w:hAnsi="Arial"/>
                <w:sz w:val="14"/>
                <w:szCs w:val="14"/>
                <w:color w:val="auto"/>
              </w:rPr>
              <w:t>Options authorized</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3,300,000</w:t>
            </w:r>
          </w:p>
        </w:tc>
        <w:tc>
          <w:tcPr>
            <w:tcW w:w="8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Options granted</w:t>
            </w:r>
          </w:p>
        </w:tc>
        <w:tc>
          <w:tcPr>
            <w:tcW w:w="9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(5,188,219)</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5,188,219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920" w:type="dxa"/>
            <w:vAlign w:val="bottom"/>
          </w:tcPr>
          <w:p>
            <w:pPr>
              <w:ind w:left="280"/>
              <w:spacing w:after="0" w:line="158" w:lineRule="exact"/>
              <w:rPr>
                <w:sz w:val="20"/>
                <w:szCs w:val="20"/>
                <w:color w:val="auto"/>
              </w:rPr>
            </w:pPr>
            <w:r>
              <w:rPr>
                <w:rFonts w:ascii="Arial" w:cs="Arial" w:eastAsia="Arial" w:hAnsi="Arial"/>
                <w:sz w:val="14"/>
                <w:szCs w:val="14"/>
                <w:color w:val="auto"/>
              </w:rPr>
              <w:t>Options exercised</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(272,244)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Options cancelled and forfeited</w:t>
            </w: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706,934</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(706,934)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0"/>
        </w:trPr>
        <w:tc>
          <w:tcPr>
            <w:tcW w:w="4920" w:type="dxa"/>
            <w:vAlign w:val="bottom"/>
          </w:tcPr>
          <w:p>
            <w:pPr>
              <w:spacing w:after="0"/>
              <w:rPr>
                <w:sz w:val="20"/>
                <w:szCs w:val="20"/>
                <w:color w:val="auto"/>
              </w:rPr>
            </w:pPr>
            <w:r>
              <w:rPr>
                <w:rFonts w:ascii="Arial" w:cs="Arial" w:eastAsia="Arial" w:hAnsi="Arial"/>
                <w:sz w:val="14"/>
                <w:szCs w:val="14"/>
                <w:color w:val="auto"/>
              </w:rPr>
              <w:t>Balances at December 31, 2019</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1,319,666</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16,502,206</w:t>
            </w:r>
          </w:p>
        </w:tc>
        <w:tc>
          <w:tcPr>
            <w:tcW w:w="16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1.86</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115,764</w:t>
            </w: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Options authorized (unaudited)</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5,600,000</w:t>
            </w:r>
          </w:p>
        </w:tc>
        <w:tc>
          <w:tcPr>
            <w:tcW w:w="8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920" w:type="dxa"/>
            <w:vAlign w:val="bottom"/>
          </w:tcPr>
          <w:p>
            <w:pPr>
              <w:spacing w:after="0" w:line="158" w:lineRule="exact"/>
              <w:rPr>
                <w:sz w:val="20"/>
                <w:szCs w:val="20"/>
                <w:color w:val="auto"/>
              </w:rPr>
            </w:pPr>
            <w:r>
              <w:rPr>
                <w:rFonts w:ascii="Arial" w:cs="Arial" w:eastAsia="Arial" w:hAnsi="Arial"/>
                <w:sz w:val="14"/>
                <w:szCs w:val="14"/>
                <w:color w:val="auto"/>
              </w:rPr>
              <w:t>Options granted (unaudited)</w:t>
            </w:r>
          </w:p>
        </w:tc>
        <w:tc>
          <w:tcPr>
            <w:tcW w:w="9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(3,847,132)</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3,847,132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Options exercised (unaudited)</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(200,559)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920" w:type="dxa"/>
            <w:vAlign w:val="bottom"/>
          </w:tcPr>
          <w:p>
            <w:pPr>
              <w:spacing w:after="0" w:line="158" w:lineRule="exact"/>
              <w:rPr>
                <w:sz w:val="20"/>
                <w:szCs w:val="20"/>
                <w:color w:val="auto"/>
              </w:rPr>
            </w:pPr>
            <w:r>
              <w:rPr>
                <w:rFonts w:ascii="Arial" w:cs="Arial" w:eastAsia="Arial" w:hAnsi="Arial"/>
                <w:sz w:val="14"/>
                <w:szCs w:val="14"/>
                <w:color w:val="auto"/>
              </w:rPr>
              <w:t>Options cancelled and forfeited (unaudited)</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792,737</w:t>
            </w:r>
          </w:p>
        </w:tc>
        <w:tc>
          <w:tcPr>
            <w:tcW w:w="260" w:type="dxa"/>
            <w:vAlign w:val="bottom"/>
          </w:tcPr>
          <w:p>
            <w:pPr>
              <w:spacing w:after="0"/>
              <w:rPr>
                <w:sz w:val="13"/>
                <w:szCs w:val="13"/>
                <w:color w:val="auto"/>
              </w:rPr>
            </w:pPr>
          </w:p>
        </w:tc>
        <w:tc>
          <w:tcPr>
            <w:tcW w:w="8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(792,737)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September 30, 2020</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3,865,271</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19,356,042</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3.11</w:t>
            </w:r>
          </w:p>
        </w:tc>
        <w:tc>
          <w:tcPr>
            <w:tcW w:w="9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166,484</w:t>
            </w:r>
          </w:p>
        </w:tc>
        <w:tc>
          <w:tcPr>
            <w:tcW w:w="40" w:type="dxa"/>
            <w:vAlign w:val="bottom"/>
            <w:shd w:val="clear" w:color="auto" w:fill="CCEEFF"/>
          </w:tcPr>
          <w:p>
            <w:pPr>
              <w:spacing w:after="0"/>
              <w:rPr>
                <w:sz w:val="13"/>
                <w:szCs w:val="13"/>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4920" w:type="dxa"/>
            <w:vAlign w:val="bottom"/>
          </w:tcPr>
          <w:p>
            <w:pPr>
              <w:spacing w:after="0" w:line="143" w:lineRule="exact"/>
              <w:rPr>
                <w:sz w:val="20"/>
                <w:szCs w:val="20"/>
                <w:color w:val="auto"/>
              </w:rPr>
            </w:pPr>
            <w:r>
              <w:rPr>
                <w:rFonts w:ascii="Arial" w:cs="Arial" w:eastAsia="Arial" w:hAnsi="Arial"/>
                <w:sz w:val="14"/>
                <w:szCs w:val="14"/>
                <w:color w:val="auto"/>
              </w:rPr>
              <w:t>Options exercisable – September 30, 2020 (unaudited)</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9"/>
              </w:rPr>
              <w:t>11,422,684</w:t>
            </w:r>
          </w:p>
        </w:tc>
        <w:tc>
          <w:tcPr>
            <w:tcW w:w="160" w:type="dxa"/>
            <w:vAlign w:val="bottom"/>
          </w:tcPr>
          <w:p>
            <w:pPr>
              <w:spacing w:after="0"/>
              <w:rPr>
                <w:sz w:val="12"/>
                <w:szCs w:val="12"/>
                <w:color w:val="auto"/>
              </w:rPr>
            </w:pPr>
          </w:p>
        </w:tc>
        <w:tc>
          <w:tcPr>
            <w:tcW w:w="20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1.21</w:t>
            </w:r>
          </w:p>
        </w:tc>
        <w:tc>
          <w:tcPr>
            <w:tcW w:w="9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5.1</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w w:val="94"/>
              </w:rPr>
              <w:t>119,997</w:t>
            </w:r>
          </w:p>
        </w:tc>
        <w:tc>
          <w:tcPr>
            <w:tcW w:w="40" w:type="dxa"/>
            <w:vAlign w:val="bottom"/>
          </w:tcPr>
          <w:p>
            <w:pPr>
              <w:spacing w:after="0"/>
              <w:rPr>
                <w:sz w:val="12"/>
                <w:szCs w:val="12"/>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Options vested and expected to vest – September 30, 2020 (unaudited)</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17,810,692</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2.81</w:t>
            </w:r>
          </w:p>
        </w:tc>
        <w:tc>
          <w:tcPr>
            <w:tcW w:w="9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4"/>
              </w:rPr>
              <w:t>158,673</w:t>
            </w:r>
          </w:p>
        </w:tc>
        <w:tc>
          <w:tcPr>
            <w:tcW w:w="40" w:type="dxa"/>
            <w:vAlign w:val="bottom"/>
            <w:shd w:val="clear" w:color="auto" w:fill="CCEEFF"/>
          </w:tcPr>
          <w:p>
            <w:pPr>
              <w:spacing w:after="0"/>
              <w:rPr>
                <w:sz w:val="12"/>
                <w:szCs w:val="12"/>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awards and the fair value of the Company’s stock as of December 31, 2019. The aggregate intrinsic value of options exercised for the years ended December 31, 2017, 2018 and 2019, and nine months ended September 30, 2019 (unaudited) and 2020 (unaudited) was $0.5 million, $0.6 million, and $2.1 million, $0.2 million, and $2.0 million, respectively. The weighted-average grant date fair value of options granted during the years ended December 31, 2017, 2018 and 2019, and nine months ended September 30, 2020 (unaudited), was $1.21, $1.68, $ 3.99, and $5.76 per share, respectively. The total fair value of options vested for the years ended December 31, 2017, 2018 and 2019, and nine months ended September 30, 2020 (unaudited), was $0.9 million, $1.8 million, $2.7 million, and $4.5 million, respectively.</w:t>
      </w:r>
    </w:p>
    <w:p>
      <w:pPr>
        <w:spacing w:after="0" w:line="171"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As of December 31, 2019, and September 30, 2020, total unrecognized stock-based compensation expense was $15.3 million and $22.9 million, respectively, which is expected to be recognized over a weighted-average period of 2.5 years and 1.3 years, respectively.</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Non-Employee Stock-Based Compensation</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During the years ended December 31, 2017, 2018 and 2019, and the nine months ended September 30, 2020 (unaudited), the Company granted non-qualified options to non-employees to purchase 149,037, 148,295, 135,969, and 0 shares, respectively, of common stock under the 2012 Equity Incentive Plan. Non-employee options were issued with various vesting periods depending on the specific terms of each option and services provided by non-employees.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220"/>
          </w:cols>
          <w:pgMar w:left="320" w:top="407" w:right="1359" w:bottom="1440" w:gutter="0" w:footer="0" w:header="0"/>
        </w:sectPr>
      </w:pPr>
    </w:p>
    <w:bookmarkStart w:id="293" w:name="page294"/>
    <w:bookmarkEnd w:id="2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of Options Granted</w:t>
      </w:r>
    </w:p>
    <w:p>
      <w:pPr>
        <w:spacing w:after="0" w:line="105" w:lineRule="exact"/>
        <w:rPr>
          <w:sz w:val="20"/>
          <w:szCs w:val="20"/>
          <w:color w:val="auto"/>
        </w:rPr>
      </w:pPr>
    </w:p>
    <w:p>
      <w:pPr>
        <w:ind w:left="1020" w:right="820" w:firstLine="460"/>
        <w:spacing w:after="0" w:line="245" w:lineRule="auto"/>
        <w:rPr>
          <w:sz w:val="20"/>
          <w:szCs w:val="20"/>
          <w:color w:val="auto"/>
        </w:rPr>
      </w:pPr>
      <w:r>
        <w:rPr>
          <w:rFonts w:ascii="Arial" w:cs="Arial" w:eastAsia="Arial" w:hAnsi="Arial"/>
          <w:sz w:val="15"/>
          <w:szCs w:val="15"/>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50" w:lineRule="exact"/>
        <w:rPr>
          <w:sz w:val="20"/>
          <w:szCs w:val="20"/>
          <w:color w:val="auto"/>
        </w:rPr>
      </w:pPr>
    </w:p>
    <w:p>
      <w:pPr>
        <w:ind w:left="1300" w:right="120" w:firstLine="268"/>
        <w:spacing w:after="0" w:line="243" w:lineRule="auto"/>
        <w:rPr>
          <w:sz w:val="20"/>
          <w:szCs w:val="20"/>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The fair value of the shares of common stock has historically been determined by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as there is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 specific economic outlook, among other factors.</w:t>
      </w:r>
    </w:p>
    <w:p>
      <w:pPr>
        <w:spacing w:after="0" w:line="152" w:lineRule="exact"/>
        <w:rPr>
          <w:sz w:val="20"/>
          <w:szCs w:val="20"/>
          <w:color w:val="auto"/>
        </w:rPr>
      </w:pPr>
    </w:p>
    <w:p>
      <w:pPr>
        <w:ind w:left="1300" w:right="40" w:firstLine="268"/>
        <w:spacing w:after="0" w:line="243"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period that the Company’s stock options are expected to be outstanding.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years ended December 31, 2017, 2018 and 2019, and nine months ended September 30, 2020 (unaudited), the Company determined the expected term for employee stock options based on historical terminations and exercise behavior, which factors in an extended post-termination exercise provision for vested awards for certain employees that provide more than three years of service to the Company. The Company uses the contractual term for all nonemployee awards.</w:t>
      </w:r>
    </w:p>
    <w:p>
      <w:pPr>
        <w:spacing w:after="0" w:line="152" w:lineRule="exact"/>
        <w:rPr>
          <w:sz w:val="20"/>
          <w:szCs w:val="20"/>
          <w:color w:val="auto"/>
        </w:rPr>
      </w:pPr>
    </w:p>
    <w:p>
      <w:pPr>
        <w:jc w:val="both"/>
        <w:ind w:left="1300" w:right="200" w:firstLine="268"/>
        <w:spacing w:after="0" w:line="251" w:lineRule="auto"/>
        <w:rPr>
          <w:sz w:val="20"/>
          <w:szCs w:val="20"/>
          <w:color w:val="auto"/>
        </w:rPr>
      </w:pPr>
      <w:r>
        <w:rPr>
          <w:rFonts w:ascii="Arial" w:cs="Arial" w:eastAsia="Arial" w:hAnsi="Arial"/>
          <w:sz w:val="15"/>
          <w:szCs w:val="15"/>
          <w:i w:val="1"/>
          <w:iCs w:val="1"/>
          <w:color w:val="auto"/>
        </w:rPr>
        <w:t>Volatility</w:t>
      </w:r>
      <w:r>
        <w:rPr>
          <w:rFonts w:ascii="Arial" w:cs="Arial" w:eastAsia="Arial" w:hAnsi="Arial"/>
          <w:sz w:val="15"/>
          <w:szCs w:val="15"/>
          <w:color w:val="auto"/>
        </w:rPr>
        <w:t>—Since the Company is privately held and does not have an active trading market for its common stock, the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volatility is estimated based on the average volatility for comparable publicly-traded companies, over a period equal to the expected term of the stock option grants.</w:t>
      </w:r>
    </w:p>
    <w:p>
      <w:pPr>
        <w:spacing w:after="0" w:line="146" w:lineRule="exact"/>
        <w:rPr>
          <w:sz w:val="20"/>
          <w:szCs w:val="20"/>
          <w:color w:val="auto"/>
        </w:rPr>
      </w:pPr>
    </w:p>
    <w:p>
      <w:pPr>
        <w:ind w:left="1300" w:right="160" w:firstLine="268"/>
        <w:spacing w:after="0" w:line="267" w:lineRule="auto"/>
        <w:rPr>
          <w:sz w:val="20"/>
          <w:szCs w:val="20"/>
          <w:color w:val="auto"/>
        </w:rPr>
      </w:pPr>
      <w:r>
        <w:rPr>
          <w:rFonts w:ascii="Arial" w:cs="Arial" w:eastAsia="Arial" w:hAnsi="Arial"/>
          <w:sz w:val="15"/>
          <w:szCs w:val="15"/>
          <w:i w:val="1"/>
          <w:iCs w:val="1"/>
          <w:color w:val="auto"/>
        </w:rPr>
        <w:t>Risk-free Rate</w:t>
      </w:r>
      <w:r>
        <w:rPr>
          <w:rFonts w:ascii="Arial" w:cs="Arial" w:eastAsia="Arial" w:hAnsi="Arial"/>
          <w:sz w:val="15"/>
          <w:szCs w:val="15"/>
          <w:color w:val="auto"/>
        </w:rPr>
        <w:t>—The risk-free rate assumption is based on the U.S. Treasury zero coupon issues in effect at the time of grant for</w:t>
      </w:r>
      <w:r>
        <w:rPr>
          <w:rFonts w:ascii="Arial" w:cs="Arial" w:eastAsia="Arial" w:hAnsi="Arial"/>
          <w:sz w:val="15"/>
          <w:szCs w:val="15"/>
          <w:i w:val="1"/>
          <w:iCs w:val="1"/>
          <w:color w:val="auto"/>
        </w:rPr>
        <w:t xml:space="preserve"> </w:t>
      </w:r>
      <w:r>
        <w:rPr>
          <w:rFonts w:ascii="Arial" w:cs="Arial" w:eastAsia="Arial" w:hAnsi="Arial"/>
          <w:sz w:val="15"/>
          <w:szCs w:val="15"/>
          <w:color w:val="auto"/>
        </w:rPr>
        <w:t>periods corresponding with the expected term of the option.</w:t>
      </w:r>
    </w:p>
    <w:p>
      <w:pPr>
        <w:spacing w:after="0" w:line="135" w:lineRule="exact"/>
        <w:rPr>
          <w:sz w:val="20"/>
          <w:szCs w:val="20"/>
          <w:color w:val="auto"/>
        </w:rPr>
      </w:pPr>
    </w:p>
    <w:p>
      <w:pPr>
        <w:ind w:left="1300" w:right="200" w:firstLine="268"/>
        <w:spacing w:after="0" w:line="267" w:lineRule="auto"/>
        <w:rPr>
          <w:sz w:val="20"/>
          <w:szCs w:val="20"/>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—The Company has never paid dividends on its common stock and does not anticipate paying dividends on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Therefore, the Company uses an expected dividend yield of zero.</w:t>
      </w:r>
    </w:p>
    <w:p>
      <w:pPr>
        <w:spacing w:after="0" w:line="151"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The following assumptions were used to estimate the fair value of employee and nonemployee stock options granted and the resulting fair values: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4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99"/>
              </w:rPr>
              <w:t>Year ended December 31,</w:t>
            </w: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2"/>
                <w:szCs w:val="12"/>
                <w:b w:val="1"/>
                <w:bCs w:val="1"/>
                <w:color w:val="auto"/>
              </w:rPr>
              <w:t>Nine months ended September 30,</w:t>
            </w:r>
          </w:p>
        </w:tc>
      </w:tr>
      <w:tr>
        <w:trPr>
          <w:trHeight w:val="126"/>
        </w:trPr>
        <w:tc>
          <w:tcPr>
            <w:tcW w:w="1480" w:type="dxa"/>
            <w:vAlign w:val="bottom"/>
          </w:tcPr>
          <w:p>
            <w:pPr>
              <w:spacing w:after="0"/>
              <w:rPr>
                <w:sz w:val="10"/>
                <w:szCs w:val="10"/>
                <w:color w:val="auto"/>
              </w:rPr>
            </w:pPr>
          </w:p>
        </w:tc>
        <w:tc>
          <w:tcPr>
            <w:tcW w:w="1460" w:type="dxa"/>
            <w:vAlign w:val="bottom"/>
            <w:tcBorders>
              <w:bottom w:val="single" w:sz="8" w:color="auto"/>
            </w:tcBorders>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1480" w:type="dxa"/>
            <w:vAlign w:val="bottom"/>
            <w:tcBorders>
              <w:bottom w:val="single" w:sz="8" w:color="auto"/>
            </w:tcBorders>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0"/>
                <w:szCs w:val="10"/>
                <w:color w:val="auto"/>
              </w:rPr>
            </w:pPr>
          </w:p>
        </w:tc>
        <w:tc>
          <w:tcPr>
            <w:tcW w:w="1460" w:type="dxa"/>
            <w:vAlign w:val="bottom"/>
            <w:tcBorders>
              <w:bottom w:val="single" w:sz="8" w:color="auto"/>
            </w:tcBorders>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0"/>
                <w:szCs w:val="10"/>
                <w:color w:val="auto"/>
              </w:rPr>
            </w:pPr>
          </w:p>
        </w:tc>
        <w:tc>
          <w:tcPr>
            <w:tcW w:w="1520" w:type="dxa"/>
            <w:vAlign w:val="bottom"/>
            <w:tcBorders>
              <w:bottom w:val="single" w:sz="8" w:color="auto"/>
            </w:tcBorders>
            <w:gridSpan w:val="2"/>
          </w:tcPr>
          <w:p>
            <w:pPr>
              <w:jc w:val="right"/>
              <w:ind w:right="574"/>
              <w:spacing w:after="0" w:line="126" w:lineRule="exact"/>
              <w:rPr>
                <w:sz w:val="20"/>
                <w:szCs w:val="20"/>
                <w:color w:val="auto"/>
              </w:rPr>
            </w:pPr>
            <w:r>
              <w:rPr>
                <w:rFonts w:ascii="Arial" w:cs="Arial" w:eastAsia="Arial" w:hAnsi="Arial"/>
                <w:sz w:val="12"/>
                <w:szCs w:val="12"/>
                <w:b w:val="1"/>
                <w:bCs w:val="1"/>
                <w:color w:val="auto"/>
              </w:rPr>
              <w:t>2019</w:t>
            </w:r>
          </w:p>
        </w:tc>
        <w:tc>
          <w:tcPr>
            <w:tcW w:w="1520" w:type="dxa"/>
            <w:vAlign w:val="bottom"/>
            <w:tcBorders>
              <w:bottom w:val="single" w:sz="8" w:color="auto"/>
            </w:tcBorders>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2020</w:t>
            </w:r>
          </w:p>
        </w:tc>
      </w:tr>
      <w:tr>
        <w:trPr>
          <w:trHeight w:val="126"/>
        </w:trPr>
        <w:tc>
          <w:tcPr>
            <w:tcW w:w="1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gridSpan w:val="2"/>
          </w:tcPr>
          <w:p>
            <w:pPr>
              <w:ind w:left="52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0" w:type="dxa"/>
            <w:vAlign w:val="bottom"/>
          </w:tcPr>
          <w:p>
            <w:pPr>
              <w:spacing w:after="0"/>
              <w:rPr>
                <w:sz w:val="10"/>
                <w:szCs w:val="10"/>
                <w:color w:val="auto"/>
              </w:rPr>
            </w:pPr>
          </w:p>
        </w:tc>
      </w:tr>
      <w:tr>
        <w:trPr>
          <w:trHeight w:val="159"/>
        </w:trPr>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Expected term</w:t>
            </w:r>
          </w:p>
        </w:tc>
        <w:tc>
          <w:tcPr>
            <w:tcW w:w="6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6"/>
        </w:trPr>
        <w:tc>
          <w:tcPr>
            <w:tcW w:w="14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 years)</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5.0</w:t>
            </w:r>
          </w:p>
        </w:tc>
        <w:tc>
          <w:tcPr>
            <w:tcW w:w="8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 10.0</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5.9</w:t>
            </w:r>
          </w:p>
        </w:tc>
        <w:tc>
          <w:tcPr>
            <w:tcW w:w="9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 10.0</w:t>
            </w:r>
          </w:p>
        </w:tc>
        <w:tc>
          <w:tcPr>
            <w:tcW w:w="1560" w:type="dxa"/>
            <w:vAlign w:val="bottom"/>
            <w:gridSpan w:val="3"/>
            <w:shd w:val="clear" w:color="auto" w:fill="CCEEFF"/>
          </w:tcPr>
          <w:p>
            <w:pPr>
              <w:jc w:val="center"/>
              <w:ind w:right="80"/>
              <w:spacing w:after="0" w:line="156" w:lineRule="exact"/>
              <w:rPr>
                <w:sz w:val="20"/>
                <w:szCs w:val="20"/>
                <w:color w:val="auto"/>
              </w:rPr>
            </w:pPr>
            <w:r>
              <w:rPr>
                <w:rFonts w:ascii="Arial" w:cs="Arial" w:eastAsia="Arial" w:hAnsi="Arial"/>
                <w:sz w:val="14"/>
                <w:szCs w:val="14"/>
                <w:color w:val="auto"/>
                <w:w w:val="96"/>
              </w:rPr>
              <w:t>5.5 – 10.0</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5.6</w:t>
            </w:r>
          </w:p>
        </w:tc>
        <w:tc>
          <w:tcPr>
            <w:tcW w:w="8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 10.0</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5.3</w:t>
            </w:r>
          </w:p>
        </w:tc>
        <w:tc>
          <w:tcPr>
            <w:tcW w:w="8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 10.0</w:t>
            </w:r>
          </w:p>
        </w:tc>
      </w:tr>
      <w:tr>
        <w:trPr>
          <w:trHeight w:val="158"/>
        </w:trPr>
        <w:tc>
          <w:tcPr>
            <w:tcW w:w="1480" w:type="dxa"/>
            <w:vAlign w:val="bottom"/>
          </w:tcPr>
          <w:p>
            <w:pPr>
              <w:spacing w:after="0" w:line="158" w:lineRule="exact"/>
              <w:rPr>
                <w:sz w:val="20"/>
                <w:szCs w:val="20"/>
                <w:color w:val="auto"/>
              </w:rPr>
            </w:pPr>
            <w:r>
              <w:rPr>
                <w:rFonts w:ascii="Arial" w:cs="Arial" w:eastAsia="Arial" w:hAnsi="Arial"/>
                <w:sz w:val="14"/>
                <w:szCs w:val="14"/>
                <w:color w:val="auto"/>
              </w:rPr>
              <w:t>Expected volatility</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54.14%</w:t>
            </w:r>
          </w:p>
        </w:tc>
        <w:tc>
          <w:tcPr>
            <w:tcW w:w="88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 56.84%</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54.70%</w:t>
            </w:r>
          </w:p>
        </w:tc>
        <w:tc>
          <w:tcPr>
            <w:tcW w:w="90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 58.59%</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55.69%</w:t>
            </w:r>
          </w:p>
        </w:tc>
        <w:tc>
          <w:tcPr>
            <w:tcW w:w="90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 59.23%</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56.50%</w:t>
            </w:r>
          </w:p>
        </w:tc>
        <w:tc>
          <w:tcPr>
            <w:tcW w:w="840" w:type="dxa"/>
            <w:vAlign w:val="bottom"/>
          </w:tcPr>
          <w:p>
            <w:pPr>
              <w:ind w:left="20"/>
              <w:spacing w:after="0" w:line="158" w:lineRule="exact"/>
              <w:rPr>
                <w:sz w:val="20"/>
                <w:szCs w:val="20"/>
                <w:color w:val="auto"/>
              </w:rPr>
            </w:pPr>
            <w:r>
              <w:rPr>
                <w:rFonts w:ascii="Arial" w:cs="Arial" w:eastAsia="Arial" w:hAnsi="Arial"/>
                <w:sz w:val="14"/>
                <w:szCs w:val="14"/>
                <w:color w:val="auto"/>
              </w:rPr>
              <w:t>– 58.91%</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53.23%</w:t>
            </w:r>
          </w:p>
        </w:tc>
        <w:tc>
          <w:tcPr>
            <w:tcW w:w="800" w:type="dxa"/>
            <w:vAlign w:val="bottom"/>
          </w:tcPr>
          <w:p>
            <w:pPr>
              <w:ind w:left="20"/>
              <w:spacing w:after="0" w:line="158" w:lineRule="exact"/>
              <w:rPr>
                <w:sz w:val="20"/>
                <w:szCs w:val="20"/>
                <w:color w:val="auto"/>
              </w:rPr>
            </w:pPr>
            <w:r>
              <w:rPr>
                <w:rFonts w:ascii="Arial" w:cs="Arial" w:eastAsia="Arial" w:hAnsi="Arial"/>
                <w:sz w:val="14"/>
                <w:szCs w:val="14"/>
                <w:color w:val="auto"/>
              </w:rPr>
              <w:t>– 72.02%</w:t>
            </w:r>
          </w:p>
        </w:tc>
      </w:tr>
      <w:tr>
        <w:trPr>
          <w:trHeight w:val="158"/>
        </w:trPr>
        <w:tc>
          <w:tcPr>
            <w:tcW w:w="14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rate</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1.80%</w:t>
            </w:r>
          </w:p>
        </w:tc>
        <w:tc>
          <w:tcPr>
            <w:tcW w:w="88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4"/>
                <w:szCs w:val="14"/>
                <w:color w:val="auto"/>
              </w:rPr>
              <w:t>– 2.38%</w:t>
            </w: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w:t>
            </w:r>
          </w:p>
        </w:tc>
        <w:tc>
          <w:tcPr>
            <w:tcW w:w="90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4"/>
                <w:szCs w:val="14"/>
                <w:color w:val="auto"/>
              </w:rPr>
              <w:t>– 3.13%</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1.67%</w:t>
            </w:r>
          </w:p>
        </w:tc>
        <w:tc>
          <w:tcPr>
            <w:tcW w:w="900" w:type="dxa"/>
            <w:vAlign w:val="bottom"/>
            <w:gridSpan w:val="2"/>
            <w:shd w:val="clear" w:color="auto" w:fill="CCEEFF"/>
          </w:tcPr>
          <w:p>
            <w:pPr>
              <w:ind w:left="40"/>
              <w:spacing w:after="0" w:line="158" w:lineRule="exact"/>
              <w:rPr>
                <w:sz w:val="20"/>
                <w:szCs w:val="20"/>
                <w:color w:val="auto"/>
              </w:rPr>
            </w:pPr>
            <w:r>
              <w:rPr>
                <w:rFonts w:ascii="Arial" w:cs="Arial" w:eastAsia="Arial" w:hAnsi="Arial"/>
                <w:sz w:val="14"/>
                <w:szCs w:val="14"/>
                <w:color w:val="auto"/>
              </w:rPr>
              <w:t>– 2.40%</w:t>
            </w: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1.78%</w:t>
            </w:r>
          </w:p>
        </w:tc>
        <w:tc>
          <w:tcPr>
            <w:tcW w:w="8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 2.40%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0.33%</w:t>
            </w:r>
          </w:p>
        </w:tc>
        <w:tc>
          <w:tcPr>
            <w:tcW w:w="80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 1.50%</w:t>
            </w:r>
          </w:p>
        </w:tc>
      </w:tr>
      <w:tr>
        <w:trPr>
          <w:trHeight w:val="164"/>
        </w:trPr>
        <w:tc>
          <w:tcPr>
            <w:tcW w:w="1480" w:type="dxa"/>
            <w:vAlign w:val="bottom"/>
          </w:tcPr>
          <w:p>
            <w:pPr>
              <w:spacing w:after="0"/>
              <w:rPr>
                <w:sz w:val="20"/>
                <w:szCs w:val="20"/>
                <w:color w:val="auto"/>
              </w:rPr>
            </w:pPr>
            <w:r>
              <w:rPr>
                <w:rFonts w:ascii="Arial" w:cs="Arial" w:eastAsia="Arial" w:hAnsi="Arial"/>
                <w:sz w:val="14"/>
                <w:szCs w:val="14"/>
                <w:color w:val="auto"/>
              </w:rPr>
              <w:t>Dividend yield</w:t>
            </w:r>
          </w:p>
        </w:tc>
        <w:tc>
          <w:tcPr>
            <w:tcW w:w="6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800" w:type="dxa"/>
            <w:vAlign w:val="bottom"/>
          </w:tcPr>
          <w:p>
            <w:pPr>
              <w:jc w:val="right"/>
              <w:ind w:right="472"/>
              <w:spacing w:after="0"/>
              <w:rPr>
                <w:sz w:val="20"/>
                <w:szCs w:val="20"/>
                <w:color w:val="auto"/>
              </w:rPr>
            </w:pPr>
            <w:r>
              <w:rPr>
                <w:rFonts w:ascii="Arial" w:cs="Arial" w:eastAsia="Arial" w:hAnsi="Arial"/>
                <w:sz w:val="14"/>
                <w:szCs w:val="14"/>
                <w:color w:val="auto"/>
                <w:w w:val="90"/>
              </w:rPr>
              <w:t>—%</w:t>
            </w:r>
          </w:p>
        </w:tc>
      </w:tr>
    </w:tbl>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220"/>
          </w:cols>
          <w:pgMar w:left="320" w:top="407" w:right="1359" w:bottom="1440" w:gutter="0" w:footer="0" w:header="0"/>
        </w:sectPr>
      </w:pPr>
    </w:p>
    <w:bookmarkStart w:id="294" w:name="page295"/>
    <w:bookmarkEnd w:id="2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The Company recorded stock-based compensation in the following expense categories in its consolidated statements of operations and comprehensive income (loss) for employees and non-employees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9"/>
          </w:tcPr>
          <w:p>
            <w:pPr>
              <w:jc w:val="right"/>
              <w:ind w:right="38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9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5"/>
              <w:spacing w:after="0" w:line="126" w:lineRule="exact"/>
              <w:rPr>
                <w:sz w:val="20"/>
                <w:szCs w:val="20"/>
                <w:color w:val="auto"/>
              </w:rPr>
            </w:pPr>
            <w:r>
              <w:rPr>
                <w:rFonts w:ascii="Arial" w:cs="Arial" w:eastAsia="Arial" w:hAnsi="Arial"/>
                <w:sz w:val="12"/>
                <w:szCs w:val="12"/>
                <w:b w:val="1"/>
                <w:bCs w:val="1"/>
                <w:color w:val="auto"/>
                <w:w w:val="97"/>
              </w:rPr>
              <w:t>2017</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w w:val="97"/>
              </w:rPr>
              <w:t>2018</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w w:val="89"/>
              </w:rPr>
              <w:t>2019</w:t>
            </w:r>
          </w:p>
        </w:tc>
        <w:tc>
          <w:tcPr>
            <w:tcW w:w="2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w w:val="97"/>
              </w:rPr>
              <w:t>2019</w:t>
            </w:r>
          </w:p>
        </w:tc>
        <w:tc>
          <w:tcPr>
            <w:tcW w:w="2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5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center"/>
              <w:ind w:right="3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58"/>
        </w:trPr>
        <w:tc>
          <w:tcPr>
            <w:tcW w:w="5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32</w:t>
            </w: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1,136</w:t>
            </w:r>
          </w:p>
        </w:tc>
      </w:tr>
      <w:tr>
        <w:trPr>
          <w:trHeight w:val="158"/>
        </w:trPr>
        <w:tc>
          <w:tcPr>
            <w:tcW w:w="5980" w:type="dxa"/>
            <w:vAlign w:val="bottom"/>
          </w:tcPr>
          <w:p>
            <w:pPr>
              <w:spacing w:after="0" w:line="158" w:lineRule="exact"/>
              <w:rPr>
                <w:sz w:val="20"/>
                <w:szCs w:val="20"/>
                <w:color w:val="auto"/>
              </w:rPr>
            </w:pPr>
            <w:r>
              <w:rPr>
                <w:rFonts w:ascii="Arial" w:cs="Arial" w:eastAsia="Arial" w:hAnsi="Arial"/>
                <w:sz w:val="14"/>
                <w:szCs w:val="14"/>
                <w:color w:val="auto"/>
              </w:rPr>
              <w:t>Customer operations</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178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433</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625</w:t>
            </w:r>
          </w:p>
        </w:tc>
      </w:tr>
      <w:tr>
        <w:trPr>
          <w:trHeight w:val="158"/>
        </w:trPr>
        <w:tc>
          <w:tcPr>
            <w:tcW w:w="5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753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w w:val="91"/>
              </w:rPr>
              <w:t>1,803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3,181</w:t>
            </w:r>
          </w:p>
        </w:tc>
      </w:tr>
      <w:tr>
        <w:trPr>
          <w:trHeight w:val="158"/>
        </w:trPr>
        <w:tc>
          <w:tcPr>
            <w:tcW w:w="5980" w:type="dxa"/>
            <w:vAlign w:val="bottom"/>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560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931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w w:val="91"/>
              </w:rPr>
              <w:t>1,292</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863</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2,160</w:t>
            </w:r>
          </w:p>
        </w:tc>
      </w:tr>
      <w:tr>
        <w:trPr>
          <w:trHeight w:val="23"/>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59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1,290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2,045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w w:val="91"/>
              </w:rPr>
              <w:t>3,806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2,204</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7,102</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12. Leases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Company’s operating leases are primarily for its corporate headquarters in San Mateo, California and Columbus, Ohio. Both operating leases include early termination options, and one of the leases includes renewal options for two successive five-year periods. The exercise of these options was not recognized as part of the ROU assets and lease liabilities, as the Company did not conclude, at the commencement date of the leases, that the exercise of renewal options or termination options was reasonably certain. In connection with one of the leases, a letter of credit was issued on behalf of the Company for the benefit of the landlord in the amount of $2.0 million. The letter of credit is secured by a certificate of deposit which is included in restricted cash on the consolidated balance sheet. In connection with the Columbus lease, the Company is entitled to receive tenant improvement allowances of up to $0.7 million.</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2019, future minimum noncancelable lease payments are as follows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3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Operating</w:t>
            </w:r>
          </w:p>
        </w:tc>
      </w:tr>
      <w:tr>
        <w:trPr>
          <w:trHeight w:val="145"/>
        </w:trPr>
        <w:tc>
          <w:tcPr>
            <w:tcW w:w="5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Year ending December 31,</w:t>
            </w:r>
          </w:p>
        </w:tc>
        <w:tc>
          <w:tcPr>
            <w:tcW w:w="3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w w:val="93"/>
              </w:rPr>
              <w:t>Leases</w:t>
            </w:r>
          </w:p>
        </w:tc>
        <w:tc>
          <w:tcPr>
            <w:tcW w:w="80" w:type="dxa"/>
            <w:vAlign w:val="bottom"/>
            <w:tcBorders>
              <w:bottom w:val="single" w:sz="8" w:color="CCEEFF"/>
            </w:tcBorders>
          </w:tcPr>
          <w:p>
            <w:pPr>
              <w:spacing w:after="0"/>
              <w:rPr>
                <w:sz w:val="12"/>
                <w:szCs w:val="12"/>
                <w:color w:val="auto"/>
              </w:rPr>
            </w:pPr>
          </w:p>
        </w:tc>
      </w:tr>
      <w:tr>
        <w:trPr>
          <w:trHeight w:val="149"/>
        </w:trPr>
        <w:tc>
          <w:tcPr>
            <w:tcW w:w="53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2020</w:t>
            </w:r>
          </w:p>
        </w:tc>
        <w:tc>
          <w:tcPr>
            <w:tcW w:w="3300" w:type="dxa"/>
            <w:vAlign w:val="bottom"/>
            <w:gridSpan w:val="2"/>
            <w:shd w:val="clear" w:color="auto" w:fill="CCEEFF"/>
          </w:tcPr>
          <w:p>
            <w:pPr>
              <w:ind w:left="3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4,117</w:t>
            </w: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4,236</w:t>
            </w: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4,357</w:t>
            </w: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4,483</w:t>
            </w: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1,476</w:t>
            </w:r>
          </w:p>
        </w:tc>
      </w:tr>
      <w:tr>
        <w:trPr>
          <w:trHeight w:val="160"/>
        </w:trPr>
        <w:tc>
          <w:tcPr>
            <w:tcW w:w="532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3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897</w:t>
            </w:r>
          </w:p>
        </w:tc>
        <w:tc>
          <w:tcPr>
            <w:tcW w:w="80" w:type="dxa"/>
            <w:vAlign w:val="bottom"/>
          </w:tcPr>
          <w:p>
            <w:pPr>
              <w:spacing w:after="0"/>
              <w:rPr>
                <w:sz w:val="13"/>
                <w:szCs w:val="13"/>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undiscounted lease payments</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19,566</w:t>
            </w:r>
          </w:p>
        </w:tc>
        <w:tc>
          <w:tcPr>
            <w:tcW w:w="80" w:type="dxa"/>
            <w:vAlign w:val="bottom"/>
            <w:shd w:val="clear" w:color="auto" w:fill="CCEEFF"/>
          </w:tcPr>
          <w:p>
            <w:pPr>
              <w:spacing w:after="0"/>
              <w:rPr>
                <w:sz w:val="13"/>
                <w:szCs w:val="13"/>
                <w:color w:val="auto"/>
              </w:rPr>
            </w:pP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Less: Present value adjustment</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(2,505)</w:t>
            </w:r>
          </w:p>
        </w:tc>
      </w:tr>
      <w:tr>
        <w:trPr>
          <w:trHeight w:val="23"/>
        </w:trPr>
        <w:tc>
          <w:tcPr>
            <w:tcW w:w="5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lease liabilities</w:t>
            </w:r>
          </w:p>
        </w:tc>
        <w:tc>
          <w:tcPr>
            <w:tcW w:w="3300" w:type="dxa"/>
            <w:vAlign w:val="bottom"/>
            <w:gridSpan w:val="2"/>
            <w:shd w:val="clear" w:color="auto" w:fill="CCEEFF"/>
          </w:tcPr>
          <w:p>
            <w:pPr>
              <w:ind w:left="3220"/>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17,061</w:t>
            </w:r>
          </w:p>
        </w:tc>
        <w:tc>
          <w:tcPr>
            <w:tcW w:w="80" w:type="dxa"/>
            <w:vAlign w:val="bottom"/>
            <w:shd w:val="clear" w:color="auto" w:fill="CCEEFF"/>
          </w:tcPr>
          <w:p>
            <w:pPr>
              <w:spacing w:after="0"/>
              <w:rPr>
                <w:sz w:val="13"/>
                <w:szCs w:val="13"/>
                <w:color w:val="auto"/>
              </w:rPr>
            </w:pPr>
          </w:p>
        </w:tc>
      </w:tr>
      <w:tr>
        <w:trPr>
          <w:trHeight w:val="20"/>
        </w:trPr>
        <w:tc>
          <w:tcPr>
            <w:tcW w:w="5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right="60" w:firstLine="460"/>
        <w:spacing w:after="0" w:line="245" w:lineRule="auto"/>
        <w:rPr>
          <w:sz w:val="20"/>
          <w:szCs w:val="20"/>
          <w:color w:val="auto"/>
        </w:rPr>
      </w:pPr>
      <w:r>
        <w:rPr>
          <w:rFonts w:ascii="Arial" w:cs="Arial" w:eastAsia="Arial" w:hAnsi="Arial"/>
          <w:sz w:val="15"/>
          <w:szCs w:val="15"/>
          <w:color w:val="auto"/>
        </w:rPr>
        <w:t>As of December 31, 2019 and September 30, 2020 (unaudited), the Company does not have any operating leases which are yet to commence.</w:t>
      </w:r>
    </w:p>
    <w:p>
      <w:pPr>
        <w:spacing w:after="0" w:line="166"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As of December 31, 2018, the Company leased one office space under a noncancelable operating lease agreement. The agreement had an expiration date in October 2019. This lease was also in place as of December 31, 2017, in addition to another leasing contract that expired during 2018.</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0220"/>
          </w:cols>
          <w:pgMar w:left="320" w:top="407" w:right="1359" w:bottom="1440" w:gutter="0" w:footer="0" w:header="0"/>
        </w:sectPr>
      </w:pPr>
    </w:p>
    <w:bookmarkStart w:id="295" w:name="page296"/>
    <w:bookmarkEnd w:id="2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This space was sub-leased to a third party through the expiration date of the related contract. The sub-leasing agreement included terms that are not materially different from the original lease and did not relieve the Company from its obligations to the lessor. As of December 31, 2018, the remaining future minimum lease payments related to this lease were $1.0 million through its expiration date in October 2019.</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Rent expense for the Company’s operating leases was $1.3 million, $1.3 million, $3.4 million, $2.2 million, and $3.9 million for the years ended December 31, 2017, 2018 and 2019, and nine months ended September 30, 2019 (unaudited) and 2020 (unaudited), respectively. Variable lease payments such as common area maintenance and parking fees were included in operating expenses and were $1.0 million for both the year ended December 31, 2019 and nine months ended September 30, 2020 (unaudited). Rent expense for the Company’s short-term leases was immaterial for the year ended December 31, 2019 and September 30, 2020 (unaudited).</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Supplemental cash flow and noncash information related to the Company’s operating leases was as follows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Nine Months</w:t>
            </w:r>
          </w:p>
        </w:tc>
      </w:tr>
      <w:tr>
        <w:trPr>
          <w:trHeight w:val="135"/>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Year Ended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Ended</w:t>
            </w:r>
          </w:p>
        </w:tc>
      </w:tr>
      <w:tr>
        <w:trPr>
          <w:trHeight w:val="135"/>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320" w:type="dxa"/>
            <w:vAlign w:val="bottom"/>
          </w:tcPr>
          <w:p>
            <w:pPr>
              <w:spacing w:after="0"/>
              <w:rPr>
                <w:sz w:val="11"/>
                <w:szCs w:val="11"/>
                <w:color w:val="auto"/>
              </w:rPr>
            </w:pPr>
          </w:p>
        </w:tc>
        <w:tc>
          <w:tcPr>
            <w:tcW w:w="86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9"/>
              </w:rPr>
              <w:t>September 30,</w:t>
            </w:r>
          </w:p>
        </w:tc>
      </w:tr>
      <w:tr>
        <w:trPr>
          <w:trHeight w:val="145"/>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97"/>
              </w:rPr>
              <w:t>2020</w:t>
            </w:r>
          </w:p>
        </w:tc>
        <w:tc>
          <w:tcPr>
            <w:tcW w:w="40" w:type="dxa"/>
            <w:vAlign w:val="bottom"/>
          </w:tcPr>
          <w:p>
            <w:pPr>
              <w:spacing w:after="0"/>
              <w:rPr>
                <w:sz w:val="12"/>
                <w:szCs w:val="12"/>
                <w:color w:val="auto"/>
              </w:rPr>
            </w:pPr>
          </w:p>
        </w:tc>
      </w:tr>
      <w:tr>
        <w:trPr>
          <w:trHeight w:val="126"/>
        </w:trPr>
        <w:tc>
          <w:tcPr>
            <w:tcW w:w="5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17"/>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58"/>
        </w:trPr>
        <w:tc>
          <w:tcPr>
            <w:tcW w:w="55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operating activities</w:t>
            </w:r>
          </w:p>
        </w:tc>
        <w:tc>
          <w:tcPr>
            <w:tcW w:w="1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54"/>
        </w:trPr>
        <w:tc>
          <w:tcPr>
            <w:tcW w:w="5560" w:type="dxa"/>
            <w:vAlign w:val="bottom"/>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5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1,905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3,101</w:t>
            </w:r>
          </w:p>
        </w:tc>
      </w:tr>
      <w:tr>
        <w:trPr>
          <w:trHeight w:val="84"/>
        </w:trPr>
        <w:tc>
          <w:tcPr>
            <w:tcW w:w="5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58"/>
        </w:trPr>
        <w:tc>
          <w:tcPr>
            <w:tcW w:w="55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Right-of-use assets obtained in exchange for lease obligations</w:t>
            </w:r>
          </w:p>
        </w:tc>
        <w:tc>
          <w:tcPr>
            <w:tcW w:w="1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54"/>
        </w:trPr>
        <w:tc>
          <w:tcPr>
            <w:tcW w:w="5560" w:type="dxa"/>
            <w:vAlign w:val="bottom"/>
          </w:tcPr>
          <w:p>
            <w:pPr>
              <w:spacing w:after="0"/>
              <w:rPr>
                <w:sz w:val="20"/>
                <w:szCs w:val="20"/>
                <w:color w:val="auto"/>
              </w:rPr>
            </w:pPr>
            <w:r>
              <w:rPr>
                <w:rFonts w:ascii="Arial" w:cs="Arial" w:eastAsia="Arial" w:hAnsi="Arial"/>
                <w:sz w:val="14"/>
                <w:szCs w:val="14"/>
                <w:color w:val="auto"/>
              </w:rPr>
              <w:t>Total right-of-use assets capitalized</w:t>
            </w:r>
          </w:p>
        </w:tc>
        <w:tc>
          <w:tcPr>
            <w:tcW w:w="15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16,190</w:t>
            </w:r>
          </w:p>
        </w:tc>
        <w:tc>
          <w:tcPr>
            <w:tcW w:w="3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187</w:t>
            </w: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summarizes additional information related to the Company’s operating leases: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Nine months</w:t>
            </w:r>
          </w:p>
        </w:tc>
      </w:tr>
      <w:tr>
        <w:trPr>
          <w:trHeight w:val="135"/>
        </w:trPr>
        <w:tc>
          <w:tcPr>
            <w:tcW w:w="6480" w:type="dxa"/>
            <w:vAlign w:val="bottom"/>
          </w:tcPr>
          <w:p>
            <w:pPr>
              <w:spacing w:after="0"/>
              <w:rPr>
                <w:sz w:val="11"/>
                <w:szCs w:val="11"/>
                <w:color w:val="auto"/>
              </w:rPr>
            </w:pPr>
          </w:p>
        </w:tc>
        <w:tc>
          <w:tcPr>
            <w:tcW w:w="1720" w:type="dxa"/>
            <w:vAlign w:val="bottom"/>
            <w:gridSpan w:val="2"/>
          </w:tcPr>
          <w:p>
            <w:pPr>
              <w:jc w:val="center"/>
              <w:ind w:right="920"/>
              <w:spacing w:after="0" w:line="136" w:lineRule="exact"/>
              <w:rPr>
                <w:sz w:val="20"/>
                <w:szCs w:val="20"/>
                <w:color w:val="auto"/>
              </w:rPr>
            </w:pPr>
            <w:r>
              <w:rPr>
                <w:rFonts w:ascii="Arial" w:cs="Arial" w:eastAsia="Arial" w:hAnsi="Arial"/>
                <w:sz w:val="12"/>
                <w:szCs w:val="12"/>
                <w:b w:val="1"/>
                <w:bCs w:val="1"/>
                <w:color w:val="auto"/>
                <w:w w:val="98"/>
              </w:rPr>
              <w:t>Year ended</w:t>
            </w:r>
          </w:p>
        </w:tc>
        <w:tc>
          <w:tcPr>
            <w:tcW w:w="10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ended</w:t>
            </w:r>
          </w:p>
        </w:tc>
      </w:tr>
      <w:tr>
        <w:trPr>
          <w:trHeight w:val="135"/>
        </w:trPr>
        <w:tc>
          <w:tcPr>
            <w:tcW w:w="6480" w:type="dxa"/>
            <w:vAlign w:val="bottom"/>
          </w:tcPr>
          <w:p>
            <w:pPr>
              <w:spacing w:after="0"/>
              <w:rPr>
                <w:sz w:val="11"/>
                <w:szCs w:val="11"/>
                <w:color w:val="auto"/>
              </w:rPr>
            </w:pPr>
          </w:p>
        </w:tc>
        <w:tc>
          <w:tcPr>
            <w:tcW w:w="1720" w:type="dxa"/>
            <w:vAlign w:val="bottom"/>
            <w:gridSpan w:val="2"/>
          </w:tcPr>
          <w:p>
            <w:pPr>
              <w:jc w:val="center"/>
              <w:ind w:right="920"/>
              <w:spacing w:after="0" w:line="136"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September 30,</w:t>
            </w:r>
          </w:p>
        </w:tc>
      </w:tr>
      <w:tr>
        <w:trPr>
          <w:trHeight w:val="145"/>
        </w:trPr>
        <w:tc>
          <w:tcPr>
            <w:tcW w:w="64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2019</w:t>
            </w:r>
          </w:p>
        </w:tc>
        <w:tc>
          <w:tcPr>
            <w:tcW w:w="92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r>
      <w:tr>
        <w:trPr>
          <w:trHeight w:val="126"/>
        </w:trPr>
        <w:tc>
          <w:tcPr>
            <w:tcW w:w="6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160" w:type="dxa"/>
            <w:vAlign w:val="bottom"/>
          </w:tcPr>
          <w:p>
            <w:pPr>
              <w:spacing w:after="0"/>
              <w:rPr>
                <w:sz w:val="10"/>
                <w:szCs w:val="10"/>
                <w:color w:val="auto"/>
              </w:rPr>
            </w:pPr>
          </w:p>
        </w:tc>
      </w:tr>
      <w:tr>
        <w:trPr>
          <w:trHeight w:val="158"/>
        </w:trPr>
        <w:tc>
          <w:tcPr>
            <w:tcW w:w="64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Weighted average remaining lease term (in years)</w:t>
            </w:r>
          </w:p>
        </w:tc>
        <w:tc>
          <w:tcPr>
            <w:tcW w:w="1720" w:type="dxa"/>
            <w:vAlign w:val="bottom"/>
            <w:gridSpan w:val="2"/>
            <w:shd w:val="clear" w:color="auto" w:fill="CCEEFF"/>
          </w:tcPr>
          <w:p>
            <w:pPr>
              <w:jc w:val="right"/>
              <w:ind w:right="920"/>
              <w:spacing w:after="0" w:line="158" w:lineRule="exact"/>
              <w:rPr>
                <w:sz w:val="20"/>
                <w:szCs w:val="20"/>
                <w:color w:val="auto"/>
              </w:rPr>
            </w:pPr>
            <w:r>
              <w:rPr>
                <w:rFonts w:ascii="Arial" w:cs="Arial" w:eastAsia="Arial" w:hAnsi="Arial"/>
                <w:sz w:val="14"/>
                <w:szCs w:val="14"/>
                <w:color w:val="auto"/>
              </w:rPr>
              <w:t>4.6</w:t>
            </w:r>
          </w:p>
        </w:tc>
        <w:tc>
          <w:tcPr>
            <w:tcW w:w="10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4.9</w:t>
            </w:r>
          </w:p>
        </w:tc>
      </w:tr>
      <w:tr>
        <w:trPr>
          <w:trHeight w:val="164"/>
        </w:trPr>
        <w:tc>
          <w:tcPr>
            <w:tcW w:w="6480" w:type="dxa"/>
            <w:vAlign w:val="bottom"/>
          </w:tcPr>
          <w:p>
            <w:pPr>
              <w:spacing w:after="0"/>
              <w:rPr>
                <w:sz w:val="20"/>
                <w:szCs w:val="20"/>
                <w:color w:val="auto"/>
              </w:rPr>
            </w:pPr>
            <w:r>
              <w:rPr>
                <w:rFonts w:ascii="Arial" w:cs="Arial" w:eastAsia="Arial" w:hAnsi="Arial"/>
                <w:sz w:val="14"/>
                <w:szCs w:val="14"/>
                <w:color w:val="auto"/>
              </w:rPr>
              <w:t>Weighted average discount rate</w:t>
            </w:r>
          </w:p>
        </w:tc>
        <w:tc>
          <w:tcPr>
            <w:tcW w:w="1720" w:type="dxa"/>
            <w:vAlign w:val="bottom"/>
            <w:gridSpan w:val="2"/>
          </w:tcPr>
          <w:p>
            <w:pPr>
              <w:jc w:val="right"/>
              <w:ind w:right="800"/>
              <w:spacing w:after="0"/>
              <w:rPr>
                <w:sz w:val="20"/>
                <w:szCs w:val="20"/>
                <w:color w:val="auto"/>
              </w:rPr>
            </w:pPr>
            <w:r>
              <w:rPr>
                <w:rFonts w:ascii="Arial" w:cs="Arial" w:eastAsia="Arial" w:hAnsi="Arial"/>
                <w:sz w:val="14"/>
                <w:szCs w:val="14"/>
                <w:color w:val="auto"/>
              </w:rPr>
              <w:t>5.84%</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5.84%</w:t>
            </w:r>
          </w:p>
        </w:tc>
      </w:tr>
    </w:tbl>
    <w:p>
      <w:pPr>
        <w:spacing w:after="0" w:line="246" w:lineRule="exact"/>
        <w:rPr>
          <w:sz w:val="20"/>
          <w:szCs w:val="20"/>
          <w:color w:val="auto"/>
        </w:rPr>
      </w:pPr>
    </w:p>
    <w:p>
      <w:pPr>
        <w:ind w:left="1480" w:right="6560" w:hanging="453"/>
        <w:spacing w:after="0" w:line="373" w:lineRule="auto"/>
        <w:tabs>
          <w:tab w:leader="none" w:pos="1271" w:val="left"/>
        </w:tabs>
        <w:numPr>
          <w:ilvl w:val="0"/>
          <w:numId w:val="15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Loan Purchase Obligation</w:t>
      </w:r>
    </w:p>
    <w:p>
      <w:pPr>
        <w:ind w:left="1020" w:right="280" w:firstLine="460"/>
        <w:spacing w:after="0" w:line="238" w:lineRule="auto"/>
        <w:rPr>
          <w:sz w:val="20"/>
          <w:szCs w:val="20"/>
          <w:color w:val="auto"/>
        </w:rPr>
      </w:pPr>
      <w:r>
        <w:rPr>
          <w:rFonts w:ascii="Arial" w:cs="Arial" w:eastAsia="Arial" w:hAnsi="Arial"/>
          <w:sz w:val="15"/>
          <w:szCs w:val="15"/>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unpaid principal balance, plus accrued interest, at the conclusion of the required holding period. As of December 31, 2018 and 2019, and September 30, 2020 (unaudited), respectively, the total loan purchase commitment included the outstanding principal balance of $14.7 million, $51.9 million, and $59.3 million plus accrued interest.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F-60</w:t>
      </w:r>
    </w:p>
    <w:p>
      <w:pPr>
        <w:sectPr>
          <w:pgSz w:w="11900" w:h="16838" w:orient="portrait"/>
          <w:cols w:equalWidth="0" w:num="1">
            <w:col w:w="10220"/>
          </w:cols>
          <w:pgMar w:left="320" w:top="407" w:right="1359" w:bottom="1440" w:gutter="0" w:footer="0" w:header="0"/>
        </w:sectPr>
      </w:pPr>
    </w:p>
    <w:bookmarkStart w:id="296" w:name="page297"/>
    <w:bookmarkEnd w:id="2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Repurchase and Indemnification Contingency</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Under the terms of the loan purchase and loan servicing agreements between the Company and institutional investors, as well as in agreements with investors in securitizations where the Company is not the sponsor,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maximum potential amount of future payments associated under this obligation is the outstanding balances of the loans sold to the investors, which at December 31, 2018 and 2019, and September 30, 2020 (unaudited), is $1,818.4 million, $3,498.1 million and $4,411.7 million, respectively. The Company recognizes a liability for the repurchase obligation based on historical experience when the loans are issued. The liability is subsequently remeasured when a related loss is probable and can be reasonably estimated. Actual payments made relating to the Company’s repurchase and indemnification obligations were immaterial historically. The Company has recorded contingent liabilities as of December 31, 2018 and 2019 of immaterial amounts to cover estimated future obligations related to these contractual terms. These amounts are included in other liabilities on the Company’s consolidated balance sheets.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Legal</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2018 and 2019, and September 30, 2020 (unaudited), no loss contingency has been recorded in connection with legal proceedings arising in the ordinary course of business.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Contingencies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consolidated financial statements.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Indemnifications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F-61</w:t>
      </w:r>
    </w:p>
    <w:p>
      <w:pPr>
        <w:sectPr>
          <w:pgSz w:w="11900" w:h="16838" w:orient="portrait"/>
          <w:cols w:equalWidth="0" w:num="1">
            <w:col w:w="10220"/>
          </w:cols>
          <w:pgMar w:left="320" w:top="407" w:right="1359" w:bottom="1440" w:gutter="0" w:footer="0" w:header="0"/>
        </w:sectPr>
      </w:pPr>
    </w:p>
    <w:bookmarkStart w:id="297" w:name="page298"/>
    <w:bookmarkEnd w:id="2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660"/>
        <w:spacing w:after="0" w:line="245" w:lineRule="auto"/>
        <w:rPr>
          <w:sz w:val="20"/>
          <w:szCs w:val="20"/>
          <w:color w:val="auto"/>
        </w:rPr>
      </w:pPr>
      <w:r>
        <w:rPr>
          <w:rFonts w:ascii="Arial" w:cs="Arial" w:eastAsia="Arial" w:hAnsi="Arial"/>
          <w:sz w:val="15"/>
          <w:szCs w:val="15"/>
          <w:color w:val="auto"/>
        </w:rPr>
        <w:t>thus, there are no claims that the Company is aware of that could have a material effect on the Company’s consolidated financial statements.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14. Income Taxes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Income tax expense included in the statements of income and comprehensive income consisted of the following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68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89"/>
              </w:rPr>
              <w:t>2017</w:t>
            </w:r>
          </w:p>
        </w:tc>
        <w:tc>
          <w:tcPr>
            <w:tcW w:w="4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w w:val="97"/>
              </w:rPr>
              <w:t>2019</w:t>
            </w:r>
          </w:p>
        </w:tc>
        <w:tc>
          <w:tcPr>
            <w:tcW w:w="40" w:type="dxa"/>
            <w:vAlign w:val="bottom"/>
            <w:tcBorders>
              <w:bottom w:val="single" w:sz="8" w:color="CCEEFF"/>
            </w:tcBorders>
          </w:tcPr>
          <w:p>
            <w:pPr>
              <w:spacing w:after="0"/>
              <w:rPr>
                <w:sz w:val="10"/>
                <w:szCs w:val="10"/>
                <w:color w:val="auto"/>
              </w:rPr>
            </w:pPr>
          </w:p>
        </w:tc>
      </w:tr>
      <w:tr>
        <w:trPr>
          <w:trHeight w:val="138"/>
        </w:trPr>
        <w:tc>
          <w:tcPr>
            <w:tcW w:w="6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8"/>
        </w:trPr>
        <w:tc>
          <w:tcPr>
            <w:tcW w:w="6820" w:type="dxa"/>
            <w:vAlign w:val="bottom"/>
          </w:tcPr>
          <w:p>
            <w:pPr>
              <w:ind w:left="280"/>
              <w:spacing w:after="0" w:line="158" w:lineRule="exact"/>
              <w:rPr>
                <w:sz w:val="20"/>
                <w:szCs w:val="20"/>
                <w:color w:val="auto"/>
              </w:rPr>
            </w:pPr>
            <w:r>
              <w:rPr>
                <w:rFonts w:ascii="Arial" w:cs="Arial" w:eastAsia="Arial" w:hAnsi="Arial"/>
                <w:sz w:val="14"/>
                <w:szCs w:val="14"/>
                <w:color w:val="auto"/>
              </w:rPr>
              <w:t>Federal</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State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820" w:type="dxa"/>
            <w:vAlign w:val="bottom"/>
          </w:tcPr>
          <w:p>
            <w:pPr>
              <w:spacing w:after="0"/>
              <w:rPr>
                <w:sz w:val="20"/>
                <w:szCs w:val="20"/>
                <w:color w:val="auto"/>
              </w:rPr>
            </w:pPr>
            <w:r>
              <w:rPr>
                <w:rFonts w:ascii="Arial" w:cs="Arial" w:eastAsia="Arial" w:hAnsi="Arial"/>
                <w:sz w:val="14"/>
                <w:szCs w:val="14"/>
                <w:color w:val="auto"/>
              </w:rPr>
              <w:t>Total current tax expense</w:t>
            </w:r>
          </w:p>
        </w:tc>
        <w:tc>
          <w:tcPr>
            <w:tcW w:w="10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74</w:t>
            </w:r>
          </w:p>
        </w:tc>
      </w:tr>
      <w:tr>
        <w:trPr>
          <w:trHeight w:val="23"/>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tcPr>
          <w:p>
            <w:pPr>
              <w:ind w:left="280"/>
              <w:spacing w:after="0" w:line="158" w:lineRule="exact"/>
              <w:rPr>
                <w:sz w:val="20"/>
                <w:szCs w:val="20"/>
                <w:color w:val="auto"/>
              </w:rPr>
            </w:pPr>
            <w:r>
              <w:rPr>
                <w:rFonts w:ascii="Arial" w:cs="Arial" w:eastAsia="Arial" w:hAnsi="Arial"/>
                <w:sz w:val="14"/>
                <w:szCs w:val="14"/>
                <w:color w:val="auto"/>
              </w:rPr>
              <w:t>Federal</w:t>
            </w:r>
          </w:p>
        </w:tc>
        <w:tc>
          <w:tcPr>
            <w:tcW w:w="100" w:type="dxa"/>
            <w:vAlign w:val="bottom"/>
          </w:tcPr>
          <w:p>
            <w:pPr>
              <w:spacing w:after="0"/>
              <w:rPr>
                <w:sz w:val="13"/>
                <w:szCs w:val="13"/>
                <w:color w:val="auto"/>
              </w:rPr>
            </w:pPr>
          </w:p>
        </w:tc>
        <w:tc>
          <w:tcPr>
            <w:tcW w:w="78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State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820" w:type="dxa"/>
            <w:vAlign w:val="bottom"/>
          </w:tcPr>
          <w:p>
            <w:pPr>
              <w:spacing w:after="0"/>
              <w:rPr>
                <w:sz w:val="20"/>
                <w:szCs w:val="20"/>
                <w:color w:val="auto"/>
              </w:rPr>
            </w:pPr>
            <w:r>
              <w:rPr>
                <w:rFonts w:ascii="Arial" w:cs="Arial" w:eastAsia="Arial" w:hAnsi="Arial"/>
                <w:sz w:val="14"/>
                <w:szCs w:val="14"/>
                <w:color w:val="auto"/>
              </w:rPr>
              <w:t>Total deferred tax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3"/>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provision for income taxes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Income tax expense differed from the amount computed by applying the federal statutory income tax rate of 21% to pretax loss as a result of the following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9"/>
          </w:tcPr>
          <w:p>
            <w:pPr>
              <w:jc w:val="right"/>
              <w:ind w:right="340"/>
              <w:spacing w:after="0"/>
              <w:rPr>
                <w:sz w:val="20"/>
                <w:szCs w:val="20"/>
                <w:color w:val="auto"/>
              </w:rPr>
            </w:pPr>
            <w:r>
              <w:rPr>
                <w:rFonts w:ascii="Arial" w:cs="Arial" w:eastAsia="Arial" w:hAnsi="Arial"/>
                <w:sz w:val="12"/>
                <w:szCs w:val="12"/>
                <w:b w:val="1"/>
                <w:bCs w:val="1"/>
                <w:color w:val="auto"/>
              </w:rPr>
              <w:t>Year Ended December 31,</w:t>
            </w:r>
          </w:p>
        </w:tc>
      </w:tr>
      <w:tr>
        <w:trPr>
          <w:trHeight w:val="145"/>
        </w:trPr>
        <w:tc>
          <w:tcPr>
            <w:tcW w:w="7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97"/>
              </w:rPr>
              <w:t>2019</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6"/>
        </w:trPr>
        <w:tc>
          <w:tcPr>
            <w:tcW w:w="7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97"/>
              </w:rPr>
              <w:t>2017</w:t>
            </w: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97"/>
              </w:rPr>
              <w:t>2018</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Borders>
              <w:bottom w:val="single" w:sz="8" w:color="CCEEFF"/>
            </w:tcBorders>
          </w:tcPr>
          <w:p>
            <w:pPr>
              <w:spacing w:after="0"/>
              <w:rPr>
                <w:sz w:val="10"/>
                <w:szCs w:val="10"/>
                <w:color w:val="auto"/>
              </w:rPr>
            </w:pPr>
          </w:p>
        </w:tc>
      </w:tr>
      <w:tr>
        <w:trPr>
          <w:trHeight w:val="149"/>
        </w:trPr>
        <w:tc>
          <w:tcPr>
            <w:tcW w:w="7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Federal tax at statutory rate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(2,721)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(2,681)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(1,039)</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State income taxes, net of federal tax benefit</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3"/>
                <w:szCs w:val="13"/>
                <w:color w:val="auto"/>
              </w:rPr>
            </w:pP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411</w:t>
            </w:r>
          </w:p>
        </w:tc>
        <w:tc>
          <w:tcPr>
            <w:tcW w:w="80" w:type="dxa"/>
            <w:vAlign w:val="bottom"/>
            <w:shd w:val="clear" w:color="auto" w:fill="CCEEFF"/>
          </w:tcPr>
          <w:p>
            <w:pPr>
              <w:spacing w:after="0"/>
              <w:rPr>
                <w:sz w:val="13"/>
                <w:szCs w:val="13"/>
                <w:color w:val="auto"/>
              </w:rPr>
            </w:pP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Fair value adjustment on preferred warrants</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320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(253)</w:t>
            </w: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Noncontrolling interests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3"/>
                <w:szCs w:val="13"/>
                <w:color w:val="auto"/>
              </w:rPr>
            </w:pP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Research and development credit</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(143)</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(372)</w:t>
            </w: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Tax Return to Tax Provision Adjustment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(658)</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1,028</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Federal revaluation of deferred tax due to tax reform</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7,070</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69"/>
        </w:trPr>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Change in valuation allowance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(4,117)</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3,147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(844)</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3"/>
                <w:szCs w:val="13"/>
                <w:color w:val="auto"/>
              </w:rPr>
            </w:pPr>
          </w:p>
        </w:tc>
      </w:tr>
      <w:tr>
        <w:trPr>
          <w:trHeight w:val="23"/>
        </w:trPr>
        <w:tc>
          <w:tcPr>
            <w:tcW w:w="7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F-62</w:t>
      </w:r>
    </w:p>
    <w:p>
      <w:pPr>
        <w:sectPr>
          <w:pgSz w:w="11900" w:h="16838" w:orient="portrait"/>
          <w:cols w:equalWidth="0" w:num="1">
            <w:col w:w="10220"/>
          </w:cols>
          <w:pgMar w:left="320" w:top="407" w:right="1359" w:bottom="1440" w:gutter="0" w:footer="0" w:header="0"/>
        </w:sectPr>
      </w:pPr>
    </w:p>
    <w:bookmarkStart w:id="298" w:name="page299"/>
    <w:bookmarkEnd w:id="2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tax effects of temporary differences that gave rise to significant portions of the Company’s deferred tax assets and liabilities related to the following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6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38"/>
        </w:trPr>
        <w:tc>
          <w:tcPr>
            <w:tcW w:w="7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Net operating loss carryforwards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23,768</w:t>
            </w:r>
          </w:p>
        </w:tc>
        <w:tc>
          <w:tcPr>
            <w:tcW w:w="220" w:type="dxa"/>
            <w:vAlign w:val="bottom"/>
          </w:tcPr>
          <w:p>
            <w:pPr>
              <w:spacing w:after="0"/>
              <w:rPr>
                <w:sz w:val="13"/>
                <w:szCs w:val="13"/>
                <w:color w:val="auto"/>
              </w:rPr>
            </w:pPr>
          </w:p>
        </w:tc>
        <w:tc>
          <w:tcPr>
            <w:tcW w:w="2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17,180</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772</w:t>
            </w:r>
          </w:p>
        </w:tc>
        <w:tc>
          <w:tcPr>
            <w:tcW w:w="2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1,151</w:t>
            </w: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Accruals and reserves</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585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313</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Operating lease liabilities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4,961</w:t>
            </w: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Research and development credits</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2,399</w:t>
            </w:r>
          </w:p>
        </w:tc>
        <w:tc>
          <w:tcPr>
            <w:tcW w:w="22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2,274</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Investment in partnerships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171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Servicing assets</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481</w:t>
            </w:r>
          </w:p>
        </w:tc>
        <w:tc>
          <w:tcPr>
            <w:tcW w:w="2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Depreciation</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69"/>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r>
      <w:tr>
        <w:trPr>
          <w:trHeight w:val="172"/>
        </w:trPr>
        <w:tc>
          <w:tcPr>
            <w:tcW w:w="7660" w:type="dxa"/>
            <w:vAlign w:val="bottom"/>
          </w:tcPr>
          <w:p>
            <w:pPr>
              <w:spacing w:after="0"/>
              <w:rPr>
                <w:sz w:val="20"/>
                <w:szCs w:val="20"/>
                <w:color w:val="auto"/>
              </w:rPr>
            </w:pPr>
            <w:r>
              <w:rPr>
                <w:rFonts w:ascii="Arial" w:cs="Arial" w:eastAsia="Arial" w:hAnsi="Arial"/>
                <w:sz w:val="14"/>
                <w:szCs w:val="14"/>
                <w:color w:val="auto"/>
              </w:rPr>
              <w:t>Total deferred tax assets</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28,253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26,947</w:t>
            </w:r>
          </w:p>
        </w:tc>
        <w:tc>
          <w:tcPr>
            <w:tcW w:w="80" w:type="dxa"/>
            <w:vAlign w:val="bottom"/>
          </w:tcPr>
          <w:p>
            <w:pPr>
              <w:spacing w:after="0"/>
              <w:rPr>
                <w:sz w:val="14"/>
                <w:szCs w:val="14"/>
                <w:color w:val="auto"/>
              </w:rPr>
            </w:pP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Less: valuation allowance</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5"/>
              </w:rPr>
              <w:t>(21,800)</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5"/>
              </w:rPr>
              <w:t>(20,720)</w:t>
            </w:r>
          </w:p>
        </w:tc>
      </w:tr>
      <w:tr>
        <w:trPr>
          <w:trHeight w:val="20"/>
        </w:trPr>
        <w:tc>
          <w:tcPr>
            <w:tcW w:w="7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7660" w:type="dxa"/>
            <w:vAlign w:val="bottom"/>
          </w:tcPr>
          <w:p>
            <w:pPr>
              <w:spacing w:after="0"/>
              <w:rPr>
                <w:sz w:val="20"/>
                <w:szCs w:val="20"/>
                <w:color w:val="auto"/>
              </w:rPr>
            </w:pPr>
            <w:r>
              <w:rPr>
                <w:rFonts w:ascii="Arial" w:cs="Arial" w:eastAsia="Arial" w:hAnsi="Arial"/>
                <w:sz w:val="14"/>
                <w:szCs w:val="14"/>
                <w:color w:val="auto"/>
              </w:rPr>
              <w:t>Deferred tax assets – net of valuation allowance</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6,453</w:t>
            </w:r>
          </w:p>
        </w:tc>
        <w:tc>
          <w:tcPr>
            <w:tcW w:w="2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6,227</w:t>
            </w: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 tax liabilities:</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Fair adjustment – residual certificates</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6,218</w:t>
            </w:r>
          </w:p>
        </w:tc>
        <w:tc>
          <w:tcPr>
            <w:tcW w:w="22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1,165</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Depreciation</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Investment in partnerships</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230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Right of use asset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4,708</w:t>
            </w:r>
          </w:p>
        </w:tc>
      </w:tr>
      <w:tr>
        <w:trPr>
          <w:trHeight w:val="160"/>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deferred tax liabilities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6,453</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6,227</w:t>
            </w:r>
          </w:p>
        </w:tc>
      </w:tr>
      <w:tr>
        <w:trPr>
          <w:trHeight w:val="20"/>
        </w:trPr>
        <w:tc>
          <w:tcPr>
            <w:tcW w:w="7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7660" w:type="dxa"/>
            <w:vAlign w:val="bottom"/>
          </w:tcPr>
          <w:p>
            <w:pPr>
              <w:spacing w:after="0"/>
              <w:rPr>
                <w:sz w:val="20"/>
                <w:szCs w:val="20"/>
                <w:color w:val="auto"/>
              </w:rPr>
            </w:pPr>
            <w:r>
              <w:rPr>
                <w:rFonts w:ascii="Arial" w:cs="Arial" w:eastAsia="Arial" w:hAnsi="Arial"/>
                <w:sz w:val="14"/>
                <w:szCs w:val="14"/>
                <w:color w:val="auto"/>
              </w:rPr>
              <w:t>Net deferred tax assets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Management believes that, based on available evidence, both positive and negative, it is more likely than not that the deferred tax assets will not be utilized, and as such the Company maintains a full valuation allowance at December 31, 2019. The valuation allowance decreased by $1.1 million for the years ended December 31, 2018 and 2019, respectively, primarily as a result of current year activities.</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of December 31, 2019, the Company had approximately $61.3 million and $ 53.0 million of federal and state (post-apportioned) net operating losses, respectively, that will begin to expire in 2034. The Company also has federal and California research and development tax credits of approximately $2.0 million and $ 1.5 million, respectively. The federal research credits will begin to expire in 2032 and the California research credits have no expiration date. The Internal Revenue Code (“IRC”) limits the amount of net operating loss carryforwards that a company may use in a given year in the event of certain cumulative changes in ownership over a three-year period as described in Section 382 of the IRC. Utilization of net operating loss carryforwards and credits may be subject to a substantial annual limitation due to the ownership change limitations provided by the IRC, as amended, and similar state provisions. The annual limitation may result in the expiration of net operating losses and credits before utilization. The Company performed an ownership analysis and identified two previous ownership changes in 2013 and 2015, as defined under Section 382 and 383 of the IRC, however neither resulted in a material limitation that will reduce the total amount of net operating loss carryforwards and credits that can be utilized.</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F-63</w:t>
      </w:r>
    </w:p>
    <w:p>
      <w:pPr>
        <w:sectPr>
          <w:pgSz w:w="11900" w:h="16838" w:orient="portrait"/>
          <w:cols w:equalWidth="0" w:num="1">
            <w:col w:w="10220"/>
          </w:cols>
          <w:pgMar w:left="320" w:top="407" w:right="1359" w:bottom="1440" w:gutter="0" w:footer="0" w:header="0"/>
        </w:sectPr>
      </w:pPr>
    </w:p>
    <w:bookmarkStart w:id="299" w:name="page300"/>
    <w:bookmarkEnd w:id="2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reconciliation of the beginning and ending balances of gross unrecognized tax benefits is as follows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December 31,</w:t>
            </w:r>
          </w:p>
        </w:tc>
        <w:tc>
          <w:tcPr>
            <w:tcW w:w="3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76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2017</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w w:val="97"/>
              </w:rPr>
              <w:t>2019</w:t>
            </w:r>
          </w:p>
        </w:tc>
        <w:tc>
          <w:tcPr>
            <w:tcW w:w="40" w:type="dxa"/>
            <w:vAlign w:val="bottom"/>
            <w:tcBorders>
              <w:bottom w:val="single" w:sz="8" w:color="CCEEFF"/>
            </w:tcBorders>
          </w:tcPr>
          <w:p>
            <w:pPr>
              <w:spacing w:after="0"/>
              <w:rPr>
                <w:sz w:val="10"/>
                <w:szCs w:val="10"/>
                <w:color w:val="auto"/>
              </w:rPr>
            </w:pPr>
          </w:p>
        </w:tc>
      </w:tr>
      <w:tr>
        <w:trPr>
          <w:trHeight w:val="149"/>
        </w:trPr>
        <w:tc>
          <w:tcPr>
            <w:tcW w:w="76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at beginning of year</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$286</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697</w:t>
            </w:r>
          </w:p>
        </w:tc>
      </w:tr>
      <w:tr>
        <w:trPr>
          <w:trHeight w:val="158"/>
        </w:trPr>
        <w:tc>
          <w:tcPr>
            <w:tcW w:w="7640" w:type="dxa"/>
            <w:vAlign w:val="bottom"/>
          </w:tcPr>
          <w:p>
            <w:pPr>
              <w:ind w:left="280"/>
              <w:spacing w:after="0" w:line="158" w:lineRule="exact"/>
              <w:rPr>
                <w:sz w:val="20"/>
                <w:szCs w:val="20"/>
                <w:color w:val="auto"/>
              </w:rPr>
            </w:pPr>
            <w:r>
              <w:rPr>
                <w:rFonts w:ascii="Arial" w:cs="Arial" w:eastAsia="Arial" w:hAnsi="Arial"/>
                <w:sz w:val="14"/>
                <w:szCs w:val="14"/>
                <w:color w:val="auto"/>
              </w:rPr>
              <w:t>Additions for tax positions of prior years</w:t>
            </w:r>
          </w:p>
        </w:tc>
        <w:tc>
          <w:tcPr>
            <w:tcW w:w="2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69</w:t>
            </w:r>
          </w:p>
        </w:tc>
      </w:tr>
      <w:tr>
        <w:trPr>
          <w:trHeight w:val="158"/>
        </w:trPr>
        <w:tc>
          <w:tcPr>
            <w:tcW w:w="7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Tax positions related to the current year</w:t>
            </w: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162</w:t>
            </w:r>
          </w:p>
        </w:tc>
        <w:tc>
          <w:tcPr>
            <w:tcW w:w="2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249</w:t>
            </w: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265</w:t>
            </w:r>
          </w:p>
        </w:tc>
        <w:tc>
          <w:tcPr>
            <w:tcW w:w="40" w:type="dxa"/>
            <w:vAlign w:val="bottom"/>
            <w:shd w:val="clear" w:color="auto" w:fill="CCEEFF"/>
          </w:tcPr>
          <w:p>
            <w:pPr>
              <w:spacing w:after="0"/>
              <w:rPr>
                <w:sz w:val="13"/>
                <w:szCs w:val="13"/>
                <w:color w:val="auto"/>
              </w:rPr>
            </w:pPr>
          </w:p>
        </w:tc>
      </w:tr>
      <w:tr>
        <w:trPr>
          <w:trHeight w:val="160"/>
        </w:trPr>
        <w:tc>
          <w:tcPr>
            <w:tcW w:w="7640" w:type="dxa"/>
            <w:vAlign w:val="bottom"/>
          </w:tcPr>
          <w:p>
            <w:pPr>
              <w:spacing w:after="0"/>
              <w:rPr>
                <w:sz w:val="20"/>
                <w:szCs w:val="20"/>
                <w:color w:val="auto"/>
              </w:rPr>
            </w:pPr>
            <w:r>
              <w:rPr>
                <w:rFonts w:ascii="Arial" w:cs="Arial" w:eastAsia="Arial" w:hAnsi="Arial"/>
                <w:sz w:val="14"/>
                <w:szCs w:val="14"/>
                <w:color w:val="auto"/>
              </w:rPr>
              <w:t>Balance at end of year</w:t>
            </w:r>
          </w:p>
        </w:tc>
        <w:tc>
          <w:tcPr>
            <w:tcW w:w="32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448</w:t>
            </w:r>
          </w:p>
        </w:tc>
        <w:tc>
          <w:tcPr>
            <w:tcW w:w="5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697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1,031</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If recognized, substantially all of the balance would unfavorably affect the Company’s effective income tax rate in future periods. As of December 31, 2019, the Company had $1.0 million in unrecognized income tax benefits and there were increases of $0.3 million to the Company’s unrecognized tax benefits during the year. The Company does not anticipate any significant increases to unrecognized tax benefit during the next 12 months. The Company’s policy is to classify interest and penalties associated with unrecognized tax benefits as income tax expense. The Company had no interest or penalty accruals associated with uncertain tax benefits in its consolidated balance sheet and consolidated statement of operations and comprehensive income (loss) for the tax year ended December 31, 2019.</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Company files income tax returns in the U.S. federal jurisdiction and various state jurisdictions and has identified its federal, California, and New York tax returns as “major” tax filings. The Company is not currently under examination by income tax authorities in federal or state jurisdictions. However, because the Company has net operating losses and credits carried forward in several jurisdictions, including the United States federal, California, and New York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For the nine months ended September 30, 2019 and 2020 (unaudited)</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Company’s income tax provision for the nine months ended September 30, 2019 and 2020 reflects an estimate of the corresponding year’s annual effective tax rate and includes, when applicable, adjustments for discrete items. The Company’s provision for income taxes has not been historically significant to the business as the Company was in a cumulative loss position in prior years. The provision for income taxes consists primarily of state taxes in jurisdictions in which the Company conducts business.</w:t>
      </w:r>
    </w:p>
    <w:p>
      <w:pPr>
        <w:spacing w:after="0" w:line="8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Company did not recognize any income tax expense for the nine months ended September 30, 2019 and 2020. As such, the Company’s net effective tax rate is 0.0% for the nine months ended September 30, 2019 and 2020. The effective tax rate differs from the U.S. statutory tax rate primarily due to the valuation allowances on the Company’s deferred tax assets as it is more likely than not that some or all of the Company’s deferred tax assets will not be realized.</w:t>
      </w:r>
    </w:p>
    <w:p>
      <w:pPr>
        <w:spacing w:after="0" w:line="82"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As of September 30, 2020, the Company retains a full valuation allowance on its deferred tax assets in the United States. The realization of the Company’s deferred tax assets depends primarily on</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F-64</w:t>
      </w:r>
    </w:p>
    <w:p>
      <w:pPr>
        <w:sectPr>
          <w:pgSz w:w="11900" w:h="16838" w:orient="portrait"/>
          <w:cols w:equalWidth="0" w:num="1">
            <w:col w:w="10220"/>
          </w:cols>
          <w:pgMar w:left="320" w:top="407" w:right="1359" w:bottom="1440" w:gutter="0" w:footer="0" w:header="0"/>
        </w:sectPr>
      </w:pPr>
    </w:p>
    <w:bookmarkStart w:id="300" w:name="page301"/>
    <w:bookmarkEnd w:id="3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360"/>
        <w:spacing w:after="0" w:line="245" w:lineRule="auto"/>
        <w:rPr>
          <w:sz w:val="20"/>
          <w:szCs w:val="20"/>
          <w:color w:val="auto"/>
        </w:rPr>
      </w:pPr>
      <w:r>
        <w:rPr>
          <w:rFonts w:ascii="Arial" w:cs="Arial" w:eastAsia="Arial" w:hAnsi="Arial"/>
          <w:sz w:val="15"/>
          <w:szCs w:val="15"/>
          <w:color w:val="auto"/>
        </w:rPr>
        <w:t>its ability to generate taxable income in future periods. The amount of deferred tax assets considered realizable in future periods may change as management continues to reassess the underlying factors it uses in estimating future taxable income.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15. Related Party Transactions</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Since the Company’s inception, it has engaged in various transactions with its executive officers and directors, holders of more than 10% of its voting securities, and their affiliates.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Promissory Notes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2017, the Company issued $20.0 million of subordinated convertible promissory notes to two investors, of which $ 10.0 million was issued to a related party equity investor of the Company. On June 30, 2018, the outstanding principal and accrued and unpaid interest on the convertible promissory notes were converted into shares of Series C-1 convertible preferred stock. As such, no convertible promissory notes were outstanding as of December 31, 2018 and 2019, and September 30, 2020 (unaudited).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related party investor and its affiliates also participated in securitization transactions sponsored and serviced by the Company in the years ended December 31, 2017, 2018 and 2019, and nine months ended September 30, 2020 (unaudited) by contributing loans and purchasing securitization notes or residual certificates. As of December 31, 2018 and 2019, and September 30, 2020 (unaudited), the balance of payable to securitization note holders and residual certificate holders due to the related party investor and its affiliates was $61.4 million, $41.3 million, and $0 million, respectively.</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Transactions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Company’s executive officers and non-officer directors participate on Upstart’s platform by purchasing fractional interest in loans, which are included in notes payable on the Company’s consolidated balance sheet as of December 31, 2018. As of December 31, 2019 and September 30, 2020 (unaudited), as a result of the deconsolidation of UNT, the notes payable is not included in the Company’s consolidated balance sheets. The fair value of such notes payable purchased by executive officers and non-officer directors and included in the consolidated balance sheets were $ 2.4 million as of December 31, 2018 and $0 as of December 31, 2019 and September 30, 2020 (unaudited). Interest income and expense and servicing fees related to the notes payable held by the Company’s executive officers and non-officer directors were immaterial in all periods presented.</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16. Net (Loss) Income Per Share Attributable to Upstart Holdings, Inc. Common Stockholders</w:t>
      </w:r>
    </w:p>
    <w:p>
      <w:pPr>
        <w:spacing w:after="0" w:line="105" w:lineRule="exact"/>
        <w:rPr>
          <w:sz w:val="20"/>
          <w:szCs w:val="20"/>
          <w:color w:val="auto"/>
        </w:rPr>
      </w:pPr>
    </w:p>
    <w:p>
      <w:pPr>
        <w:jc w:val="both"/>
        <w:ind w:left="1020" w:right="240" w:firstLine="460"/>
        <w:spacing w:after="0"/>
        <w:rPr>
          <w:sz w:val="20"/>
          <w:szCs w:val="20"/>
          <w:color w:val="auto"/>
        </w:rPr>
      </w:pPr>
      <w:r>
        <w:rPr>
          <w:rFonts w:ascii="Arial" w:cs="Arial" w:eastAsia="Arial" w:hAnsi="Arial"/>
          <w:sz w:val="15"/>
          <w:szCs w:val="15"/>
          <w:color w:val="auto"/>
        </w:rPr>
        <w:t>For periods in which the Company reports net losses, basic and diluted net loss per share attributable to Upstart Holdings, Inc.’s common stockholders are the same because potentially dilutive common shares are not assumed to have been issued if their effect is anti-dilutive.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F-65</w:t>
      </w:r>
    </w:p>
    <w:p>
      <w:pPr>
        <w:sectPr>
          <w:pgSz w:w="11900" w:h="16838" w:orient="portrait"/>
          <w:cols w:equalWidth="0" w:num="1">
            <w:col w:w="10220"/>
          </w:cols>
          <w:pgMar w:left="320" w:top="407" w:right="1359" w:bottom="1440" w:gutter="0" w:footer="0" w:header="0"/>
        </w:sectPr>
      </w:pPr>
    </w:p>
    <w:bookmarkStart w:id="301" w:name="page302"/>
    <w:bookmarkEnd w:id="3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securities were excluded from the computation of diluted net loss per share attributable to Upstart Holdings, Inc.</w:t>
      </w:r>
    </w:p>
    <w:p>
      <w:pPr>
        <w:ind w:left="1020"/>
        <w:spacing w:after="0"/>
        <w:rPr>
          <w:sz w:val="20"/>
          <w:szCs w:val="20"/>
          <w:color w:val="auto"/>
        </w:rPr>
      </w:pPr>
      <w:r>
        <w:rPr>
          <w:rFonts w:ascii="Arial" w:cs="Arial" w:eastAsia="Arial" w:hAnsi="Arial"/>
          <w:sz w:val="15"/>
          <w:szCs w:val="15"/>
          <w:color w:val="auto"/>
        </w:rPr>
        <w:t>common stockholders for the periods presented, because including them would have been anti-dilutive (on an as-converted basis):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240" w:type="dxa"/>
            <w:vAlign w:val="bottom"/>
          </w:tcPr>
          <w:p>
            <w:pPr>
              <w:spacing w:after="0"/>
              <w:rPr>
                <w:sz w:val="12"/>
                <w:szCs w:val="12"/>
                <w:color w:val="auto"/>
              </w:rPr>
            </w:pPr>
          </w:p>
        </w:tc>
        <w:tc>
          <w:tcPr>
            <w:tcW w:w="2160" w:type="dxa"/>
            <w:vAlign w:val="bottom"/>
            <w:gridSpan w:val="5"/>
          </w:tcPr>
          <w:p>
            <w:pPr>
              <w:ind w:left="700"/>
              <w:spacing w:after="0"/>
              <w:rPr>
                <w:sz w:val="20"/>
                <w:szCs w:val="20"/>
                <w:color w:val="auto"/>
              </w:rPr>
            </w:pPr>
            <w:r>
              <w:rPr>
                <w:rFonts w:ascii="Arial" w:cs="Arial" w:eastAsia="Arial" w:hAnsi="Arial"/>
                <w:sz w:val="12"/>
                <w:szCs w:val="12"/>
                <w:b w:val="1"/>
                <w:bCs w:val="1"/>
                <w:color w:val="auto"/>
                <w:w w:val="98"/>
              </w:rPr>
              <w:t>Year ended December 31,</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tcPr>
          <w:p>
            <w:pPr>
              <w:ind w:left="54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24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215"/>
              <w:spacing w:after="0" w:line="126" w:lineRule="exact"/>
              <w:rPr>
                <w:sz w:val="20"/>
                <w:szCs w:val="20"/>
                <w:color w:val="auto"/>
              </w:rPr>
            </w:pPr>
            <w:r>
              <w:rPr>
                <w:rFonts w:ascii="Arial" w:cs="Arial" w:eastAsia="Arial" w:hAnsi="Arial"/>
                <w:sz w:val="12"/>
                <w:szCs w:val="12"/>
                <w:b w:val="1"/>
                <w:bCs w:val="1"/>
                <w:color w:val="auto"/>
              </w:rPr>
              <w:t>2017</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34"/>
              <w:spacing w:after="0" w:line="126"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34"/>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right"/>
              <w:ind w:right="235"/>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5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r>
      <w:tr>
        <w:trPr>
          <w:trHeight w:val="126"/>
        </w:trPr>
        <w:tc>
          <w:tcPr>
            <w:tcW w:w="4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3"/>
          </w:tcPr>
          <w:p>
            <w:pPr>
              <w:jc w:val="right"/>
              <w:ind w:right="57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60" w:type="dxa"/>
            <w:vAlign w:val="bottom"/>
          </w:tcPr>
          <w:p>
            <w:pPr>
              <w:spacing w:after="0"/>
              <w:rPr>
                <w:sz w:val="10"/>
                <w:szCs w:val="10"/>
                <w:color w:val="auto"/>
              </w:rPr>
            </w:pPr>
          </w:p>
        </w:tc>
      </w:tr>
      <w:tr>
        <w:trPr>
          <w:trHeight w:val="158"/>
        </w:trPr>
        <w:tc>
          <w:tcPr>
            <w:tcW w:w="4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w:t>
            </w:r>
          </w:p>
        </w:tc>
        <w:tc>
          <w:tcPr>
            <w:tcW w:w="9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35,445,012</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46,882,877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4"/>
              </w:rPr>
              <w:t>47,349,577</w:t>
            </w: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47,627,408</w:t>
            </w: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47,349,577</w:t>
            </w:r>
          </w:p>
        </w:tc>
        <w:tc>
          <w:tcPr>
            <w:tcW w:w="60" w:type="dxa"/>
            <w:vAlign w:val="bottom"/>
            <w:shd w:val="clear" w:color="auto" w:fill="CCEEFF"/>
          </w:tcPr>
          <w:p>
            <w:pPr>
              <w:spacing w:after="0"/>
              <w:rPr>
                <w:sz w:val="13"/>
                <w:szCs w:val="13"/>
                <w:color w:val="auto"/>
              </w:rPr>
            </w:pPr>
          </w:p>
        </w:tc>
      </w:tr>
      <w:tr>
        <w:trPr>
          <w:trHeight w:val="158"/>
        </w:trPr>
        <w:tc>
          <w:tcPr>
            <w:tcW w:w="4240" w:type="dxa"/>
            <w:vAlign w:val="bottom"/>
          </w:tcPr>
          <w:p>
            <w:pPr>
              <w:spacing w:after="0" w:line="158" w:lineRule="exact"/>
              <w:rPr>
                <w:sz w:val="20"/>
                <w:szCs w:val="20"/>
                <w:color w:val="auto"/>
              </w:rPr>
            </w:pPr>
            <w:r>
              <w:rPr>
                <w:rFonts w:ascii="Arial" w:cs="Arial" w:eastAsia="Arial" w:hAnsi="Arial"/>
                <w:sz w:val="14"/>
                <w:szCs w:val="14"/>
                <w:color w:val="auto"/>
              </w:rPr>
              <w:t>Options to purchase common stock</w:t>
            </w:r>
          </w:p>
        </w:tc>
        <w:tc>
          <w:tcPr>
            <w:tcW w:w="9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11,920,884</w:t>
            </w: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12,293,165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w w:val="94"/>
              </w:rPr>
              <w:t>16,502,206</w:t>
            </w:r>
          </w:p>
        </w:tc>
        <w:tc>
          <w:tcPr>
            <w:tcW w:w="10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14,656,713</w:t>
            </w: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19,356,042</w:t>
            </w:r>
          </w:p>
        </w:tc>
        <w:tc>
          <w:tcPr>
            <w:tcW w:w="60" w:type="dxa"/>
            <w:vAlign w:val="bottom"/>
          </w:tcPr>
          <w:p>
            <w:pPr>
              <w:spacing w:after="0"/>
              <w:rPr>
                <w:sz w:val="13"/>
                <w:szCs w:val="13"/>
                <w:color w:val="auto"/>
              </w:rPr>
            </w:pPr>
          </w:p>
        </w:tc>
      </w:tr>
      <w:tr>
        <w:trPr>
          <w:trHeight w:val="158"/>
        </w:trPr>
        <w:tc>
          <w:tcPr>
            <w:tcW w:w="4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Warrants to purchase convertible preferred stock</w:t>
            </w:r>
          </w:p>
        </w:tc>
        <w:tc>
          <w:tcPr>
            <w:tcW w:w="9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1,500,519</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1,500,519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600,208</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1,200,416</w:t>
            </w: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600,208</w:t>
            </w:r>
          </w:p>
        </w:tc>
        <w:tc>
          <w:tcPr>
            <w:tcW w:w="60" w:type="dxa"/>
            <w:vAlign w:val="bottom"/>
            <w:shd w:val="clear" w:color="auto" w:fill="CCEEFF"/>
          </w:tcPr>
          <w:p>
            <w:pPr>
              <w:spacing w:after="0"/>
              <w:rPr>
                <w:sz w:val="13"/>
                <w:szCs w:val="13"/>
                <w:color w:val="auto"/>
              </w:rPr>
            </w:pPr>
          </w:p>
        </w:tc>
      </w:tr>
      <w:tr>
        <w:trPr>
          <w:trHeight w:val="158"/>
        </w:trPr>
        <w:tc>
          <w:tcPr>
            <w:tcW w:w="4240" w:type="dxa"/>
            <w:vAlign w:val="bottom"/>
          </w:tcPr>
          <w:p>
            <w:pPr>
              <w:spacing w:after="0" w:line="158" w:lineRule="exact"/>
              <w:rPr>
                <w:sz w:val="20"/>
                <w:szCs w:val="20"/>
                <w:color w:val="auto"/>
              </w:rPr>
            </w:pPr>
            <w:r>
              <w:rPr>
                <w:rFonts w:ascii="Arial" w:cs="Arial" w:eastAsia="Arial" w:hAnsi="Arial"/>
                <w:sz w:val="14"/>
                <w:szCs w:val="14"/>
                <w:color w:val="auto"/>
              </w:rPr>
              <w:t>Warrants to purchase common stock</w:t>
            </w:r>
          </w:p>
        </w:tc>
        <w:tc>
          <w:tcPr>
            <w:tcW w:w="9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1,467,553</w:t>
            </w: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1,617,553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319,669</w:t>
            </w:r>
          </w:p>
        </w:tc>
        <w:tc>
          <w:tcPr>
            <w:tcW w:w="140" w:type="dxa"/>
            <w:vAlign w:val="bottom"/>
          </w:tcPr>
          <w:p>
            <w:pPr>
              <w:spacing w:after="0"/>
              <w:rPr>
                <w:sz w:val="13"/>
                <w:szCs w:val="13"/>
                <w:color w:val="auto"/>
              </w:rPr>
            </w:pPr>
          </w:p>
        </w:tc>
        <w:tc>
          <w:tcPr>
            <w:tcW w:w="10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319,669</w:t>
            </w: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319,669</w:t>
            </w:r>
          </w:p>
        </w:tc>
        <w:tc>
          <w:tcPr>
            <w:tcW w:w="60" w:type="dxa"/>
            <w:vAlign w:val="bottom"/>
          </w:tcPr>
          <w:p>
            <w:pPr>
              <w:spacing w:after="0"/>
              <w:rPr>
                <w:sz w:val="13"/>
                <w:szCs w:val="13"/>
                <w:color w:val="auto"/>
              </w:rPr>
            </w:pPr>
          </w:p>
        </w:tc>
      </w:tr>
      <w:tr>
        <w:trPr>
          <w:trHeight w:val="23"/>
        </w:trPr>
        <w:tc>
          <w:tcPr>
            <w:tcW w:w="4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42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9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50,333,968</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62,294,114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4"/>
              </w:rPr>
              <w:t>64,771,660</w:t>
            </w: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63,804,206</w:t>
            </w: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67,625,496</w:t>
            </w:r>
          </w:p>
        </w:tc>
        <w:tc>
          <w:tcPr>
            <w:tcW w:w="60" w:type="dxa"/>
            <w:vAlign w:val="bottom"/>
            <w:shd w:val="clear" w:color="auto" w:fill="CCEEFF"/>
          </w:tcPr>
          <w:p>
            <w:pPr>
              <w:spacing w:after="0"/>
              <w:rPr>
                <w:sz w:val="13"/>
                <w:szCs w:val="13"/>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Net Income Per Share Attributable to Upstart Holdings, Inc. Common Stockholders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following table sets forth the computation of the Company’s unaudited pro forma basic and diluted net income per share attributable to Upstart Holdings, Inc. common stockholders (in thousands, except share and per share data) assuming the exercise of the convertible preferred stock warrant prior to the completion of an IPO and the subsequent automatic conversion of all convertible preferred stock upon consummation of an IPO as if such an event had occurred as of the beginning of the respective period, or the issuance date of the convertible preferred stock, if later:</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Nine Months</w:t>
            </w:r>
          </w:p>
        </w:tc>
      </w:tr>
      <w:tr>
        <w:trPr>
          <w:trHeight w:val="135"/>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4"/>
              <w:spacing w:after="0" w:line="136" w:lineRule="exact"/>
              <w:rPr>
                <w:sz w:val="20"/>
                <w:szCs w:val="20"/>
                <w:color w:val="auto"/>
              </w:rPr>
            </w:pPr>
            <w:r>
              <w:rPr>
                <w:rFonts w:ascii="Arial" w:cs="Arial" w:eastAsia="Arial" w:hAnsi="Arial"/>
                <w:sz w:val="12"/>
                <w:szCs w:val="12"/>
                <w:b w:val="1"/>
                <w:bCs w:val="1"/>
                <w:color w:val="auto"/>
                <w:w w:val="99"/>
              </w:rPr>
              <w:t>Year Ended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
              <w:spacing w:after="0" w:line="136" w:lineRule="exact"/>
              <w:rPr>
                <w:sz w:val="20"/>
                <w:szCs w:val="20"/>
                <w:color w:val="auto"/>
              </w:rPr>
            </w:pPr>
            <w:r>
              <w:rPr>
                <w:rFonts w:ascii="Arial" w:cs="Arial" w:eastAsia="Arial" w:hAnsi="Arial"/>
                <w:sz w:val="12"/>
                <w:szCs w:val="12"/>
                <w:b w:val="1"/>
                <w:bCs w:val="1"/>
                <w:color w:val="auto"/>
              </w:rPr>
              <w:t>Ended</w:t>
            </w:r>
          </w:p>
        </w:tc>
      </w:tr>
      <w:tr>
        <w:trPr>
          <w:trHeight w:val="135"/>
        </w:trPr>
        <w:tc>
          <w:tcPr>
            <w:tcW w:w="686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9"/>
              </w:rPr>
              <w:t>December 31,</w:t>
            </w:r>
          </w:p>
        </w:tc>
        <w:tc>
          <w:tcPr>
            <w:tcW w:w="660" w:type="dxa"/>
            <w:vAlign w:val="bottom"/>
          </w:tcPr>
          <w:p>
            <w:pPr>
              <w:spacing w:after="0"/>
              <w:rPr>
                <w:sz w:val="11"/>
                <w:szCs w:val="11"/>
                <w:color w:val="auto"/>
              </w:rPr>
            </w:pPr>
          </w:p>
        </w:tc>
        <w:tc>
          <w:tcPr>
            <w:tcW w:w="8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w w:val="97"/>
              </w:rPr>
              <w:t>September 30,</w:t>
            </w:r>
          </w:p>
        </w:tc>
      </w:tr>
      <w:tr>
        <w:trPr>
          <w:trHeight w:val="145"/>
        </w:trPr>
        <w:tc>
          <w:tcPr>
            <w:tcW w:w="68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7"/>
              </w:rPr>
              <w:t>2019</w:t>
            </w: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7"/>
              </w:rPr>
              <w:t>2020</w:t>
            </w:r>
          </w:p>
        </w:tc>
      </w:tr>
      <w:tr>
        <w:trPr>
          <w:trHeight w:val="138"/>
        </w:trPr>
        <w:tc>
          <w:tcPr>
            <w:tcW w:w="68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Numerator</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6860" w:type="dxa"/>
            <w:vAlign w:val="bottom"/>
          </w:tcPr>
          <w:p>
            <w:pPr>
              <w:ind w:left="280"/>
              <w:spacing w:after="0" w:line="158" w:lineRule="exact"/>
              <w:rPr>
                <w:sz w:val="20"/>
                <w:szCs w:val="20"/>
                <w:color w:val="auto"/>
              </w:rPr>
            </w:pPr>
            <w:r>
              <w:rPr>
                <w:rFonts w:ascii="Arial" w:cs="Arial" w:eastAsia="Arial" w:hAnsi="Arial"/>
                <w:sz w:val="14"/>
                <w:szCs w:val="14"/>
                <w:color w:val="auto"/>
              </w:rPr>
              <w:t>Net (loss) income attributable to Upstart Holdings, Inc. common stockholders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(466)</w:t>
            </w:r>
          </w:p>
        </w:tc>
        <w:tc>
          <w:tcPr>
            <w:tcW w:w="740" w:type="dxa"/>
            <w:vAlign w:val="bottom"/>
            <w:gridSpan w:val="2"/>
          </w:tcPr>
          <w:p>
            <w:pPr>
              <w:ind w:left="66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4,956</w:t>
            </w:r>
          </w:p>
        </w:tc>
      </w:tr>
      <w:tr>
        <w:trPr>
          <w:trHeight w:val="158"/>
        </w:trPr>
        <w:tc>
          <w:tcPr>
            <w:tcW w:w="6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Add: Change in fair value of convertible preferred stock warrant liability</w:t>
            </w: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4"/>
              <w:spacing w:after="0" w:line="158" w:lineRule="exact"/>
              <w:rPr>
                <w:sz w:val="20"/>
                <w:szCs w:val="20"/>
                <w:color w:val="auto"/>
              </w:rPr>
            </w:pPr>
            <w:r>
              <w:rPr>
                <w:rFonts w:ascii="Arial" w:cs="Arial" w:eastAsia="Arial" w:hAnsi="Arial"/>
                <w:sz w:val="14"/>
                <w:szCs w:val="14"/>
                <w:color w:val="auto"/>
              </w:rPr>
              <w:t>4,301</w:t>
            </w:r>
          </w:p>
        </w:tc>
        <w:tc>
          <w:tcPr>
            <w:tcW w:w="6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1,792</w:t>
            </w:r>
          </w:p>
        </w:tc>
      </w:tr>
      <w:tr>
        <w:trPr>
          <w:trHeight w:val="162"/>
        </w:trPr>
        <w:tc>
          <w:tcPr>
            <w:tcW w:w="6860" w:type="dxa"/>
            <w:vAlign w:val="bottom"/>
          </w:tcPr>
          <w:p>
            <w:pPr>
              <w:ind w:left="280"/>
              <w:spacing w:after="0"/>
              <w:rPr>
                <w:sz w:val="20"/>
                <w:szCs w:val="20"/>
                <w:color w:val="auto"/>
              </w:rPr>
            </w:pPr>
            <w:r>
              <w:rPr>
                <w:rFonts w:ascii="Arial" w:cs="Arial" w:eastAsia="Arial" w:hAnsi="Arial"/>
                <w:sz w:val="14"/>
                <w:szCs w:val="14"/>
                <w:color w:val="auto"/>
              </w:rPr>
              <w:t>Net income used in calculating pro forma earnings per share attributable to common stockholders,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6"/>
        </w:trPr>
        <w:tc>
          <w:tcPr>
            <w:tcW w:w="6860" w:type="dxa"/>
            <w:vAlign w:val="bottom"/>
          </w:tcPr>
          <w:p>
            <w:pPr>
              <w:ind w:left="420"/>
              <w:spacing w:after="0" w:line="156" w:lineRule="exact"/>
              <w:rPr>
                <w:sz w:val="20"/>
                <w:szCs w:val="20"/>
                <w:color w:val="auto"/>
              </w:rPr>
            </w:pPr>
            <w:r>
              <w:rPr>
                <w:rFonts w:ascii="Arial" w:cs="Arial" w:eastAsia="Arial" w:hAnsi="Arial"/>
                <w:sz w:val="14"/>
                <w:szCs w:val="14"/>
                <w:color w:val="auto"/>
              </w:rPr>
              <w:t>basic and diluted</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34"/>
              <w:spacing w:after="0" w:line="156" w:lineRule="exact"/>
              <w:rPr>
                <w:sz w:val="20"/>
                <w:szCs w:val="20"/>
                <w:color w:val="auto"/>
              </w:rPr>
            </w:pPr>
            <w:r>
              <w:rPr>
                <w:rFonts w:ascii="Arial" w:cs="Arial" w:eastAsia="Arial" w:hAnsi="Arial"/>
                <w:sz w:val="14"/>
                <w:szCs w:val="14"/>
                <w:color w:val="auto"/>
              </w:rPr>
              <w:t>3,835</w:t>
            </w:r>
          </w:p>
        </w:tc>
        <w:tc>
          <w:tcPr>
            <w:tcW w:w="740" w:type="dxa"/>
            <w:vAlign w:val="bottom"/>
            <w:gridSpan w:val="2"/>
          </w:tcPr>
          <w:p>
            <w:pPr>
              <w:ind w:left="660"/>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6,748</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8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Denominator</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9"/>
        </w:trPr>
        <w:tc>
          <w:tcPr>
            <w:tcW w:w="6860" w:type="dxa"/>
            <w:vAlign w:val="bottom"/>
          </w:tcPr>
          <w:p>
            <w:pPr>
              <w:ind w:left="280"/>
              <w:spacing w:after="0" w:line="159" w:lineRule="exact"/>
              <w:rPr>
                <w:sz w:val="20"/>
                <w:szCs w:val="20"/>
                <w:color w:val="auto"/>
              </w:rPr>
            </w:pPr>
            <w:r>
              <w:rPr>
                <w:rFonts w:ascii="Arial" w:cs="Arial" w:eastAsia="Arial" w:hAnsi="Arial"/>
                <w:sz w:val="14"/>
                <w:szCs w:val="14"/>
                <w:color w:val="auto"/>
              </w:rPr>
              <w:t>Weighted-average common shares outstanding used to calculate net income per share attributable</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6860" w:type="dxa"/>
            <w:vAlign w:val="bottom"/>
          </w:tcPr>
          <w:p>
            <w:pPr>
              <w:ind w:left="420"/>
              <w:spacing w:after="0" w:line="158" w:lineRule="exact"/>
              <w:rPr>
                <w:sz w:val="20"/>
                <w:szCs w:val="20"/>
                <w:color w:val="auto"/>
              </w:rPr>
            </w:pPr>
            <w:r>
              <w:rPr>
                <w:rFonts w:ascii="Arial" w:cs="Arial" w:eastAsia="Arial" w:hAnsi="Arial"/>
                <w:sz w:val="14"/>
                <w:szCs w:val="14"/>
                <w:color w:val="auto"/>
              </w:rPr>
              <w:t>to Upstart Holdings, Inc. common stockholders,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6860" w:type="dxa"/>
            <w:vAlign w:val="bottom"/>
          </w:tcPr>
          <w:p>
            <w:pPr>
              <w:ind w:left="420"/>
              <w:spacing w:after="0" w:line="156"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3"/>
                <w:szCs w:val="13"/>
                <w:color w:val="auto"/>
              </w:rPr>
            </w:pPr>
          </w:p>
        </w:tc>
        <w:tc>
          <w:tcPr>
            <w:tcW w:w="780" w:type="dxa"/>
            <w:vAlign w:val="bottom"/>
          </w:tcPr>
          <w:p>
            <w:pPr>
              <w:jc w:val="right"/>
              <w:ind w:right="34"/>
              <w:spacing w:after="0" w:line="156" w:lineRule="exact"/>
              <w:rPr>
                <w:sz w:val="20"/>
                <w:szCs w:val="20"/>
                <w:color w:val="auto"/>
              </w:rPr>
            </w:pPr>
            <w:r>
              <w:rPr>
                <w:rFonts w:ascii="Arial" w:cs="Arial" w:eastAsia="Arial" w:hAnsi="Arial"/>
                <w:sz w:val="14"/>
                <w:szCs w:val="14"/>
                <w:color w:val="auto"/>
                <w:w w:val="94"/>
              </w:rPr>
              <w:t>14,335,611</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w w:val="94"/>
              </w:rPr>
              <w:t>14,663,623</w:t>
            </w:r>
          </w:p>
        </w:tc>
      </w:tr>
      <w:tr>
        <w:trPr>
          <w:trHeight w:val="158"/>
        </w:trPr>
        <w:tc>
          <w:tcPr>
            <w:tcW w:w="6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 forma adjustment to reflect assumed conversion of convertible preferred stock</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4"/>
              <w:spacing w:after="0" w:line="158" w:lineRule="exact"/>
              <w:rPr>
                <w:sz w:val="20"/>
                <w:szCs w:val="20"/>
                <w:color w:val="auto"/>
              </w:rPr>
            </w:pPr>
            <w:r>
              <w:rPr>
                <w:rFonts w:ascii="Arial" w:cs="Arial" w:eastAsia="Arial" w:hAnsi="Arial"/>
                <w:sz w:val="14"/>
                <w:szCs w:val="14"/>
                <w:color w:val="auto"/>
                <w:w w:val="94"/>
              </w:rPr>
              <w:t>47,314,075</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47,349,577</w:t>
            </w:r>
          </w:p>
        </w:tc>
      </w:tr>
      <w:tr>
        <w:trPr>
          <w:trHeight w:val="160"/>
        </w:trPr>
        <w:tc>
          <w:tcPr>
            <w:tcW w:w="6860" w:type="dxa"/>
            <w:vAlign w:val="bottom"/>
          </w:tcPr>
          <w:p>
            <w:pPr>
              <w:ind w:left="280"/>
              <w:spacing w:after="0" w:line="158" w:lineRule="exact"/>
              <w:rPr>
                <w:sz w:val="20"/>
                <w:szCs w:val="20"/>
                <w:color w:val="auto"/>
              </w:rPr>
            </w:pPr>
            <w:r>
              <w:rPr>
                <w:rFonts w:ascii="Arial" w:cs="Arial" w:eastAsia="Arial" w:hAnsi="Arial"/>
                <w:sz w:val="14"/>
                <w:szCs w:val="14"/>
                <w:color w:val="auto"/>
              </w:rPr>
              <w:t>Pro forma adjustment to reflect assumed conversion of convertible preferred stock warrants</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
              <w:spacing w:after="0" w:line="158" w:lineRule="exact"/>
              <w:rPr>
                <w:sz w:val="20"/>
                <w:szCs w:val="20"/>
                <w:color w:val="auto"/>
              </w:rPr>
            </w:pPr>
            <w:r>
              <w:rPr>
                <w:rFonts w:ascii="Arial" w:cs="Arial" w:eastAsia="Arial" w:hAnsi="Arial"/>
                <w:sz w:val="14"/>
                <w:szCs w:val="14"/>
                <w:color w:val="auto"/>
              </w:rPr>
              <w:t>600,208</w:t>
            </w:r>
          </w:p>
        </w:tc>
        <w:tc>
          <w:tcPr>
            <w:tcW w:w="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600,208</w:t>
            </w:r>
          </w:p>
        </w:tc>
      </w:tr>
      <w:tr>
        <w:trPr>
          <w:trHeight w:val="159"/>
        </w:trPr>
        <w:tc>
          <w:tcPr>
            <w:tcW w:w="68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Weighted-average number of shares used to compute pro forma net income per share attributable</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6"/>
        </w:trPr>
        <w:tc>
          <w:tcPr>
            <w:tcW w:w="68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to Upstart Holdings, Inc. common stockholders, basic</w:t>
            </w: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4"/>
              <w:spacing w:after="0" w:line="156" w:lineRule="exact"/>
              <w:rPr>
                <w:sz w:val="20"/>
                <w:szCs w:val="20"/>
                <w:color w:val="auto"/>
              </w:rPr>
            </w:pPr>
            <w:r>
              <w:rPr>
                <w:rFonts w:ascii="Arial" w:cs="Arial" w:eastAsia="Arial" w:hAnsi="Arial"/>
                <w:sz w:val="14"/>
                <w:szCs w:val="14"/>
                <w:color w:val="auto"/>
                <w:w w:val="94"/>
              </w:rPr>
              <w:t>62,249,893</w:t>
            </w:r>
          </w:p>
        </w:tc>
        <w:tc>
          <w:tcPr>
            <w:tcW w:w="6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62,613,408</w:t>
            </w: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3"/>
        </w:trPr>
        <w:tc>
          <w:tcPr>
            <w:tcW w:w="6860" w:type="dxa"/>
            <w:vAlign w:val="bottom"/>
          </w:tcPr>
          <w:p>
            <w:pPr>
              <w:ind w:left="280"/>
              <w:spacing w:after="0" w:line="143" w:lineRule="exact"/>
              <w:rPr>
                <w:sz w:val="20"/>
                <w:szCs w:val="20"/>
                <w:color w:val="auto"/>
              </w:rPr>
            </w:pPr>
            <w:r>
              <w:rPr>
                <w:rFonts w:ascii="Arial" w:cs="Arial" w:eastAsia="Arial" w:hAnsi="Arial"/>
                <w:sz w:val="14"/>
                <w:szCs w:val="14"/>
                <w:color w:val="auto"/>
              </w:rPr>
              <w:t>Pro forma net income per share attributable to Upstart Holdings, Inc. common stockholders, basic</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34"/>
              <w:spacing w:after="0" w:line="143" w:lineRule="exact"/>
              <w:rPr>
                <w:sz w:val="20"/>
                <w:szCs w:val="20"/>
                <w:color w:val="auto"/>
              </w:rPr>
            </w:pPr>
            <w:r>
              <w:rPr>
                <w:rFonts w:ascii="Arial" w:cs="Arial" w:eastAsia="Arial" w:hAnsi="Arial"/>
                <w:sz w:val="14"/>
                <w:szCs w:val="14"/>
                <w:color w:val="auto"/>
              </w:rPr>
              <w:t>0.06</w:t>
            </w:r>
          </w:p>
        </w:tc>
        <w:tc>
          <w:tcPr>
            <w:tcW w:w="740" w:type="dxa"/>
            <w:vAlign w:val="bottom"/>
            <w:gridSpan w:val="2"/>
          </w:tcPr>
          <w:p>
            <w:pPr>
              <w:ind w:left="660"/>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0.11</w:t>
            </w:r>
          </w:p>
        </w:tc>
      </w:tr>
      <w:tr>
        <w:trPr>
          <w:trHeight w:val="159"/>
        </w:trPr>
        <w:tc>
          <w:tcPr>
            <w:tcW w:w="68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Weighted-average number of shares used to compute pro forma net income per share attributable</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6"/>
        </w:trPr>
        <w:tc>
          <w:tcPr>
            <w:tcW w:w="68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to Upstart Holdings, Inc. common stockholders, diluted</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4"/>
              <w:spacing w:after="0" w:line="156" w:lineRule="exact"/>
              <w:rPr>
                <w:sz w:val="20"/>
                <w:szCs w:val="20"/>
                <w:color w:val="auto"/>
              </w:rPr>
            </w:pPr>
            <w:r>
              <w:rPr>
                <w:rFonts w:ascii="Arial" w:cs="Arial" w:eastAsia="Arial" w:hAnsi="Arial"/>
                <w:sz w:val="14"/>
                <w:szCs w:val="14"/>
                <w:color w:val="auto"/>
                <w:w w:val="94"/>
              </w:rPr>
              <w:t>71,497,924</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71,733,580</w:t>
            </w:r>
          </w:p>
        </w:tc>
      </w:tr>
      <w:tr>
        <w:trPr>
          <w:trHeight w:val="158"/>
        </w:trPr>
        <w:tc>
          <w:tcPr>
            <w:tcW w:w="6860" w:type="dxa"/>
            <w:vAlign w:val="bottom"/>
          </w:tcPr>
          <w:p>
            <w:pPr>
              <w:ind w:left="280"/>
              <w:spacing w:after="0" w:line="158" w:lineRule="exact"/>
              <w:rPr>
                <w:sz w:val="20"/>
                <w:szCs w:val="20"/>
                <w:color w:val="auto"/>
              </w:rPr>
            </w:pPr>
            <w:r>
              <w:rPr>
                <w:rFonts w:ascii="Arial" w:cs="Arial" w:eastAsia="Arial" w:hAnsi="Arial"/>
                <w:sz w:val="14"/>
                <w:szCs w:val="14"/>
                <w:color w:val="auto"/>
              </w:rPr>
              <w:t>Pro forma net income per share attributable to Upstart Holdings, Inc. common stockholders, diluted</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34"/>
              <w:spacing w:after="0" w:line="158" w:lineRule="exact"/>
              <w:rPr>
                <w:sz w:val="20"/>
                <w:szCs w:val="20"/>
                <w:color w:val="auto"/>
              </w:rPr>
            </w:pPr>
            <w:r>
              <w:rPr>
                <w:rFonts w:ascii="Arial" w:cs="Arial" w:eastAsia="Arial" w:hAnsi="Arial"/>
                <w:sz w:val="14"/>
                <w:szCs w:val="14"/>
                <w:color w:val="auto"/>
              </w:rPr>
              <w:t>0.05</w:t>
            </w:r>
          </w:p>
        </w:tc>
        <w:tc>
          <w:tcPr>
            <w:tcW w:w="740" w:type="dxa"/>
            <w:vAlign w:val="bottom"/>
            <w:gridSpan w:val="2"/>
          </w:tcPr>
          <w:p>
            <w:pPr>
              <w:ind w:left="66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0.09</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F-66</w:t>
      </w:r>
    </w:p>
    <w:p>
      <w:pPr>
        <w:sectPr>
          <w:pgSz w:w="11900" w:h="16838" w:orient="portrait"/>
          <w:cols w:equalWidth="0" w:num="1">
            <w:col w:w="10220"/>
          </w:cols>
          <w:pgMar w:left="320" w:top="407" w:right="1359" w:bottom="1440" w:gutter="0" w:footer="0" w:header="0"/>
        </w:sectPr>
      </w:pPr>
    </w:p>
    <w:bookmarkStart w:id="302" w:name="page303"/>
    <w:bookmarkEnd w:id="3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020" w:right="7060" w:firstLine="7"/>
        <w:spacing w:after="0" w:line="373" w:lineRule="auto"/>
        <w:tabs>
          <w:tab w:leader="none" w:pos="1270" w:val="left"/>
        </w:tabs>
        <w:numPr>
          <w:ilvl w:val="0"/>
          <w:numId w:val="15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Subsequent Events Subsequent Events (audited)</w:t>
      </w:r>
    </w:p>
    <w:p>
      <w:pPr>
        <w:jc w:val="both"/>
        <w:ind w:left="1020" w:right="40" w:firstLine="460"/>
        <w:spacing w:after="0"/>
        <w:rPr>
          <w:sz w:val="20"/>
          <w:szCs w:val="20"/>
          <w:color w:val="auto"/>
        </w:rPr>
      </w:pPr>
      <w:r>
        <w:rPr>
          <w:rFonts w:ascii="Arial" w:cs="Arial" w:eastAsia="Arial" w:hAnsi="Arial"/>
          <w:sz w:val="15"/>
          <w:szCs w:val="15"/>
          <w:color w:val="auto"/>
        </w:rPr>
        <w:t>The Company has evaluated the impact of events that have occurred subsequent to December 31, 2019, through March 3, 2020, the date at which the consolidated financial statements as of and for the years ended December 31, 2017, 2018 and 2019 were available to be issued. Based on the evaluation, the Company has determined no subsequent events were required to be recognized or disclosed.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Subsequent Events (unaudited)</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 has evaluated the impact of events that have occurred subsequent to September 30, 2020, through December 8, 2020, the date at which the consolidated interim financial statements as of September 30, 2020 and for the nine months ended September 30, 2019 and 2020 were available to be issued. Based on the evaluation, the Company has determined no subsequent events were required to be recognized or disclosed except the matters below.</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October 2020, the Company paid down $13.5 million on the UWT Warehouse Credit Facility. On November 2, 2020, the Company paid in full the remaining outstanding borrowings and accrued interest under the UWT Warehouse Credit Facility of $4.0 million. The UWT Warehouse Credit Facility had an original maturity date of May 21, 2021. The Company terminated the UWT Warehouse Credit Facility in November 2020.</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November 2020, the Company’s Board of Directors approved an option grant under the 2012 Plan to Dave Girouard, Co-Founder, Chief Executive Officer and a member of the Board of Directors. Mr. Girouard received an option to purchase 550,000 shares of the Company’s common stock, which vests in 28 equal monthly installments beginning on September 1, 2020, subject to Mr. Girouard’s continued employment in the current role with the Company.</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In November 2020, the Company agreed to extend the maturity date of the UNI Credit Facility from December 1, 2020 to June 1, 2021. All outstanding principal, and any accrued and unpaid interest, are due and payable in full at maturity.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F-67</w:t>
      </w:r>
    </w:p>
    <w:p>
      <w:pPr>
        <w:sectPr>
          <w:pgSz w:w="11900" w:h="16838" w:orient="portrait"/>
          <w:cols w:equalWidth="0" w:num="1">
            <w:col w:w="10160"/>
          </w:cols>
          <w:pgMar w:left="320" w:top="407" w:right="1419" w:bottom="1440" w:gutter="0" w:footer="0" w:header="0"/>
        </w:sectPr>
      </w:pPr>
    </w:p>
    <w:bookmarkStart w:id="303" w:name="page304"/>
    <w:bookmarkEnd w:id="3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8116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51755" cy="681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6939"/>
        <w:spacing w:after="0"/>
        <w:rPr>
          <w:sz w:val="20"/>
          <w:szCs w:val="20"/>
          <w:color w:val="auto"/>
        </w:rPr>
      </w:pPr>
      <w:r>
        <w:rPr>
          <w:rFonts w:ascii="Arial" w:cs="Arial" w:eastAsia="Arial" w:hAnsi="Arial"/>
          <w:sz w:val="11"/>
          <w:szCs w:val="11"/>
          <w:color w:val="FFFFFF"/>
        </w:rPr>
        <w:t>^^^^^^^^^^^^^^^^^^^^^^^^^^^^^^^^^^^^^^^^^</w:t>
      </w:r>
    </w:p>
    <w:p>
      <w:pPr>
        <w:sectPr>
          <w:pgSz w:w="11900" w:h="16838" w:orient="portrait"/>
          <w:cols w:equalWidth="0" w:num="1">
            <w:col w:w="10139"/>
          </w:cols>
          <w:pgMar w:left="320" w:top="407" w:right="1440" w:bottom="1440" w:gutter="0" w:footer="0" w:header="0"/>
        </w:sectPr>
      </w:pPr>
    </w:p>
    <w:bookmarkStart w:id="304" w:name="page305"/>
    <w:bookmarkEnd w:id="3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8779"/>
        <w:spacing w:after="0"/>
        <w:rPr>
          <w:sz w:val="20"/>
          <w:szCs w:val="20"/>
          <w:color w:val="auto"/>
        </w:rPr>
      </w:pPr>
      <w:r>
        <w:rPr>
          <w:rFonts w:ascii="Arial" w:cs="Arial" w:eastAsia="Arial" w:hAnsi="Arial"/>
          <w:sz w:val="11"/>
          <w:szCs w:val="11"/>
          <w:color w:val="FFFFFF"/>
        </w:rPr>
        <w:t>Upstart</w:t>
      </w:r>
    </w:p>
    <w:p>
      <w:pPr>
        <w:sectPr>
          <w:pgSz w:w="11900" w:h="16838" w:orient="portrait"/>
          <w:cols w:equalWidth="0" w:num="1">
            <w:col w:w="10139"/>
          </w:cols>
          <w:pgMar w:left="320" w:top="406" w:right="1440" w:bottom="1440" w:gutter="0" w:footer="0" w:header="0"/>
        </w:sectPr>
      </w:pPr>
    </w:p>
    <w:bookmarkStart w:id="305" w:name="page306"/>
    <w:bookmarkEnd w:id="3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PART II</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10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following table sets forth all expenses to be paid by us, other than underwriting discounts and commissions, upon completion of this offering. All amounts shown are estimates except for the SEC registration fee, the FINRA filing fee and the exchange listing fee.</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Amount</w:t>
            </w:r>
          </w:p>
        </w:tc>
      </w:tr>
      <w:tr>
        <w:trPr>
          <w:trHeight w:val="135"/>
        </w:trPr>
        <w:tc>
          <w:tcPr>
            <w:tcW w:w="52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to be</w:t>
            </w:r>
          </w:p>
        </w:tc>
      </w:tr>
      <w:tr>
        <w:trPr>
          <w:trHeight w:val="145"/>
        </w:trPr>
        <w:tc>
          <w:tcPr>
            <w:tcW w:w="5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Paid</w:t>
            </w:r>
          </w:p>
        </w:tc>
      </w:tr>
      <w:tr>
        <w:trPr>
          <w:trHeight w:val="160"/>
        </w:trPr>
        <w:tc>
          <w:tcPr>
            <w:tcW w:w="524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SEC registration fee</w:t>
            </w:r>
          </w:p>
        </w:tc>
        <w:tc>
          <w:tcPr>
            <w:tcW w:w="30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33,166</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5240" w:type="dxa"/>
            <w:vAlign w:val="bottom"/>
          </w:tcPr>
          <w:p>
            <w:pPr>
              <w:spacing w:after="0" w:line="169" w:lineRule="exact"/>
              <w:rPr>
                <w:sz w:val="20"/>
                <w:szCs w:val="20"/>
                <w:color w:val="auto"/>
              </w:rPr>
            </w:pPr>
            <w:r>
              <w:rPr>
                <w:rFonts w:ascii="Arial" w:cs="Arial" w:eastAsia="Arial" w:hAnsi="Arial"/>
                <w:sz w:val="15"/>
                <w:szCs w:val="15"/>
                <w:color w:val="auto"/>
              </w:rPr>
              <w:t>FINRA filing fee</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46,100</w:t>
            </w:r>
          </w:p>
        </w:tc>
      </w:tr>
      <w:tr>
        <w:trPr>
          <w:trHeight w:val="169"/>
        </w:trPr>
        <w:tc>
          <w:tcPr>
            <w:tcW w:w="5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Exchange listing fee</w:t>
            </w:r>
          </w:p>
        </w:tc>
        <w:tc>
          <w:tcPr>
            <w:tcW w:w="3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295,000</w:t>
            </w:r>
          </w:p>
        </w:tc>
      </w:tr>
      <w:tr>
        <w:trPr>
          <w:trHeight w:val="169"/>
        </w:trPr>
        <w:tc>
          <w:tcPr>
            <w:tcW w:w="5240" w:type="dxa"/>
            <w:vAlign w:val="bottom"/>
          </w:tcPr>
          <w:p>
            <w:pPr>
              <w:spacing w:after="0" w:line="169" w:lineRule="exact"/>
              <w:rPr>
                <w:sz w:val="20"/>
                <w:szCs w:val="20"/>
                <w:color w:val="auto"/>
              </w:rPr>
            </w:pPr>
            <w:r>
              <w:rPr>
                <w:rFonts w:ascii="Arial" w:cs="Arial" w:eastAsia="Arial" w:hAnsi="Arial"/>
                <w:sz w:val="15"/>
                <w:szCs w:val="15"/>
                <w:color w:val="auto"/>
              </w:rPr>
              <w:t>Printing and engraving expenses</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500,000</w:t>
            </w:r>
          </w:p>
        </w:tc>
      </w:tr>
      <w:tr>
        <w:trPr>
          <w:trHeight w:val="169"/>
        </w:trPr>
        <w:tc>
          <w:tcPr>
            <w:tcW w:w="5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Legal fees and expenses</w:t>
            </w:r>
          </w:p>
        </w:tc>
        <w:tc>
          <w:tcPr>
            <w:tcW w:w="3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3,525,000</w:t>
            </w:r>
          </w:p>
        </w:tc>
      </w:tr>
      <w:tr>
        <w:trPr>
          <w:trHeight w:val="169"/>
        </w:trPr>
        <w:tc>
          <w:tcPr>
            <w:tcW w:w="5240" w:type="dxa"/>
            <w:vAlign w:val="bottom"/>
          </w:tcPr>
          <w:p>
            <w:pPr>
              <w:spacing w:after="0" w:line="169" w:lineRule="exact"/>
              <w:rPr>
                <w:sz w:val="20"/>
                <w:szCs w:val="20"/>
                <w:color w:val="auto"/>
              </w:rPr>
            </w:pPr>
            <w:r>
              <w:rPr>
                <w:rFonts w:ascii="Arial" w:cs="Arial" w:eastAsia="Arial" w:hAnsi="Arial"/>
                <w:sz w:val="15"/>
                <w:szCs w:val="15"/>
                <w:color w:val="auto"/>
              </w:rPr>
              <w:t>Accounting fees and expenses</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4,192,000</w:t>
            </w:r>
          </w:p>
        </w:tc>
      </w:tr>
      <w:tr>
        <w:trPr>
          <w:trHeight w:val="169"/>
        </w:trPr>
        <w:tc>
          <w:tcPr>
            <w:tcW w:w="5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Transfer agent and registrar fees</w:t>
            </w:r>
          </w:p>
        </w:tc>
        <w:tc>
          <w:tcPr>
            <w:tcW w:w="3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4,000</w:t>
            </w:r>
          </w:p>
        </w:tc>
      </w:tr>
      <w:tr>
        <w:trPr>
          <w:trHeight w:val="169"/>
        </w:trPr>
        <w:tc>
          <w:tcPr>
            <w:tcW w:w="5240" w:type="dxa"/>
            <w:vAlign w:val="bottom"/>
          </w:tcPr>
          <w:p>
            <w:pPr>
              <w:spacing w:after="0" w:line="169" w:lineRule="exact"/>
              <w:rPr>
                <w:sz w:val="20"/>
                <w:szCs w:val="20"/>
                <w:color w:val="auto"/>
              </w:rPr>
            </w:pPr>
            <w:r>
              <w:rPr>
                <w:rFonts w:ascii="Arial" w:cs="Arial" w:eastAsia="Arial" w:hAnsi="Arial"/>
                <w:sz w:val="15"/>
                <w:szCs w:val="15"/>
                <w:color w:val="auto"/>
              </w:rPr>
              <w:t>Miscellaneous expenses</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317,000</w:t>
            </w:r>
          </w:p>
        </w:tc>
      </w:tr>
      <w:tr>
        <w:trPr>
          <w:trHeight w:val="23"/>
        </w:trPr>
        <w:tc>
          <w:tcPr>
            <w:tcW w:w="5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2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31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8,912,266</w:t>
            </w:r>
          </w:p>
        </w:tc>
      </w:tr>
      <w:tr>
        <w:trPr>
          <w:trHeight w:val="20"/>
        </w:trPr>
        <w:tc>
          <w:tcPr>
            <w:tcW w:w="5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105" w:lineRule="exact"/>
        <w:rPr>
          <w:sz w:val="20"/>
          <w:szCs w:val="20"/>
          <w:color w:val="auto"/>
        </w:rPr>
      </w:pPr>
    </w:p>
    <w:p>
      <w:pPr>
        <w:jc w:val="both"/>
        <w:ind w:left="1020" w:right="40" w:firstLine="460"/>
        <w:spacing w:after="0" w:line="245" w:lineRule="auto"/>
        <w:rPr>
          <w:sz w:val="20"/>
          <w:szCs w:val="20"/>
          <w:color w:val="auto"/>
        </w:rPr>
      </w:pPr>
      <w:r>
        <w:rPr>
          <w:rFonts w:ascii="Arial" w:cs="Arial" w:eastAsia="Arial" w:hAnsi="Arial"/>
          <w:sz w:val="15"/>
          <w:szCs w:val="15"/>
          <w:color w:val="auto"/>
        </w:rPr>
        <w:t>Section 145 of the Delaware General Corporation Law authorizes a corporation’s board of directors to grant, and authorizes a court to award, indemnity to officers, directors, and other corporate agents.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have adopted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3" w:lineRule="exact"/>
        <w:rPr>
          <w:sz w:val="20"/>
          <w:szCs w:val="20"/>
          <w:color w:val="auto"/>
        </w:rPr>
      </w:pPr>
    </w:p>
    <w:p>
      <w:pPr>
        <w:ind w:left="1660" w:hanging="183"/>
        <w:spacing w:after="0"/>
        <w:tabs>
          <w:tab w:leader="none" w:pos="1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any breach of their duty of loyalty to our company or our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97" w:lineRule="exact"/>
        <w:rPr>
          <w:rFonts w:ascii="Arial" w:cs="Arial" w:eastAsia="Arial" w:hAnsi="Arial"/>
          <w:sz w:val="15"/>
          <w:szCs w:val="15"/>
          <w:color w:val="auto"/>
        </w:rPr>
      </w:pPr>
    </w:p>
    <w:p>
      <w:pPr>
        <w:ind w:left="1660" w:right="500" w:hanging="183"/>
        <w:spacing w:after="0" w:line="245" w:lineRule="auto"/>
        <w:tabs>
          <w:tab w:leader="none" w:pos="1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any transaction from which they derived an improper personal benefit.</w:t>
      </w:r>
    </w:p>
    <w:p>
      <w:pPr>
        <w:spacing w:after="0" w:line="177"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72"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In addition, we have adopted amended and restated bylaws, which will become effective immediately prior to the completion of this offering, and which will provide that we will indemnify, to the</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220"/>
          </w:cols>
          <w:pgMar w:left="320" w:top="406" w:right="1359" w:bottom="1440" w:gutter="0" w:footer="0" w:header="0"/>
        </w:sectPr>
      </w:pPr>
    </w:p>
    <w:bookmarkStart w:id="306" w:name="page307"/>
    <w:bookmarkEnd w:id="3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7" w:lineRule="auto"/>
        <w:rPr>
          <w:sz w:val="20"/>
          <w:szCs w:val="20"/>
          <w:color w:val="auto"/>
        </w:rPr>
      </w:pPr>
      <w:r>
        <w:rPr>
          <w:rFonts w:ascii="Arial" w:cs="Arial" w:eastAsia="Arial" w:hAnsi="Arial"/>
          <w:sz w:val="15"/>
          <w:szCs w:val="15"/>
          <w:color w:val="auto"/>
        </w:rPr>
        <w:t>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will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limitation of liability and indemnification provisions that will be included in our amended and restated certificate of incorporation, amended and restated bylaws, and the indemnification agreements that we have entered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74"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72"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or indemnified against certain liabilities incurred in their capacity as members of our board of directors.</w:t>
      </w:r>
    </w:p>
    <w:p>
      <w:pPr>
        <w:spacing w:after="0" w:line="166"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The underwriting agreement filed as Exhibit 1.1 to this registration statement will provide for indemnification by the underwriters of us and our officers and directors for certain liabilities arising under the Securities Act or otherwise.</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220"/>
          </w:cols>
          <w:pgMar w:left="320" w:top="407" w:right="1359" w:bottom="1440" w:gutter="0" w:footer="0" w:header="0"/>
        </w:sectPr>
      </w:pPr>
    </w:p>
    <w:bookmarkStart w:id="307" w:name="page308"/>
    <w:bookmarkEnd w:id="3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Since January 1, 2017, we have issued the following unregistered securities:</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Promissory Note Issuances</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September 2017, we issued subordinated convertible notes in the aggregate principal amount of $20.0 million in a private placement. We refer to these notes as the 2017 convertible notes. The 2017 convertible notes accrued interest at a rate equal to 8.0% per year. Each of these notes was converted on June 30, 2018 into shares of our Series C-1 preferred stock.</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Warrant Issuances</w:t>
      </w:r>
    </w:p>
    <w:p>
      <w:pPr>
        <w:spacing w:after="0" w:line="10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In July 2017, we issued a warrant to purchase a total of 31,554 shares of common stock to one accredited investor at an exercise price of $1.35 per share.</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In September 2017, we issued warrants to purchase a total of 830,468 shares of preferred stock to two accredited investors at an exercise price of $3.612413 per share. Each of these warrants was terminated on June 30, 2018.</w:t>
      </w:r>
    </w:p>
    <w:p>
      <w:pPr>
        <w:spacing w:after="0" w:line="166"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In October 2018, we issued warrants to purchase a total of 150,000 shares of common stock to two accredited investors at an exercise price of $2.16 per share.</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Preferred Stock Issuances</w:t>
      </w:r>
    </w:p>
    <w:p>
      <w:pPr>
        <w:spacing w:after="0" w:line="10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From January 2017 through February 2017, we sold an aggregate of 307,825 shares of our Series C-1 convertible preferred stock to 3 accredited investors at a purchase price of $3.612413 per share, for an aggregate purchase price of $1.1 million.</w:t>
      </w:r>
    </w:p>
    <w:p>
      <w:pPr>
        <w:spacing w:after="0" w:line="166" w:lineRule="exact"/>
        <w:rPr>
          <w:sz w:val="20"/>
          <w:szCs w:val="20"/>
          <w:color w:val="auto"/>
        </w:rPr>
      </w:pPr>
    </w:p>
    <w:p>
      <w:pPr>
        <w:jc w:val="both"/>
        <w:ind w:left="1020" w:right="200" w:firstLine="460"/>
        <w:spacing w:after="0" w:line="245" w:lineRule="auto"/>
        <w:rPr>
          <w:sz w:val="20"/>
          <w:szCs w:val="20"/>
          <w:color w:val="auto"/>
        </w:rPr>
      </w:pPr>
      <w:r>
        <w:rPr>
          <w:rFonts w:ascii="Arial" w:cs="Arial" w:eastAsia="Arial" w:hAnsi="Arial"/>
          <w:sz w:val="15"/>
          <w:szCs w:val="15"/>
          <w:color w:val="auto"/>
        </w:rPr>
        <w:t>From December 2018 to March 2019, we sold an aggregate of 5,788,697 shares of our Series D convertible preferred stock to 4 accredited investors at a purchase price of $9.000295 per share, for an aggregate of $54.1 million.</w:t>
      </w:r>
    </w:p>
    <w:p>
      <w:pPr>
        <w:spacing w:after="0" w:line="166"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In November 2020, we sold 600,208 shares of our Series B convertible preferred stock to one accredited investor at a per share exercise price of $0.01 pursuant to an exercise of a warrant.</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Issuances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September 2020, we sold 282,750 shares of our common stock to an accredited investor, as part of a strategic transaction.</w:t>
      </w:r>
    </w:p>
    <w:p>
      <w:pPr>
        <w:spacing w:after="0" w:line="177"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From January 1, 2017 through December 7, 2020, we issued to our directors, officers, employees, consultants and other service providers an aggregate of 1,602,219 shares of our common stock upon the exercise of options under our equity compensation plans at exercise prices ranging from $0.15 to $8.88 per share.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Option Issuances</w:t>
      </w:r>
    </w:p>
    <w:p>
      <w:pPr>
        <w:spacing w:after="0" w:line="10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From January 1, 2017 through the filing date of this registration statement, we granted to our directors, officers, employees, consultants, and other service providers options to purchase an aggregate of 15,362,417 shares of our common stock under our equity compensation plans at exercise prices ranging from approximately $1.35 to $20.23 per share.</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0180"/>
          </w:cols>
          <w:pgMar w:left="320" w:top="407" w:right="1399" w:bottom="1440" w:gutter="0" w:footer="0" w:header="0"/>
        </w:sectPr>
      </w:pPr>
    </w:p>
    <w:bookmarkStart w:id="308" w:name="page309"/>
    <w:bookmarkEnd w:id="3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100" w:lineRule="exact"/>
        <w:rPr>
          <w:sz w:val="20"/>
          <w:szCs w:val="20"/>
          <w:color w:val="auto"/>
        </w:rPr>
      </w:pPr>
    </w:p>
    <w:p>
      <w:pPr>
        <w:ind w:left="1480" w:hanging="453"/>
        <w:spacing w:after="0"/>
        <w:tabs>
          <w:tab w:leader="none" w:pos="1480" w:val="left"/>
        </w:tabs>
        <w:numPr>
          <w:ilvl w:val="0"/>
          <w:numId w:val="157"/>
        </w:numPr>
        <w:rPr>
          <w:rFonts w:ascii="Arial" w:cs="Arial" w:eastAsia="Arial" w:hAnsi="Arial"/>
          <w:sz w:val="15"/>
          <w:szCs w:val="15"/>
          <w:color w:val="auto"/>
        </w:rPr>
      </w:pPr>
      <w:r>
        <w:rPr>
          <w:rFonts w:ascii="Arial" w:cs="Arial" w:eastAsia="Arial" w:hAnsi="Arial"/>
          <w:sz w:val="15"/>
          <w:szCs w:val="15"/>
          <w:i w:val="1"/>
          <w:iCs w:val="1"/>
          <w:color w:val="auto"/>
        </w:rPr>
        <w:t>Exhibits.</w:t>
      </w:r>
    </w:p>
    <w:p>
      <w:pPr>
        <w:spacing w:after="0" w:line="103" w:lineRule="exact"/>
        <w:rPr>
          <w:sz w:val="20"/>
          <w:szCs w:val="20"/>
          <w:color w:val="auto"/>
        </w:rPr>
      </w:pPr>
    </w:p>
    <w:p>
      <w:pPr>
        <w:ind w:left="1020" w:right="660" w:firstLine="460"/>
        <w:spacing w:after="0" w:line="245" w:lineRule="auto"/>
        <w:rPr>
          <w:sz w:val="20"/>
          <w:szCs w:val="20"/>
          <w:color w:val="auto"/>
        </w:rPr>
      </w:pPr>
      <w:r>
        <w:rPr>
          <w:rFonts w:ascii="Arial" w:cs="Arial" w:eastAsia="Arial" w:hAnsi="Arial"/>
          <w:sz w:val="15"/>
          <w:szCs w:val="15"/>
          <w:color w:val="auto"/>
        </w:rPr>
        <w:t>See the Exhibit Index immediately preceding the signature page hereto for a list of exhibits filed as part of this registration statement on Form S-1, which Exhibit Index is incorporated herein by reference.</w:t>
      </w:r>
    </w:p>
    <w:p>
      <w:pPr>
        <w:spacing w:after="0" w:line="274" w:lineRule="exact"/>
        <w:rPr>
          <w:sz w:val="20"/>
          <w:szCs w:val="20"/>
          <w:color w:val="auto"/>
        </w:rPr>
      </w:pPr>
    </w:p>
    <w:p>
      <w:pPr>
        <w:ind w:left="1480" w:hanging="453"/>
        <w:spacing w:after="0"/>
        <w:tabs>
          <w:tab w:leader="none" w:pos="1480" w:val="left"/>
        </w:tabs>
        <w:numPr>
          <w:ilvl w:val="0"/>
          <w:numId w:val="158"/>
        </w:numPr>
        <w:rPr>
          <w:rFonts w:ascii="Arial" w:cs="Arial" w:eastAsia="Arial" w:hAnsi="Arial"/>
          <w:sz w:val="15"/>
          <w:szCs w:val="15"/>
          <w:color w:val="auto"/>
        </w:rPr>
      </w:pPr>
      <w:r>
        <w:rPr>
          <w:rFonts w:ascii="Arial" w:cs="Arial" w:eastAsia="Arial" w:hAnsi="Arial"/>
          <w:sz w:val="15"/>
          <w:szCs w:val="15"/>
          <w:i w:val="1"/>
          <w:iCs w:val="1"/>
          <w:color w:val="auto"/>
        </w:rPr>
        <w:t>Financial Statement Schedules.</w:t>
      </w:r>
    </w:p>
    <w:p>
      <w:pPr>
        <w:spacing w:after="0" w:line="103" w:lineRule="exact"/>
        <w:rPr>
          <w:sz w:val="20"/>
          <w:szCs w:val="20"/>
          <w:color w:val="auto"/>
        </w:rPr>
      </w:pPr>
    </w:p>
    <w:p>
      <w:pPr>
        <w:ind w:left="1020" w:right="820" w:firstLine="460"/>
        <w:spacing w:after="0" w:line="245" w:lineRule="auto"/>
        <w:rPr>
          <w:sz w:val="20"/>
          <w:szCs w:val="20"/>
          <w:color w:val="auto"/>
        </w:rPr>
      </w:pPr>
      <w:r>
        <w:rPr>
          <w:rFonts w:ascii="Arial" w:cs="Arial" w:eastAsia="Arial" w:hAnsi="Arial"/>
          <w:sz w:val="15"/>
          <w:szCs w:val="15"/>
          <w:color w:val="auto"/>
        </w:rPr>
        <w:t>All financial statement schedules are omitted because the information called for is not required or is shown either in the consolidated financial statements or in the notes thereto.</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17. UNDERTAKINGS.</w:t>
      </w:r>
    </w:p>
    <w:p>
      <w:pPr>
        <w:spacing w:after="0" w:line="10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 that:</w:t>
      </w:r>
    </w:p>
    <w:p>
      <w:pPr>
        <w:spacing w:after="0" w:line="177" w:lineRule="exact"/>
        <w:rPr>
          <w:sz w:val="20"/>
          <w:szCs w:val="20"/>
          <w:color w:val="auto"/>
        </w:rPr>
      </w:pPr>
    </w:p>
    <w:p>
      <w:pPr>
        <w:ind w:left="1020" w:firstLine="466"/>
        <w:spacing w:after="0" w:line="238" w:lineRule="auto"/>
        <w:tabs>
          <w:tab w:leader="none" w:pos="1705" w:val="left"/>
        </w:tabs>
        <w:numPr>
          <w:ilvl w:val="0"/>
          <w:numId w:val="159"/>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2" w:lineRule="exact"/>
        <w:rPr>
          <w:rFonts w:ascii="Arial" w:cs="Arial" w:eastAsia="Arial" w:hAnsi="Arial"/>
          <w:sz w:val="15"/>
          <w:szCs w:val="15"/>
          <w:color w:val="auto"/>
        </w:rPr>
      </w:pPr>
    </w:p>
    <w:p>
      <w:pPr>
        <w:ind w:left="1020" w:right="200" w:firstLine="466"/>
        <w:spacing w:after="0"/>
        <w:tabs>
          <w:tab w:leader="none" w:pos="1705" w:val="left"/>
        </w:tabs>
        <w:numPr>
          <w:ilvl w:val="0"/>
          <w:numId w:val="159"/>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0200"/>
          </w:cols>
          <w:pgMar w:left="320" w:top="406" w:right="1379" w:bottom="1440" w:gutter="0" w:footer="0" w:header="0"/>
        </w:sectPr>
      </w:pPr>
    </w:p>
    <w:bookmarkStart w:id="309" w:name="page310"/>
    <w:bookmarkEnd w:id="3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gridSpan w:val="10"/>
          </w:tcPr>
          <w:p>
            <w:pPr>
              <w:ind w:left="300"/>
              <w:spacing w:after="0"/>
              <w:rPr>
                <w:sz w:val="20"/>
                <w:szCs w:val="20"/>
                <w:color w:val="auto"/>
              </w:rPr>
            </w:pPr>
            <w:r>
              <w:rPr>
                <w:rFonts w:ascii="Arial" w:cs="Arial" w:eastAsia="Arial" w:hAnsi="Arial"/>
                <w:sz w:val="15"/>
                <w:szCs w:val="15"/>
                <w:b w:val="1"/>
                <w:bCs w:val="1"/>
                <w:color w:val="auto"/>
              </w:rPr>
              <w:t>EXHIBIT INDEX</w:t>
            </w:r>
          </w:p>
        </w:tc>
      </w:tr>
      <w:tr>
        <w:trPr>
          <w:trHeight w:val="318"/>
        </w:trPr>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Exhibit</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8"/>
        </w:trPr>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920" w:type="dxa"/>
            <w:vAlign w:val="bottom"/>
            <w:gridSpan w:val="9"/>
          </w:tcPr>
          <w:p>
            <w:pPr>
              <w:ind w:left="460"/>
              <w:spacing w:after="0"/>
              <w:rPr>
                <w:sz w:val="20"/>
                <w:szCs w:val="20"/>
                <w:color w:val="auto"/>
              </w:rPr>
            </w:pPr>
            <w:r>
              <w:rPr>
                <w:rFonts w:ascii="Arial" w:cs="Arial" w:eastAsia="Arial" w:hAnsi="Arial"/>
                <w:sz w:val="12"/>
                <w:szCs w:val="12"/>
                <w:b w:val="1"/>
                <w:bCs w:val="1"/>
                <w:color w:val="auto"/>
              </w:rPr>
              <w:t>Description</w:t>
            </w:r>
          </w:p>
        </w:tc>
      </w:tr>
      <w:tr>
        <w:trPr>
          <w:trHeight w:val="258"/>
        </w:trPr>
        <w:tc>
          <w:tcPr>
            <w:tcW w:w="4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1.1#</w:t>
            </w:r>
          </w:p>
        </w:tc>
        <w:tc>
          <w:tcPr>
            <w:tcW w:w="480" w:type="dxa"/>
            <w:vAlign w:val="bottom"/>
          </w:tcPr>
          <w:p>
            <w:pPr>
              <w:spacing w:after="0"/>
              <w:rPr>
                <w:sz w:val="22"/>
                <w:szCs w:val="22"/>
                <w:color w:val="auto"/>
              </w:rPr>
            </w:pPr>
          </w:p>
        </w:tc>
        <w:tc>
          <w:tcPr>
            <w:tcW w:w="8260" w:type="dxa"/>
            <w:vAlign w:val="bottom"/>
            <w:tcBorders>
              <w:top w:val="single" w:sz="8" w:color="auto"/>
            </w:tcBorders>
            <w:gridSpan w:val="14"/>
          </w:tcPr>
          <w:p>
            <w:pPr>
              <w:spacing w:after="0"/>
              <w:rPr>
                <w:rFonts w:ascii="Arial" w:cs="Arial" w:eastAsia="Arial" w:hAnsi="Arial"/>
                <w:sz w:val="15"/>
                <w:szCs w:val="15"/>
                <w:u w:val="single" w:color="auto"/>
                <w:color w:val="0000EE"/>
              </w:rPr>
            </w:pPr>
            <w:hyperlink r:id="rId431">
              <w:r>
                <w:rPr>
                  <w:rFonts w:ascii="Arial" w:cs="Arial" w:eastAsia="Arial" w:hAnsi="Arial"/>
                  <w:sz w:val="15"/>
                  <w:szCs w:val="15"/>
                  <w:u w:val="single" w:color="auto"/>
                  <w:color w:val="0000EE"/>
                </w:rPr>
                <w:t>Form of Underwriting Agreement.</w:t>
              </w:r>
            </w:hyperlink>
          </w:p>
        </w:tc>
      </w:tr>
      <w:tr>
        <w:trPr>
          <w:trHeight w:val="226"/>
        </w:trPr>
        <w:tc>
          <w:tcPr>
            <w:tcW w:w="46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480" w:type="dxa"/>
            <w:vAlign w:val="bottom"/>
          </w:tcPr>
          <w:p>
            <w:pPr>
              <w:spacing w:after="0"/>
              <w:rPr>
                <w:sz w:val="19"/>
                <w:szCs w:val="19"/>
                <w:color w:val="auto"/>
              </w:rPr>
            </w:pPr>
          </w:p>
        </w:tc>
        <w:tc>
          <w:tcPr>
            <w:tcW w:w="7800" w:type="dxa"/>
            <w:vAlign w:val="bottom"/>
            <w:tcBorders>
              <w:bottom w:val="single" w:sz="8" w:color="0000EE"/>
            </w:tcBorders>
            <w:gridSpan w:val="8"/>
          </w:tcPr>
          <w:p>
            <w:pPr>
              <w:spacing w:after="0"/>
              <w:rPr>
                <w:rFonts w:ascii="Arial" w:cs="Arial" w:eastAsia="Arial" w:hAnsi="Arial"/>
                <w:sz w:val="15"/>
                <w:szCs w:val="15"/>
                <w:color w:val="0000EE"/>
                <w:w w:val="99"/>
              </w:rPr>
            </w:pPr>
            <w:hyperlink r:id="rId432">
              <w:r>
                <w:rPr>
                  <w:rFonts w:ascii="Arial" w:cs="Arial" w:eastAsia="Arial" w:hAnsi="Arial"/>
                  <w:sz w:val="15"/>
                  <w:szCs w:val="15"/>
                  <w:color w:val="0000EE"/>
                  <w:w w:val="99"/>
                </w:rPr>
                <w:t>Amended and Restated Certificate of Incorporation of the registrant, as amended by a certificate of amendment dated</w:t>
              </w:r>
            </w:hyperlink>
          </w:p>
        </w:tc>
        <w:tc>
          <w:tcPr>
            <w:tcW w:w="460" w:type="dxa"/>
            <w:vAlign w:val="bottom"/>
            <w:gridSpan w:val="6"/>
          </w:tcPr>
          <w:p>
            <w:pPr>
              <w:spacing w:after="0"/>
              <w:rPr>
                <w:sz w:val="19"/>
                <w:szCs w:val="19"/>
                <w:color w:val="auto"/>
              </w:rPr>
            </w:pPr>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20" w:type="dxa"/>
            <w:vAlign w:val="bottom"/>
            <w:tcBorders>
              <w:bottom w:val="single" w:sz="8" w:color="0000EE"/>
            </w:tcBorders>
            <w:gridSpan w:val="4"/>
          </w:tcPr>
          <w:p>
            <w:pPr>
              <w:spacing w:after="0" w:line="149" w:lineRule="exact"/>
              <w:rPr>
                <w:rFonts w:ascii="Arial" w:cs="Arial" w:eastAsia="Arial" w:hAnsi="Arial"/>
                <w:sz w:val="15"/>
                <w:szCs w:val="15"/>
                <w:color w:val="0000EE"/>
              </w:rPr>
            </w:pPr>
            <w:hyperlink r:id="rId432">
              <w:r>
                <w:rPr>
                  <w:rFonts w:ascii="Arial" w:cs="Arial" w:eastAsia="Arial" w:hAnsi="Arial"/>
                  <w:sz w:val="15"/>
                  <w:szCs w:val="15"/>
                  <w:color w:val="0000EE"/>
                </w:rPr>
                <w:t>November 30, 2020, as currently in effect.</w:t>
              </w:r>
            </w:hyperlink>
          </w:p>
        </w:tc>
        <w:tc>
          <w:tcPr>
            <w:tcW w:w="5440" w:type="dxa"/>
            <w:vAlign w:val="bottom"/>
            <w:gridSpan w:val="10"/>
          </w:tcPr>
          <w:p>
            <w:pPr>
              <w:spacing w:after="0"/>
              <w:rPr>
                <w:sz w:val="12"/>
                <w:szCs w:val="12"/>
                <w:color w:val="auto"/>
              </w:rPr>
            </w:pPr>
          </w:p>
        </w:tc>
      </w:tr>
      <w:tr>
        <w:trPr>
          <w:trHeight w:val="272"/>
        </w:trPr>
        <w:tc>
          <w:tcPr>
            <w:tcW w:w="460" w:type="dxa"/>
            <w:vAlign w:val="bottom"/>
          </w:tcPr>
          <w:p>
            <w:pPr>
              <w:jc w:val="center"/>
              <w:spacing w:after="0"/>
              <w:rPr>
                <w:sz w:val="20"/>
                <w:szCs w:val="20"/>
                <w:color w:val="auto"/>
              </w:rPr>
            </w:pPr>
            <w:r>
              <w:rPr>
                <w:rFonts w:ascii="Arial" w:cs="Arial" w:eastAsia="Arial" w:hAnsi="Arial"/>
                <w:sz w:val="15"/>
                <w:szCs w:val="15"/>
                <w:color w:val="auto"/>
                <w:w w:val="95"/>
              </w:rPr>
              <w:t>3.2#</w:t>
            </w:r>
          </w:p>
        </w:tc>
        <w:tc>
          <w:tcPr>
            <w:tcW w:w="480" w:type="dxa"/>
            <w:vAlign w:val="bottom"/>
          </w:tcPr>
          <w:p>
            <w:pPr>
              <w:spacing w:after="0"/>
              <w:rPr>
                <w:sz w:val="23"/>
                <w:szCs w:val="23"/>
                <w:color w:val="auto"/>
              </w:rPr>
            </w:pPr>
          </w:p>
        </w:tc>
        <w:tc>
          <w:tcPr>
            <w:tcW w:w="8260" w:type="dxa"/>
            <w:vAlign w:val="bottom"/>
            <w:gridSpan w:val="14"/>
          </w:tcPr>
          <w:p>
            <w:pPr>
              <w:spacing w:after="0"/>
              <w:rPr>
                <w:rFonts w:ascii="Arial" w:cs="Arial" w:eastAsia="Arial" w:hAnsi="Arial"/>
                <w:sz w:val="15"/>
                <w:szCs w:val="15"/>
                <w:u w:val="single" w:color="auto"/>
                <w:color w:val="0000EE"/>
              </w:rPr>
            </w:pPr>
            <w:hyperlink r:id="rId433">
              <w:r>
                <w:rPr>
                  <w:rFonts w:ascii="Arial" w:cs="Arial" w:eastAsia="Arial" w:hAnsi="Arial"/>
                  <w:sz w:val="15"/>
                  <w:szCs w:val="15"/>
                  <w:u w:val="single" w:color="auto"/>
                  <w:color w:val="0000EE"/>
                </w:rPr>
                <w:t>Form of Amended and Restated Certificate of Incorporation of the registrant, to be in effect upon completion of this offering.</w:t>
              </w:r>
            </w:hyperlink>
          </w:p>
        </w:tc>
      </w:tr>
      <w:tr>
        <w:trPr>
          <w:trHeight w:val="259"/>
        </w:trPr>
        <w:tc>
          <w:tcPr>
            <w:tcW w:w="460" w:type="dxa"/>
            <w:vAlign w:val="bottom"/>
          </w:tcPr>
          <w:p>
            <w:pPr>
              <w:jc w:val="center"/>
              <w:spacing w:after="0"/>
              <w:rPr>
                <w:sz w:val="20"/>
                <w:szCs w:val="20"/>
                <w:color w:val="auto"/>
              </w:rPr>
            </w:pPr>
            <w:r>
              <w:rPr>
                <w:rFonts w:ascii="Arial" w:cs="Arial" w:eastAsia="Arial" w:hAnsi="Arial"/>
                <w:sz w:val="15"/>
                <w:szCs w:val="15"/>
                <w:color w:val="auto"/>
                <w:w w:val="95"/>
              </w:rPr>
              <w:t>3.3#</w:t>
            </w:r>
          </w:p>
        </w:tc>
        <w:tc>
          <w:tcPr>
            <w:tcW w:w="480" w:type="dxa"/>
            <w:vAlign w:val="bottom"/>
          </w:tcPr>
          <w:p>
            <w:pPr>
              <w:spacing w:after="0"/>
              <w:rPr>
                <w:sz w:val="22"/>
                <w:szCs w:val="22"/>
                <w:color w:val="auto"/>
              </w:rPr>
            </w:pPr>
          </w:p>
        </w:tc>
        <w:tc>
          <w:tcPr>
            <w:tcW w:w="8260" w:type="dxa"/>
            <w:vAlign w:val="bottom"/>
            <w:gridSpan w:val="14"/>
          </w:tcPr>
          <w:p>
            <w:pPr>
              <w:spacing w:after="0"/>
              <w:rPr>
                <w:rFonts w:ascii="Arial" w:cs="Arial" w:eastAsia="Arial" w:hAnsi="Arial"/>
                <w:sz w:val="15"/>
                <w:szCs w:val="15"/>
                <w:color w:val="0000EE"/>
              </w:rPr>
            </w:pPr>
            <w:hyperlink r:id="rId434">
              <w:r>
                <w:rPr>
                  <w:rFonts w:ascii="Arial" w:cs="Arial" w:eastAsia="Arial" w:hAnsi="Arial"/>
                  <w:sz w:val="15"/>
                  <w:szCs w:val="15"/>
                  <w:u w:val="single" w:color="auto"/>
                  <w:color w:val="0000EE"/>
                </w:rPr>
                <w:t>Bylaws of the registrant, as amended, as currently in effect</w:t>
              </w:r>
              <w:r>
                <w:rPr>
                  <w:rFonts w:ascii="Arial" w:cs="Arial" w:eastAsia="Arial" w:hAnsi="Arial"/>
                  <w:sz w:val="15"/>
                  <w:szCs w:val="15"/>
                  <w:color w:val="0000EE"/>
                </w:rPr>
                <w:t>.</w:t>
              </w:r>
            </w:hyperlink>
          </w:p>
        </w:tc>
      </w:tr>
      <w:tr>
        <w:trPr>
          <w:trHeight w:val="259"/>
        </w:trPr>
        <w:tc>
          <w:tcPr>
            <w:tcW w:w="460" w:type="dxa"/>
            <w:vAlign w:val="bottom"/>
          </w:tcPr>
          <w:p>
            <w:pPr>
              <w:jc w:val="center"/>
              <w:spacing w:after="0"/>
              <w:rPr>
                <w:sz w:val="20"/>
                <w:szCs w:val="20"/>
                <w:color w:val="auto"/>
              </w:rPr>
            </w:pPr>
            <w:r>
              <w:rPr>
                <w:rFonts w:ascii="Arial" w:cs="Arial" w:eastAsia="Arial" w:hAnsi="Arial"/>
                <w:sz w:val="15"/>
                <w:szCs w:val="15"/>
                <w:color w:val="auto"/>
                <w:w w:val="95"/>
              </w:rPr>
              <w:t>3.4#</w:t>
            </w:r>
          </w:p>
        </w:tc>
        <w:tc>
          <w:tcPr>
            <w:tcW w:w="480" w:type="dxa"/>
            <w:vAlign w:val="bottom"/>
          </w:tcPr>
          <w:p>
            <w:pPr>
              <w:spacing w:after="0"/>
              <w:rPr>
                <w:sz w:val="22"/>
                <w:szCs w:val="22"/>
                <w:color w:val="auto"/>
              </w:rPr>
            </w:pPr>
          </w:p>
        </w:tc>
        <w:tc>
          <w:tcPr>
            <w:tcW w:w="8260" w:type="dxa"/>
            <w:vAlign w:val="bottom"/>
            <w:gridSpan w:val="14"/>
          </w:tcPr>
          <w:p>
            <w:pPr>
              <w:spacing w:after="0"/>
              <w:rPr>
                <w:rFonts w:ascii="Arial" w:cs="Arial" w:eastAsia="Arial" w:hAnsi="Arial"/>
                <w:sz w:val="15"/>
                <w:szCs w:val="15"/>
                <w:color w:val="0000EE"/>
              </w:rPr>
            </w:pPr>
            <w:hyperlink r:id="rId435">
              <w:r>
                <w:rPr>
                  <w:rFonts w:ascii="Arial" w:cs="Arial" w:eastAsia="Arial" w:hAnsi="Arial"/>
                  <w:sz w:val="15"/>
                  <w:szCs w:val="15"/>
                  <w:u w:val="single" w:color="auto"/>
                  <w:color w:val="0000EE"/>
                </w:rPr>
                <w:t>Form of Amended and Restated Bylaws of the registrant, to be in effect upon completion of this offering</w:t>
              </w:r>
              <w:r>
                <w:rPr>
                  <w:rFonts w:ascii="Arial" w:cs="Arial" w:eastAsia="Arial" w:hAnsi="Arial"/>
                  <w:sz w:val="15"/>
                  <w:szCs w:val="15"/>
                  <w:color w:val="0000EE"/>
                </w:rPr>
                <w:t>.</w:t>
              </w:r>
            </w:hyperlink>
          </w:p>
        </w:tc>
      </w:tr>
      <w:tr>
        <w:trPr>
          <w:trHeight w:val="259"/>
        </w:trPr>
        <w:tc>
          <w:tcPr>
            <w:tcW w:w="46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480" w:type="dxa"/>
            <w:vAlign w:val="bottom"/>
          </w:tcPr>
          <w:p>
            <w:pPr>
              <w:spacing w:after="0"/>
              <w:rPr>
                <w:sz w:val="22"/>
                <w:szCs w:val="22"/>
                <w:color w:val="auto"/>
              </w:rPr>
            </w:pPr>
          </w:p>
        </w:tc>
        <w:tc>
          <w:tcPr>
            <w:tcW w:w="8260" w:type="dxa"/>
            <w:vAlign w:val="bottom"/>
            <w:gridSpan w:val="14"/>
          </w:tcPr>
          <w:p>
            <w:pPr>
              <w:spacing w:after="0"/>
              <w:rPr>
                <w:rFonts w:ascii="Arial" w:cs="Arial" w:eastAsia="Arial" w:hAnsi="Arial"/>
                <w:sz w:val="15"/>
                <w:szCs w:val="15"/>
                <w:u w:val="single" w:color="auto"/>
                <w:color w:val="0000EE"/>
              </w:rPr>
            </w:pPr>
            <w:hyperlink r:id="rId436">
              <w:r>
                <w:rPr>
                  <w:rFonts w:ascii="Arial" w:cs="Arial" w:eastAsia="Arial" w:hAnsi="Arial"/>
                  <w:sz w:val="15"/>
                  <w:szCs w:val="15"/>
                  <w:u w:val="single" w:color="auto"/>
                  <w:color w:val="0000EE"/>
                </w:rPr>
                <w:t>Form of common stock certificate of the registrant.</w:t>
              </w:r>
            </w:hyperlink>
          </w:p>
        </w:tc>
      </w:tr>
      <w:tr>
        <w:trPr>
          <w:trHeight w:val="226"/>
        </w:trPr>
        <w:tc>
          <w:tcPr>
            <w:tcW w:w="46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480" w:type="dxa"/>
            <w:vAlign w:val="bottom"/>
          </w:tcPr>
          <w:p>
            <w:pPr>
              <w:spacing w:after="0"/>
              <w:rPr>
                <w:sz w:val="19"/>
                <w:szCs w:val="19"/>
                <w:color w:val="auto"/>
              </w:rPr>
            </w:pPr>
          </w:p>
        </w:tc>
        <w:tc>
          <w:tcPr>
            <w:tcW w:w="8180" w:type="dxa"/>
            <w:vAlign w:val="bottom"/>
            <w:tcBorders>
              <w:bottom w:val="single" w:sz="8" w:color="0000EE"/>
            </w:tcBorders>
            <w:gridSpan w:val="12"/>
          </w:tcPr>
          <w:p>
            <w:pPr>
              <w:spacing w:after="0"/>
              <w:rPr>
                <w:rFonts w:ascii="Arial" w:cs="Arial" w:eastAsia="Arial" w:hAnsi="Arial"/>
                <w:sz w:val="15"/>
                <w:szCs w:val="15"/>
                <w:color w:val="0000EE"/>
                <w:w w:val="99"/>
              </w:rPr>
            </w:pPr>
            <w:hyperlink r:id="rId437">
              <w:r>
                <w:rPr>
                  <w:rFonts w:ascii="Arial" w:cs="Arial" w:eastAsia="Arial" w:hAnsi="Arial"/>
                  <w:sz w:val="15"/>
                  <w:szCs w:val="15"/>
                  <w:color w:val="0000EE"/>
                  <w:w w:val="99"/>
                </w:rPr>
                <w:t>Amended and Restated Investors’ Rights Agreement among the registrant and certain holders of its capital stock, amended</w:t>
              </w:r>
            </w:hyperlink>
          </w:p>
        </w:tc>
        <w:tc>
          <w:tcPr>
            <w:tcW w:w="80" w:type="dxa"/>
            <w:vAlign w:val="bottom"/>
            <w:gridSpan w:val="2"/>
          </w:tcPr>
          <w:p>
            <w:pPr>
              <w:spacing w:after="0"/>
              <w:rPr>
                <w:sz w:val="19"/>
                <w:szCs w:val="19"/>
                <w:color w:val="auto"/>
              </w:rPr>
            </w:pPr>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tcBorders>
              <w:bottom w:val="single" w:sz="8" w:color="0000EE"/>
            </w:tcBorders>
          </w:tcPr>
          <w:p>
            <w:pPr>
              <w:spacing w:after="0" w:line="149" w:lineRule="exact"/>
              <w:rPr>
                <w:rFonts w:ascii="Arial" w:cs="Arial" w:eastAsia="Arial" w:hAnsi="Arial"/>
                <w:sz w:val="15"/>
                <w:szCs w:val="15"/>
                <w:color w:val="0000EE"/>
                <w:w w:val="98"/>
              </w:rPr>
            </w:pPr>
            <w:hyperlink r:id="rId437">
              <w:r>
                <w:rPr>
                  <w:rFonts w:ascii="Arial" w:cs="Arial" w:eastAsia="Arial" w:hAnsi="Arial"/>
                  <w:sz w:val="15"/>
                  <w:szCs w:val="15"/>
                  <w:color w:val="0000EE"/>
                  <w:w w:val="98"/>
                </w:rPr>
                <w:t>as of December 31, 2018.</w:t>
              </w:r>
            </w:hyperlink>
          </w:p>
        </w:tc>
        <w:tc>
          <w:tcPr>
            <w:tcW w:w="6540" w:type="dxa"/>
            <w:vAlign w:val="bottom"/>
            <w:gridSpan w:val="13"/>
          </w:tcPr>
          <w:p>
            <w:pPr>
              <w:spacing w:after="0"/>
              <w:rPr>
                <w:sz w:val="12"/>
                <w:szCs w:val="12"/>
                <w:color w:val="auto"/>
              </w:rPr>
            </w:pPr>
          </w:p>
        </w:tc>
      </w:tr>
      <w:tr>
        <w:trPr>
          <w:trHeight w:val="272"/>
        </w:trPr>
        <w:tc>
          <w:tcPr>
            <w:tcW w:w="460" w:type="dxa"/>
            <w:vAlign w:val="bottom"/>
          </w:tcPr>
          <w:p>
            <w:pPr>
              <w:jc w:val="center"/>
              <w:spacing w:after="0"/>
              <w:rPr>
                <w:sz w:val="20"/>
                <w:szCs w:val="20"/>
                <w:color w:val="auto"/>
              </w:rPr>
            </w:pPr>
            <w:r>
              <w:rPr>
                <w:rFonts w:ascii="Arial" w:cs="Arial" w:eastAsia="Arial" w:hAnsi="Arial"/>
                <w:sz w:val="15"/>
                <w:szCs w:val="15"/>
                <w:color w:val="auto"/>
                <w:w w:val="95"/>
              </w:rPr>
              <w:t>4.3#</w:t>
            </w:r>
          </w:p>
        </w:tc>
        <w:tc>
          <w:tcPr>
            <w:tcW w:w="480" w:type="dxa"/>
            <w:vAlign w:val="bottom"/>
          </w:tcPr>
          <w:p>
            <w:pPr>
              <w:spacing w:after="0"/>
              <w:rPr>
                <w:sz w:val="23"/>
                <w:szCs w:val="23"/>
                <w:color w:val="auto"/>
              </w:rPr>
            </w:pPr>
          </w:p>
        </w:tc>
        <w:tc>
          <w:tcPr>
            <w:tcW w:w="8260" w:type="dxa"/>
            <w:vAlign w:val="bottom"/>
            <w:gridSpan w:val="14"/>
          </w:tcPr>
          <w:p>
            <w:pPr>
              <w:spacing w:after="0"/>
              <w:rPr>
                <w:rFonts w:ascii="Arial" w:cs="Arial" w:eastAsia="Arial" w:hAnsi="Arial"/>
                <w:sz w:val="15"/>
                <w:szCs w:val="15"/>
                <w:u w:val="single" w:color="auto"/>
                <w:color w:val="0000EE"/>
              </w:rPr>
            </w:pPr>
            <w:hyperlink r:id="rId438">
              <w:r>
                <w:rPr>
                  <w:rFonts w:ascii="Arial" w:cs="Arial" w:eastAsia="Arial" w:hAnsi="Arial"/>
                  <w:sz w:val="15"/>
                  <w:szCs w:val="15"/>
                  <w:u w:val="single" w:color="auto"/>
                  <w:color w:val="0000EE"/>
                </w:rPr>
                <w:t>Form of warrant to purchase Series B preferred stock.</w:t>
              </w:r>
            </w:hyperlink>
          </w:p>
        </w:tc>
      </w:tr>
      <w:tr>
        <w:trPr>
          <w:trHeight w:val="259"/>
        </w:trPr>
        <w:tc>
          <w:tcPr>
            <w:tcW w:w="46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480" w:type="dxa"/>
            <w:vAlign w:val="bottom"/>
          </w:tcPr>
          <w:p>
            <w:pPr>
              <w:spacing w:after="0"/>
              <w:rPr>
                <w:sz w:val="22"/>
                <w:szCs w:val="22"/>
                <w:color w:val="auto"/>
              </w:rPr>
            </w:pPr>
          </w:p>
        </w:tc>
        <w:tc>
          <w:tcPr>
            <w:tcW w:w="8260" w:type="dxa"/>
            <w:vAlign w:val="bottom"/>
            <w:gridSpan w:val="14"/>
          </w:tcPr>
          <w:p>
            <w:pPr>
              <w:spacing w:after="0"/>
              <w:rPr>
                <w:rFonts w:ascii="Arial" w:cs="Arial" w:eastAsia="Arial" w:hAnsi="Arial"/>
                <w:sz w:val="15"/>
                <w:szCs w:val="15"/>
                <w:u w:val="single" w:color="auto"/>
                <w:color w:val="0000EE"/>
              </w:rPr>
            </w:pPr>
            <w:hyperlink r:id="rId439">
              <w:r>
                <w:rPr>
                  <w:rFonts w:ascii="Arial" w:cs="Arial" w:eastAsia="Arial" w:hAnsi="Arial"/>
                  <w:sz w:val="15"/>
                  <w:szCs w:val="15"/>
                  <w:u w:val="single" w:color="auto"/>
                  <w:color w:val="0000EE"/>
                </w:rPr>
                <w:t>Form of warrant to purchase common stock.</w:t>
              </w:r>
            </w:hyperlink>
          </w:p>
        </w:tc>
      </w:tr>
      <w:tr>
        <w:trPr>
          <w:trHeight w:val="259"/>
        </w:trPr>
        <w:tc>
          <w:tcPr>
            <w:tcW w:w="460" w:type="dxa"/>
            <w:vAlign w:val="bottom"/>
          </w:tcPr>
          <w:p>
            <w:pPr>
              <w:jc w:val="center"/>
              <w:spacing w:after="0"/>
              <w:rPr>
                <w:sz w:val="20"/>
                <w:szCs w:val="20"/>
                <w:color w:val="auto"/>
              </w:rPr>
            </w:pPr>
            <w:r>
              <w:rPr>
                <w:rFonts w:ascii="Arial" w:cs="Arial" w:eastAsia="Arial" w:hAnsi="Arial"/>
                <w:sz w:val="15"/>
                <w:szCs w:val="15"/>
                <w:color w:val="auto"/>
                <w:w w:val="95"/>
              </w:rPr>
              <w:t>5.1#</w:t>
            </w:r>
          </w:p>
        </w:tc>
        <w:tc>
          <w:tcPr>
            <w:tcW w:w="480" w:type="dxa"/>
            <w:vAlign w:val="bottom"/>
          </w:tcPr>
          <w:p>
            <w:pPr>
              <w:spacing w:after="0"/>
              <w:rPr>
                <w:sz w:val="22"/>
                <w:szCs w:val="22"/>
                <w:color w:val="auto"/>
              </w:rPr>
            </w:pPr>
          </w:p>
        </w:tc>
        <w:tc>
          <w:tcPr>
            <w:tcW w:w="8260" w:type="dxa"/>
            <w:vAlign w:val="bottom"/>
            <w:gridSpan w:val="14"/>
          </w:tcPr>
          <w:p>
            <w:pPr>
              <w:spacing w:after="0"/>
              <w:rPr>
                <w:rFonts w:ascii="Arial" w:cs="Arial" w:eastAsia="Arial" w:hAnsi="Arial"/>
                <w:sz w:val="15"/>
                <w:szCs w:val="15"/>
                <w:u w:val="single" w:color="auto"/>
                <w:color w:val="0000EE"/>
              </w:rPr>
            </w:pPr>
            <w:hyperlink r:id="rId440">
              <w:r>
                <w:rPr>
                  <w:rFonts w:ascii="Arial" w:cs="Arial" w:eastAsia="Arial" w:hAnsi="Arial"/>
                  <w:sz w:val="15"/>
                  <w:szCs w:val="15"/>
                  <w:u w:val="single" w:color="auto"/>
                  <w:color w:val="0000EE"/>
                </w:rPr>
                <w:t>Opinion of Wilson Sonsini Goodrich &amp; Rosati, P.C.</w:t>
              </w:r>
            </w:hyperlink>
          </w:p>
        </w:tc>
      </w:tr>
      <w:tr>
        <w:trPr>
          <w:trHeight w:val="259"/>
        </w:trPr>
        <w:tc>
          <w:tcPr>
            <w:tcW w:w="940" w:type="dxa"/>
            <w:vAlign w:val="bottom"/>
            <w:gridSpan w:val="2"/>
          </w:tcPr>
          <w:p>
            <w:pPr>
              <w:jc w:val="center"/>
              <w:ind w:right="460"/>
              <w:spacing w:after="0"/>
              <w:rPr>
                <w:sz w:val="20"/>
                <w:szCs w:val="20"/>
                <w:color w:val="auto"/>
              </w:rPr>
            </w:pPr>
            <w:r>
              <w:rPr>
                <w:rFonts w:ascii="Arial" w:cs="Arial" w:eastAsia="Arial" w:hAnsi="Arial"/>
                <w:sz w:val="15"/>
                <w:szCs w:val="15"/>
                <w:color w:val="auto"/>
              </w:rPr>
              <w:t>10.1+#</w:t>
            </w:r>
          </w:p>
        </w:tc>
        <w:tc>
          <w:tcPr>
            <w:tcW w:w="8260" w:type="dxa"/>
            <w:vAlign w:val="bottom"/>
            <w:gridSpan w:val="14"/>
          </w:tcPr>
          <w:p>
            <w:pPr>
              <w:spacing w:after="0"/>
              <w:rPr>
                <w:rFonts w:ascii="Arial" w:cs="Arial" w:eastAsia="Arial" w:hAnsi="Arial"/>
                <w:sz w:val="15"/>
                <w:szCs w:val="15"/>
                <w:u w:val="single" w:color="auto"/>
                <w:color w:val="0000EE"/>
              </w:rPr>
            </w:pPr>
            <w:hyperlink r:id="rId441">
              <w:r>
                <w:rPr>
                  <w:rFonts w:ascii="Arial" w:cs="Arial" w:eastAsia="Arial" w:hAnsi="Arial"/>
                  <w:sz w:val="15"/>
                  <w:szCs w:val="15"/>
                  <w:u w:val="single" w:color="auto"/>
                  <w:color w:val="0000EE"/>
                </w:rPr>
                <w:t>Form of Indemnification Agreement between the registrant and each of its directors and executive officers.</w:t>
              </w:r>
            </w:hyperlink>
          </w:p>
        </w:tc>
      </w:tr>
      <w:tr>
        <w:trPr>
          <w:trHeight w:val="259"/>
        </w:trPr>
        <w:tc>
          <w:tcPr>
            <w:tcW w:w="940" w:type="dxa"/>
            <w:vAlign w:val="bottom"/>
            <w:gridSpan w:val="2"/>
          </w:tcPr>
          <w:p>
            <w:pPr>
              <w:jc w:val="center"/>
              <w:ind w:right="460"/>
              <w:spacing w:after="0"/>
              <w:rPr>
                <w:sz w:val="20"/>
                <w:szCs w:val="20"/>
                <w:color w:val="auto"/>
              </w:rPr>
            </w:pPr>
            <w:r>
              <w:rPr>
                <w:rFonts w:ascii="Arial" w:cs="Arial" w:eastAsia="Arial" w:hAnsi="Arial"/>
                <w:sz w:val="15"/>
                <w:szCs w:val="15"/>
                <w:color w:val="auto"/>
              </w:rPr>
              <w:t>10.2+#</w:t>
            </w:r>
          </w:p>
        </w:tc>
        <w:tc>
          <w:tcPr>
            <w:tcW w:w="8260" w:type="dxa"/>
            <w:vAlign w:val="bottom"/>
            <w:gridSpan w:val="14"/>
          </w:tcPr>
          <w:p>
            <w:pPr>
              <w:spacing w:after="0"/>
              <w:rPr>
                <w:rFonts w:ascii="Arial" w:cs="Arial" w:eastAsia="Arial" w:hAnsi="Arial"/>
                <w:sz w:val="15"/>
                <w:szCs w:val="15"/>
                <w:color w:val="0000EE"/>
              </w:rPr>
            </w:pPr>
            <w:hyperlink r:id="rId442">
              <w:r>
                <w:rPr>
                  <w:rFonts w:ascii="Arial" w:cs="Arial" w:eastAsia="Arial" w:hAnsi="Arial"/>
                  <w:sz w:val="15"/>
                  <w:szCs w:val="15"/>
                  <w:u w:val="single" w:color="auto"/>
                  <w:color w:val="0000EE"/>
                </w:rPr>
                <w:t>Upstart Holdings, Inc. 2020 Equity Incentive Plan and related form agreements</w:t>
              </w:r>
              <w:r>
                <w:rPr>
                  <w:rFonts w:ascii="Arial" w:cs="Arial" w:eastAsia="Arial" w:hAnsi="Arial"/>
                  <w:sz w:val="15"/>
                  <w:szCs w:val="15"/>
                  <w:color w:val="0000EE"/>
                </w:rPr>
                <w:t>.</w:t>
              </w:r>
            </w:hyperlink>
          </w:p>
        </w:tc>
      </w:tr>
      <w:tr>
        <w:trPr>
          <w:trHeight w:val="259"/>
        </w:trPr>
        <w:tc>
          <w:tcPr>
            <w:tcW w:w="940" w:type="dxa"/>
            <w:vAlign w:val="bottom"/>
            <w:gridSpan w:val="2"/>
          </w:tcPr>
          <w:p>
            <w:pPr>
              <w:jc w:val="center"/>
              <w:ind w:right="460"/>
              <w:spacing w:after="0"/>
              <w:rPr>
                <w:sz w:val="20"/>
                <w:szCs w:val="20"/>
                <w:color w:val="auto"/>
              </w:rPr>
            </w:pPr>
            <w:r>
              <w:rPr>
                <w:rFonts w:ascii="Arial" w:cs="Arial" w:eastAsia="Arial" w:hAnsi="Arial"/>
                <w:sz w:val="15"/>
                <w:szCs w:val="15"/>
                <w:color w:val="auto"/>
              </w:rPr>
              <w:t>10.3+#</w:t>
            </w:r>
          </w:p>
        </w:tc>
        <w:tc>
          <w:tcPr>
            <w:tcW w:w="8260" w:type="dxa"/>
            <w:vAlign w:val="bottom"/>
            <w:gridSpan w:val="14"/>
          </w:tcPr>
          <w:p>
            <w:pPr>
              <w:spacing w:after="0"/>
              <w:rPr>
                <w:rFonts w:ascii="Arial" w:cs="Arial" w:eastAsia="Arial" w:hAnsi="Arial"/>
                <w:sz w:val="15"/>
                <w:szCs w:val="15"/>
                <w:u w:val="single" w:color="auto"/>
                <w:color w:val="0000EE"/>
              </w:rPr>
            </w:pPr>
            <w:hyperlink r:id="rId443">
              <w:r>
                <w:rPr>
                  <w:rFonts w:ascii="Arial" w:cs="Arial" w:eastAsia="Arial" w:hAnsi="Arial"/>
                  <w:sz w:val="15"/>
                  <w:szCs w:val="15"/>
                  <w:u w:val="single" w:color="auto"/>
                  <w:color w:val="0000EE"/>
                </w:rPr>
                <w:t>Upstart Holdings, Inc. 2012 Stock Plan and related form agreements.</w:t>
              </w:r>
            </w:hyperlink>
          </w:p>
        </w:tc>
      </w:tr>
      <w:tr>
        <w:trPr>
          <w:trHeight w:val="259"/>
        </w:trPr>
        <w:tc>
          <w:tcPr>
            <w:tcW w:w="940" w:type="dxa"/>
            <w:vAlign w:val="bottom"/>
            <w:gridSpan w:val="2"/>
          </w:tcPr>
          <w:p>
            <w:pPr>
              <w:jc w:val="center"/>
              <w:ind w:right="460"/>
              <w:spacing w:after="0"/>
              <w:rPr>
                <w:sz w:val="20"/>
                <w:szCs w:val="20"/>
                <w:color w:val="auto"/>
              </w:rPr>
            </w:pPr>
            <w:r>
              <w:rPr>
                <w:rFonts w:ascii="Arial" w:cs="Arial" w:eastAsia="Arial" w:hAnsi="Arial"/>
                <w:sz w:val="15"/>
                <w:szCs w:val="15"/>
                <w:color w:val="auto"/>
              </w:rPr>
              <w:t>10.4+#</w:t>
            </w:r>
          </w:p>
        </w:tc>
        <w:tc>
          <w:tcPr>
            <w:tcW w:w="8260" w:type="dxa"/>
            <w:vAlign w:val="bottom"/>
            <w:gridSpan w:val="14"/>
          </w:tcPr>
          <w:p>
            <w:pPr>
              <w:spacing w:after="0"/>
              <w:rPr>
                <w:rFonts w:ascii="Arial" w:cs="Arial" w:eastAsia="Arial" w:hAnsi="Arial"/>
                <w:sz w:val="15"/>
                <w:szCs w:val="15"/>
                <w:u w:val="single" w:color="auto"/>
                <w:color w:val="0000EE"/>
              </w:rPr>
            </w:pPr>
            <w:hyperlink r:id="rId444">
              <w:r>
                <w:rPr>
                  <w:rFonts w:ascii="Arial" w:cs="Arial" w:eastAsia="Arial" w:hAnsi="Arial"/>
                  <w:sz w:val="15"/>
                  <w:szCs w:val="15"/>
                  <w:u w:val="single" w:color="auto"/>
                  <w:color w:val="0000EE"/>
                </w:rPr>
                <w:t>Upstart Holdings, Inc. Employee Incentive Compensation Plan.</w:t>
              </w:r>
            </w:hyperlink>
          </w:p>
        </w:tc>
      </w:tr>
      <w:tr>
        <w:trPr>
          <w:trHeight w:val="259"/>
        </w:trPr>
        <w:tc>
          <w:tcPr>
            <w:tcW w:w="940" w:type="dxa"/>
            <w:vAlign w:val="bottom"/>
            <w:gridSpan w:val="2"/>
          </w:tcPr>
          <w:p>
            <w:pPr>
              <w:jc w:val="center"/>
              <w:ind w:right="460"/>
              <w:spacing w:after="0"/>
              <w:rPr>
                <w:sz w:val="20"/>
                <w:szCs w:val="20"/>
                <w:color w:val="auto"/>
              </w:rPr>
            </w:pPr>
            <w:r>
              <w:rPr>
                <w:rFonts w:ascii="Arial" w:cs="Arial" w:eastAsia="Arial" w:hAnsi="Arial"/>
                <w:sz w:val="15"/>
                <w:szCs w:val="15"/>
                <w:color w:val="auto"/>
              </w:rPr>
              <w:t>10.5+#</w:t>
            </w:r>
          </w:p>
        </w:tc>
        <w:tc>
          <w:tcPr>
            <w:tcW w:w="8260" w:type="dxa"/>
            <w:vAlign w:val="bottom"/>
            <w:gridSpan w:val="14"/>
          </w:tcPr>
          <w:p>
            <w:pPr>
              <w:spacing w:after="0"/>
              <w:rPr>
                <w:rFonts w:ascii="Arial" w:cs="Arial" w:eastAsia="Arial" w:hAnsi="Arial"/>
                <w:sz w:val="15"/>
                <w:szCs w:val="15"/>
                <w:u w:val="single" w:color="auto"/>
                <w:color w:val="0000EE"/>
              </w:rPr>
            </w:pPr>
            <w:hyperlink r:id="rId445">
              <w:r>
                <w:rPr>
                  <w:rFonts w:ascii="Arial" w:cs="Arial" w:eastAsia="Arial" w:hAnsi="Arial"/>
                  <w:sz w:val="15"/>
                  <w:szCs w:val="15"/>
                  <w:u w:val="single" w:color="auto"/>
                  <w:color w:val="0000EE"/>
                </w:rPr>
                <w:t>Upstart Holdings, Inc. 2020 Employee Stock Purchase Plan.</w:t>
              </w:r>
            </w:hyperlink>
          </w:p>
        </w:tc>
      </w:tr>
      <w:tr>
        <w:trPr>
          <w:trHeight w:val="259"/>
        </w:trPr>
        <w:tc>
          <w:tcPr>
            <w:tcW w:w="940" w:type="dxa"/>
            <w:vAlign w:val="bottom"/>
            <w:gridSpan w:val="2"/>
          </w:tcPr>
          <w:p>
            <w:pPr>
              <w:jc w:val="center"/>
              <w:ind w:right="460"/>
              <w:spacing w:after="0"/>
              <w:rPr>
                <w:sz w:val="20"/>
                <w:szCs w:val="20"/>
                <w:color w:val="auto"/>
              </w:rPr>
            </w:pPr>
            <w:r>
              <w:rPr>
                <w:rFonts w:ascii="Arial" w:cs="Arial" w:eastAsia="Arial" w:hAnsi="Arial"/>
                <w:sz w:val="15"/>
                <w:szCs w:val="15"/>
                <w:color w:val="auto"/>
              </w:rPr>
              <w:t>10.6+#</w:t>
            </w:r>
          </w:p>
        </w:tc>
        <w:tc>
          <w:tcPr>
            <w:tcW w:w="8260" w:type="dxa"/>
            <w:vAlign w:val="bottom"/>
            <w:gridSpan w:val="14"/>
          </w:tcPr>
          <w:p>
            <w:pPr>
              <w:spacing w:after="0"/>
              <w:rPr>
                <w:rFonts w:ascii="Arial" w:cs="Arial" w:eastAsia="Arial" w:hAnsi="Arial"/>
                <w:sz w:val="15"/>
                <w:szCs w:val="15"/>
                <w:color w:val="0000EE"/>
              </w:rPr>
            </w:pPr>
            <w:hyperlink r:id="rId446">
              <w:r>
                <w:rPr>
                  <w:rFonts w:ascii="Arial" w:cs="Arial" w:eastAsia="Arial" w:hAnsi="Arial"/>
                  <w:sz w:val="15"/>
                  <w:szCs w:val="15"/>
                  <w:u w:val="single" w:color="auto"/>
                  <w:color w:val="0000EE"/>
                </w:rPr>
                <w:t>Upstart Holdings, Inc. Executive Change in Control and Severance Policy and related participation agreements</w:t>
              </w:r>
              <w:r>
                <w:rPr>
                  <w:rFonts w:ascii="Arial" w:cs="Arial" w:eastAsia="Arial" w:hAnsi="Arial"/>
                  <w:sz w:val="15"/>
                  <w:szCs w:val="15"/>
                  <w:color w:val="0000EE"/>
                </w:rPr>
                <w:t>.</w:t>
              </w:r>
            </w:hyperlink>
          </w:p>
        </w:tc>
      </w:tr>
      <w:tr>
        <w:trPr>
          <w:trHeight w:val="259"/>
        </w:trPr>
        <w:tc>
          <w:tcPr>
            <w:tcW w:w="940" w:type="dxa"/>
            <w:vAlign w:val="bottom"/>
            <w:gridSpan w:val="2"/>
          </w:tcPr>
          <w:p>
            <w:pPr>
              <w:jc w:val="center"/>
              <w:ind w:right="460"/>
              <w:spacing w:after="0"/>
              <w:rPr>
                <w:sz w:val="20"/>
                <w:szCs w:val="20"/>
                <w:color w:val="auto"/>
              </w:rPr>
            </w:pPr>
            <w:r>
              <w:rPr>
                <w:rFonts w:ascii="Arial" w:cs="Arial" w:eastAsia="Arial" w:hAnsi="Arial"/>
                <w:sz w:val="15"/>
                <w:szCs w:val="15"/>
                <w:color w:val="auto"/>
              </w:rPr>
              <w:t>10.7+#</w:t>
            </w:r>
          </w:p>
        </w:tc>
        <w:tc>
          <w:tcPr>
            <w:tcW w:w="8260" w:type="dxa"/>
            <w:vAlign w:val="bottom"/>
            <w:gridSpan w:val="14"/>
          </w:tcPr>
          <w:p>
            <w:pPr>
              <w:spacing w:after="0"/>
              <w:rPr>
                <w:rFonts w:ascii="Arial" w:cs="Arial" w:eastAsia="Arial" w:hAnsi="Arial"/>
                <w:sz w:val="15"/>
                <w:szCs w:val="15"/>
                <w:u w:val="single" w:color="auto"/>
                <w:color w:val="0000EE"/>
              </w:rPr>
            </w:pPr>
            <w:hyperlink r:id="rId447">
              <w:r>
                <w:rPr>
                  <w:rFonts w:ascii="Arial" w:cs="Arial" w:eastAsia="Arial" w:hAnsi="Arial"/>
                  <w:sz w:val="15"/>
                  <w:szCs w:val="15"/>
                  <w:u w:val="single" w:color="auto"/>
                  <w:color w:val="0000EE"/>
                </w:rPr>
                <w:t>Upstart Holdings, Inc. Outside Director Compensation Policy.</w:t>
              </w:r>
            </w:hyperlink>
          </w:p>
        </w:tc>
      </w:tr>
      <w:tr>
        <w:trPr>
          <w:trHeight w:val="226"/>
        </w:trPr>
        <w:tc>
          <w:tcPr>
            <w:tcW w:w="460" w:type="dxa"/>
            <w:vAlign w:val="bottom"/>
          </w:tcPr>
          <w:p>
            <w:pPr>
              <w:spacing w:after="0"/>
              <w:rPr>
                <w:sz w:val="20"/>
                <w:szCs w:val="20"/>
                <w:color w:val="auto"/>
              </w:rPr>
            </w:pPr>
            <w:r>
              <w:rPr>
                <w:rFonts w:ascii="Arial" w:cs="Arial" w:eastAsia="Arial" w:hAnsi="Arial"/>
                <w:sz w:val="15"/>
                <w:szCs w:val="15"/>
                <w:color w:val="auto"/>
              </w:rPr>
              <w:t>10.8#</w:t>
            </w:r>
          </w:p>
        </w:tc>
        <w:tc>
          <w:tcPr>
            <w:tcW w:w="480" w:type="dxa"/>
            <w:vAlign w:val="bottom"/>
          </w:tcPr>
          <w:p>
            <w:pPr>
              <w:spacing w:after="0"/>
              <w:rPr>
                <w:sz w:val="19"/>
                <w:szCs w:val="19"/>
                <w:color w:val="auto"/>
              </w:rPr>
            </w:pPr>
          </w:p>
        </w:tc>
        <w:tc>
          <w:tcPr>
            <w:tcW w:w="8260" w:type="dxa"/>
            <w:vAlign w:val="bottom"/>
            <w:gridSpan w:val="14"/>
          </w:tcPr>
          <w:p>
            <w:pPr>
              <w:spacing w:after="0"/>
              <w:rPr>
                <w:rFonts w:ascii="Arial" w:cs="Arial" w:eastAsia="Arial" w:hAnsi="Arial"/>
                <w:sz w:val="15"/>
                <w:szCs w:val="15"/>
                <w:color w:val="0000EE"/>
              </w:rPr>
            </w:pPr>
            <w:hyperlink r:id="rId448">
              <w:r>
                <w:rPr>
                  <w:rFonts w:ascii="Arial" w:cs="Arial" w:eastAsia="Arial" w:hAnsi="Arial"/>
                  <w:sz w:val="15"/>
                  <w:szCs w:val="15"/>
                  <w:color w:val="0000EE"/>
                </w:rPr>
                <w:t>Sub-Sublease Agreement, dated April 1, 2019, between Bay Meadows Station 3 Investors, LLC and Open Text Inc.,</w:t>
              </w:r>
            </w:hyperlink>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80" w:type="dxa"/>
            <w:vAlign w:val="bottom"/>
            <w:tcBorders>
              <w:top w:val="single" w:sz="8" w:color="0000EE"/>
              <w:bottom w:val="single" w:sz="8" w:color="0000EE"/>
            </w:tcBorders>
            <w:gridSpan w:val="3"/>
          </w:tcPr>
          <w:p>
            <w:pPr>
              <w:spacing w:after="0" w:line="149" w:lineRule="exact"/>
              <w:rPr>
                <w:rFonts w:ascii="Arial" w:cs="Arial" w:eastAsia="Arial" w:hAnsi="Arial"/>
                <w:sz w:val="15"/>
                <w:szCs w:val="15"/>
                <w:color w:val="0000EE"/>
                <w:w w:val="99"/>
              </w:rPr>
            </w:pPr>
            <w:hyperlink r:id="rId448">
              <w:r>
                <w:rPr>
                  <w:rFonts w:ascii="Arial" w:cs="Arial" w:eastAsia="Arial" w:hAnsi="Arial"/>
                  <w:sz w:val="15"/>
                  <w:szCs w:val="15"/>
                  <w:color w:val="0000EE"/>
                  <w:w w:val="99"/>
                </w:rPr>
                <w:t>Snowflake, Inc. and Upstart Holdings, Inc.</w:t>
              </w:r>
            </w:hyperlink>
          </w:p>
        </w:tc>
        <w:tc>
          <w:tcPr>
            <w:tcW w:w="4940" w:type="dxa"/>
            <w:vAlign w:val="bottom"/>
            <w:tcBorders>
              <w:top w:val="single" w:sz="8" w:color="0000EE"/>
            </w:tcBorders>
            <w:gridSpan w:val="4"/>
          </w:tcPr>
          <w:p>
            <w:pPr>
              <w:spacing w:after="0"/>
              <w:rPr>
                <w:sz w:val="12"/>
                <w:szCs w:val="12"/>
                <w:color w:val="auto"/>
              </w:rPr>
            </w:pPr>
          </w:p>
        </w:tc>
        <w:tc>
          <w:tcPr>
            <w:tcW w:w="540" w:type="dxa"/>
            <w:vAlign w:val="bottom"/>
            <w:gridSpan w:val="7"/>
          </w:tcPr>
          <w:p>
            <w:pPr>
              <w:spacing w:after="0"/>
              <w:rPr>
                <w:sz w:val="12"/>
                <w:szCs w:val="12"/>
                <w:color w:val="auto"/>
              </w:rPr>
            </w:pPr>
          </w:p>
        </w:tc>
      </w:tr>
      <w:tr>
        <w:trPr>
          <w:trHeight w:val="239"/>
        </w:trPr>
        <w:tc>
          <w:tcPr>
            <w:tcW w:w="460" w:type="dxa"/>
            <w:vAlign w:val="bottom"/>
          </w:tcPr>
          <w:p>
            <w:pPr>
              <w:spacing w:after="0"/>
              <w:rPr>
                <w:sz w:val="20"/>
                <w:szCs w:val="20"/>
                <w:color w:val="auto"/>
              </w:rPr>
            </w:pPr>
            <w:r>
              <w:rPr>
                <w:rFonts w:ascii="Arial" w:cs="Arial" w:eastAsia="Arial" w:hAnsi="Arial"/>
                <w:sz w:val="15"/>
                <w:szCs w:val="15"/>
                <w:color w:val="auto"/>
              </w:rPr>
              <w:t>10.9#</w:t>
            </w:r>
          </w:p>
        </w:tc>
        <w:tc>
          <w:tcPr>
            <w:tcW w:w="480" w:type="dxa"/>
            <w:vAlign w:val="bottom"/>
          </w:tcPr>
          <w:p>
            <w:pPr>
              <w:spacing w:after="0"/>
              <w:rPr>
                <w:sz w:val="20"/>
                <w:szCs w:val="20"/>
                <w:color w:val="auto"/>
              </w:rPr>
            </w:pPr>
          </w:p>
        </w:tc>
        <w:tc>
          <w:tcPr>
            <w:tcW w:w="8260" w:type="dxa"/>
            <w:vAlign w:val="bottom"/>
            <w:gridSpan w:val="14"/>
          </w:tcPr>
          <w:p>
            <w:pPr>
              <w:spacing w:after="0"/>
              <w:rPr>
                <w:rFonts w:ascii="Arial" w:cs="Arial" w:eastAsia="Arial" w:hAnsi="Arial"/>
                <w:sz w:val="15"/>
                <w:szCs w:val="15"/>
                <w:color w:val="0000EE"/>
              </w:rPr>
            </w:pPr>
            <w:hyperlink r:id="rId449">
              <w:r>
                <w:rPr>
                  <w:rFonts w:ascii="Arial" w:cs="Arial" w:eastAsia="Arial" w:hAnsi="Arial"/>
                  <w:sz w:val="15"/>
                  <w:szCs w:val="15"/>
                  <w:color w:val="0000EE"/>
                </w:rPr>
                <w:t>Amended and Restated Loan and Security Agreement, dated September 5, 2018, between Silicon Valley Bank, Upstart</w:t>
              </w:r>
            </w:hyperlink>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80" w:type="dxa"/>
            <w:vAlign w:val="bottom"/>
            <w:tcBorders>
              <w:top w:val="single" w:sz="8" w:color="0000EE"/>
              <w:bottom w:val="single" w:sz="8" w:color="0000EE"/>
            </w:tcBorders>
            <w:gridSpan w:val="9"/>
          </w:tcPr>
          <w:p>
            <w:pPr>
              <w:spacing w:after="0" w:line="149" w:lineRule="exact"/>
              <w:rPr>
                <w:rFonts w:ascii="Arial" w:cs="Arial" w:eastAsia="Arial" w:hAnsi="Arial"/>
                <w:sz w:val="15"/>
                <w:szCs w:val="15"/>
                <w:color w:val="0000EE"/>
                <w:w w:val="99"/>
              </w:rPr>
            </w:pPr>
            <w:hyperlink r:id="rId449">
              <w:r>
                <w:rPr>
                  <w:rFonts w:ascii="Arial" w:cs="Arial" w:eastAsia="Arial" w:hAnsi="Arial"/>
                  <w:sz w:val="15"/>
                  <w:szCs w:val="15"/>
                  <w:color w:val="0000EE"/>
                  <w:w w:val="99"/>
                </w:rPr>
                <w:t>Holdings, Inc. and Upstart Network, Inc. amended as of October 22, 2018, August 14, 2019, June 30, 2020, October 1,</w:t>
              </w:r>
            </w:hyperlink>
          </w:p>
        </w:tc>
        <w:tc>
          <w:tcPr>
            <w:tcW w:w="60" w:type="dxa"/>
            <w:vAlign w:val="bottom"/>
            <w:tcBorders>
              <w:top w:val="single" w:sz="8" w:color="0000EE"/>
            </w:tcBorders>
          </w:tcPr>
          <w:p>
            <w:pPr>
              <w:spacing w:after="0"/>
              <w:rPr>
                <w:sz w:val="12"/>
                <w:szCs w:val="12"/>
                <w:color w:val="auto"/>
              </w:rPr>
            </w:pPr>
          </w:p>
        </w:tc>
        <w:tc>
          <w:tcPr>
            <w:tcW w:w="320" w:type="dxa"/>
            <w:vAlign w:val="bottom"/>
            <w:gridSpan w:val="4"/>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40" w:type="dxa"/>
            <w:vAlign w:val="bottom"/>
            <w:tcBorders>
              <w:bottom w:val="single" w:sz="8" w:color="0000EE"/>
            </w:tcBorders>
            <w:gridSpan w:val="5"/>
          </w:tcPr>
          <w:p>
            <w:pPr>
              <w:spacing w:after="0" w:line="149" w:lineRule="exact"/>
              <w:rPr>
                <w:rFonts w:ascii="Arial" w:cs="Arial" w:eastAsia="Arial" w:hAnsi="Arial"/>
                <w:sz w:val="15"/>
                <w:szCs w:val="15"/>
                <w:color w:val="0000EE"/>
                <w:w w:val="99"/>
              </w:rPr>
            </w:pPr>
            <w:hyperlink r:id="rId449">
              <w:r>
                <w:rPr>
                  <w:rFonts w:ascii="Arial" w:cs="Arial" w:eastAsia="Arial" w:hAnsi="Arial"/>
                  <w:sz w:val="15"/>
                  <w:szCs w:val="15"/>
                  <w:color w:val="0000EE"/>
                  <w:w w:val="99"/>
                </w:rPr>
                <w:t>2020, November 3, 2020 and November 25, 2020.</w:t>
              </w:r>
            </w:hyperlink>
          </w:p>
        </w:tc>
        <w:tc>
          <w:tcPr>
            <w:tcW w:w="4920" w:type="dxa"/>
            <w:vAlign w:val="bottom"/>
            <w:gridSpan w:val="9"/>
          </w:tcPr>
          <w:p>
            <w:pPr>
              <w:spacing w:after="0"/>
              <w:rPr>
                <w:sz w:val="12"/>
                <w:szCs w:val="12"/>
                <w:color w:val="auto"/>
              </w:rPr>
            </w:pPr>
          </w:p>
        </w:tc>
      </w:tr>
      <w:tr>
        <w:trPr>
          <w:trHeight w:val="239"/>
        </w:trPr>
        <w:tc>
          <w:tcPr>
            <w:tcW w:w="460" w:type="dxa"/>
            <w:vAlign w:val="bottom"/>
          </w:tcPr>
          <w:p>
            <w:pPr>
              <w:jc w:val="center"/>
              <w:spacing w:after="0"/>
              <w:rPr>
                <w:sz w:val="20"/>
                <w:szCs w:val="20"/>
                <w:color w:val="auto"/>
              </w:rPr>
            </w:pPr>
            <w:r>
              <w:rPr>
                <w:rFonts w:ascii="Arial" w:cs="Arial" w:eastAsia="Arial" w:hAnsi="Arial"/>
                <w:sz w:val="15"/>
                <w:szCs w:val="15"/>
                <w:color w:val="auto"/>
              </w:rPr>
              <w:t>10.10#</w:t>
            </w:r>
          </w:p>
        </w:tc>
        <w:tc>
          <w:tcPr>
            <w:tcW w:w="480" w:type="dxa"/>
            <w:vAlign w:val="bottom"/>
          </w:tcPr>
          <w:p>
            <w:pPr>
              <w:spacing w:after="0"/>
              <w:rPr>
                <w:sz w:val="20"/>
                <w:szCs w:val="20"/>
                <w:color w:val="auto"/>
              </w:rPr>
            </w:pPr>
          </w:p>
        </w:tc>
        <w:tc>
          <w:tcPr>
            <w:tcW w:w="8180" w:type="dxa"/>
            <w:vAlign w:val="bottom"/>
            <w:tcBorders>
              <w:bottom w:val="single" w:sz="8" w:color="0000EE"/>
            </w:tcBorders>
            <w:gridSpan w:val="12"/>
          </w:tcPr>
          <w:p>
            <w:pPr>
              <w:spacing w:after="0"/>
              <w:rPr>
                <w:rFonts w:ascii="Arial" w:cs="Arial" w:eastAsia="Arial" w:hAnsi="Arial"/>
                <w:sz w:val="15"/>
                <w:szCs w:val="15"/>
                <w:color w:val="0000EE"/>
                <w:w w:val="99"/>
              </w:rPr>
            </w:pPr>
            <w:hyperlink r:id="rId450">
              <w:r>
                <w:rPr>
                  <w:rFonts w:ascii="Arial" w:cs="Arial" w:eastAsia="Arial" w:hAnsi="Arial"/>
                  <w:sz w:val="15"/>
                  <w:szCs w:val="15"/>
                  <w:color w:val="0000EE"/>
                  <w:w w:val="99"/>
                </w:rPr>
                <w:t>Mezzanine Loan and Security Agreement, dated October 22, 2018, between Silicon Valley Bank, Upstart Holdings, Inc. and</w:t>
              </w:r>
            </w:hyperlink>
          </w:p>
        </w:tc>
        <w:tc>
          <w:tcPr>
            <w:tcW w:w="80" w:type="dxa"/>
            <w:vAlign w:val="bottom"/>
            <w:gridSpan w:val="2"/>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80" w:type="dxa"/>
            <w:vAlign w:val="bottom"/>
            <w:tcBorders>
              <w:bottom w:val="single" w:sz="8" w:color="0000EE"/>
            </w:tcBorders>
            <w:gridSpan w:val="6"/>
          </w:tcPr>
          <w:p>
            <w:pPr>
              <w:spacing w:after="0" w:line="149" w:lineRule="exact"/>
              <w:rPr>
                <w:rFonts w:ascii="Arial" w:cs="Arial" w:eastAsia="Arial" w:hAnsi="Arial"/>
                <w:sz w:val="15"/>
                <w:szCs w:val="15"/>
                <w:color w:val="0000EE"/>
                <w:w w:val="99"/>
              </w:rPr>
            </w:pPr>
            <w:hyperlink r:id="rId450">
              <w:r>
                <w:rPr>
                  <w:rFonts w:ascii="Arial" w:cs="Arial" w:eastAsia="Arial" w:hAnsi="Arial"/>
                  <w:sz w:val="15"/>
                  <w:szCs w:val="15"/>
                  <w:color w:val="0000EE"/>
                  <w:w w:val="99"/>
                </w:rPr>
                <w:t>Upstart Network, Inc. amended as of June 30, 2020 and October 1, 2020.</w:t>
              </w:r>
            </w:hyperlink>
          </w:p>
        </w:tc>
        <w:tc>
          <w:tcPr>
            <w:tcW w:w="3380" w:type="dxa"/>
            <w:vAlign w:val="bottom"/>
            <w:gridSpan w:val="8"/>
          </w:tcPr>
          <w:p>
            <w:pPr>
              <w:spacing w:after="0"/>
              <w:rPr>
                <w:sz w:val="12"/>
                <w:szCs w:val="12"/>
                <w:color w:val="auto"/>
              </w:rPr>
            </w:pPr>
          </w:p>
        </w:tc>
      </w:tr>
      <w:tr>
        <w:trPr>
          <w:trHeight w:val="239"/>
        </w:trPr>
        <w:tc>
          <w:tcPr>
            <w:tcW w:w="460" w:type="dxa"/>
            <w:vAlign w:val="bottom"/>
          </w:tcPr>
          <w:p>
            <w:pPr>
              <w:jc w:val="center"/>
              <w:spacing w:after="0"/>
              <w:rPr>
                <w:sz w:val="20"/>
                <w:szCs w:val="20"/>
                <w:color w:val="auto"/>
              </w:rPr>
            </w:pPr>
            <w:r>
              <w:rPr>
                <w:rFonts w:ascii="Arial" w:cs="Arial" w:eastAsia="Arial" w:hAnsi="Arial"/>
                <w:sz w:val="15"/>
                <w:szCs w:val="15"/>
                <w:color w:val="auto"/>
              </w:rPr>
              <w:t>10.11#</w:t>
            </w:r>
          </w:p>
        </w:tc>
        <w:tc>
          <w:tcPr>
            <w:tcW w:w="480" w:type="dxa"/>
            <w:vAlign w:val="bottom"/>
          </w:tcPr>
          <w:p>
            <w:pPr>
              <w:spacing w:after="0"/>
              <w:rPr>
                <w:sz w:val="20"/>
                <w:szCs w:val="20"/>
                <w:color w:val="auto"/>
              </w:rPr>
            </w:pPr>
          </w:p>
        </w:tc>
        <w:tc>
          <w:tcPr>
            <w:tcW w:w="8000" w:type="dxa"/>
            <w:vAlign w:val="bottom"/>
            <w:tcBorders>
              <w:bottom w:val="single" w:sz="8" w:color="0000EE"/>
            </w:tcBorders>
            <w:gridSpan w:val="11"/>
          </w:tcPr>
          <w:p>
            <w:pPr>
              <w:spacing w:after="0"/>
              <w:rPr>
                <w:rFonts w:ascii="Arial" w:cs="Arial" w:eastAsia="Arial" w:hAnsi="Arial"/>
                <w:sz w:val="15"/>
                <w:szCs w:val="15"/>
                <w:color w:val="0000EE"/>
                <w:w w:val="99"/>
              </w:rPr>
            </w:pPr>
            <w:hyperlink r:id="rId451">
              <w:r>
                <w:rPr>
                  <w:rFonts w:ascii="Arial" w:cs="Arial" w:eastAsia="Arial" w:hAnsi="Arial"/>
                  <w:sz w:val="15"/>
                  <w:szCs w:val="15"/>
                  <w:color w:val="0000EE"/>
                  <w:w w:val="99"/>
                </w:rPr>
                <w:t>Amended and Restated Revolving Credit and Security Agreement, dated May 22, 2020, between Upstart Loan Trust and</w:t>
              </w:r>
            </w:hyperlink>
          </w:p>
        </w:tc>
        <w:tc>
          <w:tcPr>
            <w:tcW w:w="260" w:type="dxa"/>
            <w:vAlign w:val="bottom"/>
            <w:gridSpan w:val="3"/>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40" w:type="dxa"/>
            <w:vAlign w:val="bottom"/>
            <w:tcBorders>
              <w:bottom w:val="single" w:sz="8" w:color="0000EE"/>
            </w:tcBorders>
            <w:gridSpan w:val="2"/>
          </w:tcPr>
          <w:p>
            <w:pPr>
              <w:spacing w:after="0" w:line="149" w:lineRule="exact"/>
              <w:rPr>
                <w:rFonts w:ascii="Arial" w:cs="Arial" w:eastAsia="Arial" w:hAnsi="Arial"/>
                <w:sz w:val="15"/>
                <w:szCs w:val="15"/>
                <w:color w:val="0000EE"/>
                <w:w w:val="98"/>
              </w:rPr>
            </w:pPr>
            <w:hyperlink r:id="rId451">
              <w:r>
                <w:rPr>
                  <w:rFonts w:ascii="Arial" w:cs="Arial" w:eastAsia="Arial" w:hAnsi="Arial"/>
                  <w:sz w:val="15"/>
                  <w:szCs w:val="15"/>
                  <w:color w:val="0000EE"/>
                  <w:w w:val="98"/>
                </w:rPr>
                <w:t>Goldman Sachs Bank USA.</w:t>
              </w:r>
            </w:hyperlink>
          </w:p>
        </w:tc>
        <w:tc>
          <w:tcPr>
            <w:tcW w:w="6420" w:type="dxa"/>
            <w:vAlign w:val="bottom"/>
            <w:gridSpan w:val="12"/>
          </w:tcPr>
          <w:p>
            <w:pPr>
              <w:spacing w:after="0"/>
              <w:rPr>
                <w:sz w:val="12"/>
                <w:szCs w:val="12"/>
                <w:color w:val="auto"/>
              </w:rPr>
            </w:pPr>
          </w:p>
        </w:tc>
      </w:tr>
      <w:tr>
        <w:trPr>
          <w:trHeight w:val="239"/>
        </w:trPr>
        <w:tc>
          <w:tcPr>
            <w:tcW w:w="460" w:type="dxa"/>
            <w:vAlign w:val="bottom"/>
          </w:tcPr>
          <w:p>
            <w:pPr>
              <w:jc w:val="center"/>
              <w:spacing w:after="0"/>
              <w:rPr>
                <w:sz w:val="20"/>
                <w:szCs w:val="20"/>
                <w:color w:val="auto"/>
              </w:rPr>
            </w:pPr>
            <w:r>
              <w:rPr>
                <w:rFonts w:ascii="Arial" w:cs="Arial" w:eastAsia="Arial" w:hAnsi="Arial"/>
                <w:sz w:val="15"/>
                <w:szCs w:val="15"/>
                <w:color w:val="auto"/>
              </w:rPr>
              <w:t>10.12#</w:t>
            </w:r>
          </w:p>
        </w:tc>
        <w:tc>
          <w:tcPr>
            <w:tcW w:w="480" w:type="dxa"/>
            <w:vAlign w:val="bottom"/>
          </w:tcPr>
          <w:p>
            <w:pPr>
              <w:spacing w:after="0"/>
              <w:rPr>
                <w:sz w:val="20"/>
                <w:szCs w:val="20"/>
                <w:color w:val="auto"/>
              </w:rPr>
            </w:pPr>
          </w:p>
        </w:tc>
        <w:tc>
          <w:tcPr>
            <w:tcW w:w="8220" w:type="dxa"/>
            <w:vAlign w:val="bottom"/>
            <w:tcBorders>
              <w:bottom w:val="single" w:sz="8" w:color="0000EE"/>
            </w:tcBorders>
            <w:gridSpan w:val="13"/>
          </w:tcPr>
          <w:p>
            <w:pPr>
              <w:spacing w:after="0"/>
              <w:rPr>
                <w:rFonts w:ascii="Arial" w:cs="Arial" w:eastAsia="Arial" w:hAnsi="Arial"/>
                <w:sz w:val="15"/>
                <w:szCs w:val="15"/>
                <w:color w:val="0000EE"/>
              </w:rPr>
            </w:pPr>
            <w:hyperlink r:id="rId452">
              <w:r>
                <w:rPr>
                  <w:rFonts w:ascii="Arial" w:cs="Arial" w:eastAsia="Arial" w:hAnsi="Arial"/>
                  <w:sz w:val="15"/>
                  <w:szCs w:val="15"/>
                  <w:color w:val="0000EE"/>
                </w:rPr>
                <w:t>Revolving Credit and Security Agreement, dated May 23, 2018, between Upstart Warehouse Trust and Deutsche Bank AG,</w:t>
              </w:r>
            </w:hyperlink>
          </w:p>
        </w:tc>
        <w:tc>
          <w:tcPr>
            <w:tcW w:w="40" w:type="dxa"/>
            <w:vAlign w:val="bottom"/>
          </w:tcPr>
          <w:p>
            <w:pPr>
              <w:spacing w:after="0"/>
              <w:rPr>
                <w:sz w:val="20"/>
                <w:szCs w:val="20"/>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60" w:type="dxa"/>
            <w:vAlign w:val="bottom"/>
            <w:gridSpan w:val="14"/>
          </w:tcPr>
          <w:p>
            <w:pPr>
              <w:spacing w:after="0"/>
              <w:rPr>
                <w:rFonts w:ascii="Arial" w:cs="Arial" w:eastAsia="Arial" w:hAnsi="Arial"/>
                <w:sz w:val="15"/>
                <w:szCs w:val="15"/>
                <w:u w:val="single" w:color="auto"/>
                <w:color w:val="0000EE"/>
              </w:rPr>
            </w:pPr>
            <w:hyperlink r:id="rId452">
              <w:r>
                <w:rPr>
                  <w:rFonts w:ascii="Arial" w:cs="Arial" w:eastAsia="Arial" w:hAnsi="Arial"/>
                  <w:sz w:val="15"/>
                  <w:szCs w:val="15"/>
                  <w:u w:val="single" w:color="auto"/>
                  <w:color w:val="0000EE"/>
                </w:rPr>
                <w:t>New York Branch, and Wilmington Savings Fund Society, FSB, amended as of August 3, 2018 and July 10, 2020.</w:t>
              </w:r>
            </w:hyperlink>
          </w:p>
        </w:tc>
      </w:tr>
    </w:tbl>
    <w:p>
      <w:pPr>
        <w:spacing w:after="0" w:line="11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0220"/>
          </w:cols>
          <w:pgMar w:left="320" w:top="407" w:right="1359" w:bottom="1440" w:gutter="0" w:footer="0" w:header="0"/>
        </w:sectPr>
      </w:pPr>
    </w:p>
    <w:bookmarkStart w:id="310" w:name="page311"/>
    <w:bookmarkEnd w:id="3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Exhibit</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Number</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5060" w:type="dxa"/>
            <w:vAlign w:val="bottom"/>
            <w:tcBorders>
              <w:bottom w:val="single" w:sz="8" w:color="auto"/>
            </w:tcBorders>
            <w:gridSpan w:val="8"/>
          </w:tcPr>
          <w:p>
            <w:pPr>
              <w:ind w:left="600"/>
              <w:spacing w:after="0"/>
              <w:rPr>
                <w:sz w:val="20"/>
                <w:szCs w:val="20"/>
                <w:color w:val="auto"/>
              </w:rPr>
            </w:pPr>
            <w:r>
              <w:rPr>
                <w:rFonts w:ascii="Arial" w:cs="Arial" w:eastAsia="Arial" w:hAnsi="Arial"/>
                <w:sz w:val="12"/>
                <w:szCs w:val="12"/>
                <w:b w:val="1"/>
                <w:bCs w:val="1"/>
                <w:color w:val="auto"/>
              </w:rPr>
              <w:t>Description</w:t>
            </w:r>
          </w:p>
        </w:tc>
      </w:tr>
      <w:tr>
        <w:trPr>
          <w:trHeight w:val="225"/>
        </w:trPr>
        <w:tc>
          <w:tcPr>
            <w:tcW w:w="940" w:type="dxa"/>
            <w:vAlign w:val="bottom"/>
            <w:gridSpan w:val="2"/>
          </w:tcPr>
          <w:p>
            <w:pPr>
              <w:spacing w:after="0"/>
              <w:rPr>
                <w:sz w:val="20"/>
                <w:szCs w:val="20"/>
                <w:color w:val="auto"/>
              </w:rPr>
            </w:pPr>
            <w:r>
              <w:rPr>
                <w:rFonts w:ascii="Arial" w:cs="Arial" w:eastAsia="Arial" w:hAnsi="Arial"/>
                <w:sz w:val="15"/>
                <w:szCs w:val="15"/>
                <w:color w:val="auto"/>
              </w:rPr>
              <w:t>10.13#^</w:t>
            </w:r>
          </w:p>
        </w:tc>
        <w:tc>
          <w:tcPr>
            <w:tcW w:w="8260" w:type="dxa"/>
            <w:vAlign w:val="bottom"/>
            <w:gridSpan w:val="11"/>
          </w:tcPr>
          <w:p>
            <w:pPr>
              <w:spacing w:after="0"/>
              <w:rPr>
                <w:rFonts w:ascii="Arial" w:cs="Arial" w:eastAsia="Arial" w:hAnsi="Arial"/>
                <w:sz w:val="15"/>
                <w:szCs w:val="15"/>
                <w:color w:val="0000EE"/>
              </w:rPr>
            </w:pPr>
            <w:hyperlink r:id="rId454">
              <w:r>
                <w:rPr>
                  <w:rFonts w:ascii="Arial" w:cs="Arial" w:eastAsia="Arial" w:hAnsi="Arial"/>
                  <w:sz w:val="15"/>
                  <w:szCs w:val="15"/>
                  <w:color w:val="0000EE"/>
                </w:rPr>
                <w:t>Third Amended and Restated Loan Program Agreement, dated January 1, 2019, between Upstart Network, Inc. and Cross</w:t>
              </w:r>
            </w:hyperlink>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60" w:type="dxa"/>
            <w:vAlign w:val="bottom"/>
            <w:tcBorders>
              <w:top w:val="single" w:sz="8" w:color="0000EE"/>
              <w:bottom w:val="single" w:sz="8" w:color="0000EE"/>
            </w:tcBorders>
            <w:gridSpan w:val="5"/>
          </w:tcPr>
          <w:p>
            <w:pPr>
              <w:spacing w:after="0" w:line="149" w:lineRule="exact"/>
              <w:rPr>
                <w:rFonts w:ascii="Arial" w:cs="Arial" w:eastAsia="Arial" w:hAnsi="Arial"/>
                <w:sz w:val="15"/>
                <w:szCs w:val="15"/>
                <w:color w:val="0000EE"/>
                <w:w w:val="99"/>
              </w:rPr>
            </w:pPr>
            <w:hyperlink r:id="rId454">
              <w:r>
                <w:rPr>
                  <w:rFonts w:ascii="Arial" w:cs="Arial" w:eastAsia="Arial" w:hAnsi="Arial"/>
                  <w:sz w:val="15"/>
                  <w:szCs w:val="15"/>
                  <w:color w:val="0000EE"/>
                  <w:w w:val="99"/>
                </w:rPr>
                <w:t>River Bank, amended as of November 20, 2019 and November 25, 2020.</w:t>
              </w:r>
            </w:hyperlink>
          </w:p>
        </w:tc>
        <w:tc>
          <w:tcPr>
            <w:tcW w:w="3300" w:type="dxa"/>
            <w:vAlign w:val="bottom"/>
            <w:tcBorders>
              <w:top w:val="single" w:sz="8" w:color="0000EE"/>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39"/>
        </w:trPr>
        <w:tc>
          <w:tcPr>
            <w:tcW w:w="940" w:type="dxa"/>
            <w:vAlign w:val="bottom"/>
            <w:gridSpan w:val="2"/>
          </w:tcPr>
          <w:p>
            <w:pPr>
              <w:spacing w:after="0"/>
              <w:rPr>
                <w:sz w:val="20"/>
                <w:szCs w:val="20"/>
                <w:color w:val="auto"/>
              </w:rPr>
            </w:pPr>
            <w:r>
              <w:rPr>
                <w:rFonts w:ascii="Arial" w:cs="Arial" w:eastAsia="Arial" w:hAnsi="Arial"/>
                <w:sz w:val="15"/>
                <w:szCs w:val="15"/>
                <w:color w:val="auto"/>
              </w:rPr>
              <w:t>10.14#^</w:t>
            </w:r>
          </w:p>
        </w:tc>
        <w:tc>
          <w:tcPr>
            <w:tcW w:w="8260" w:type="dxa"/>
            <w:vAlign w:val="bottom"/>
            <w:gridSpan w:val="11"/>
          </w:tcPr>
          <w:p>
            <w:pPr>
              <w:spacing w:after="0"/>
              <w:rPr>
                <w:rFonts w:ascii="Arial" w:cs="Arial" w:eastAsia="Arial" w:hAnsi="Arial"/>
                <w:sz w:val="15"/>
                <w:szCs w:val="15"/>
                <w:color w:val="0000EE"/>
              </w:rPr>
            </w:pPr>
            <w:hyperlink r:id="rId455">
              <w:r>
                <w:rPr>
                  <w:rFonts w:ascii="Arial" w:cs="Arial" w:eastAsia="Arial" w:hAnsi="Arial"/>
                  <w:sz w:val="15"/>
                  <w:szCs w:val="15"/>
                  <w:color w:val="0000EE"/>
                </w:rPr>
                <w:t>Third Amended and Restated Loan Sale Agreement, dated January 1, 2019, between Upstart Network, Inc. and Cross</w:t>
              </w:r>
            </w:hyperlink>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80" w:type="dxa"/>
            <w:vAlign w:val="bottom"/>
            <w:tcBorders>
              <w:top w:val="single" w:sz="8" w:color="0000EE"/>
            </w:tcBorders>
            <w:gridSpan w:val="7"/>
          </w:tcPr>
          <w:p>
            <w:pPr>
              <w:spacing w:after="0" w:line="149" w:lineRule="exact"/>
              <w:rPr>
                <w:rFonts w:ascii="Arial" w:cs="Arial" w:eastAsia="Arial" w:hAnsi="Arial"/>
                <w:sz w:val="15"/>
                <w:szCs w:val="15"/>
                <w:color w:val="0000EE"/>
              </w:rPr>
            </w:pPr>
            <w:hyperlink r:id="rId455">
              <w:r>
                <w:rPr>
                  <w:rFonts w:ascii="Arial" w:cs="Arial" w:eastAsia="Arial" w:hAnsi="Arial"/>
                  <w:sz w:val="15"/>
                  <w:szCs w:val="15"/>
                  <w:color w:val="0000EE"/>
                </w:rPr>
                <w:t>River Bank, amended as of November 25, 2020.</w:t>
              </w:r>
            </w:hyperlink>
          </w:p>
        </w:tc>
        <w:tc>
          <w:tcPr>
            <w:tcW w:w="380" w:type="dxa"/>
            <w:vAlign w:val="bottom"/>
            <w:gridSpan w:val="4"/>
          </w:tcPr>
          <w:p>
            <w:pPr>
              <w:spacing w:after="0"/>
              <w:rPr>
                <w:sz w:val="12"/>
                <w:szCs w:val="12"/>
                <w:color w:val="auto"/>
              </w:rPr>
            </w:pPr>
          </w:p>
        </w:tc>
      </w:tr>
      <w:tr>
        <w:trPr>
          <w:trHeight w:val="20"/>
        </w:trPr>
        <w:tc>
          <w:tcPr>
            <w:tcW w:w="94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9"/>
        </w:trPr>
        <w:tc>
          <w:tcPr>
            <w:tcW w:w="940" w:type="dxa"/>
            <w:vAlign w:val="bottom"/>
            <w:gridSpan w:val="2"/>
          </w:tcPr>
          <w:p>
            <w:pPr>
              <w:spacing w:after="0"/>
              <w:rPr>
                <w:sz w:val="20"/>
                <w:szCs w:val="20"/>
                <w:color w:val="auto"/>
              </w:rPr>
            </w:pPr>
            <w:r>
              <w:rPr>
                <w:rFonts w:ascii="Arial" w:cs="Arial" w:eastAsia="Arial" w:hAnsi="Arial"/>
                <w:sz w:val="15"/>
                <w:szCs w:val="15"/>
                <w:color w:val="auto"/>
              </w:rPr>
              <w:t>10.15#^</w:t>
            </w:r>
          </w:p>
        </w:tc>
        <w:tc>
          <w:tcPr>
            <w:tcW w:w="8260" w:type="dxa"/>
            <w:vAlign w:val="bottom"/>
            <w:gridSpan w:val="11"/>
          </w:tcPr>
          <w:p>
            <w:pPr>
              <w:spacing w:after="0"/>
              <w:rPr>
                <w:rFonts w:ascii="Arial" w:cs="Arial" w:eastAsia="Arial" w:hAnsi="Arial"/>
                <w:sz w:val="15"/>
                <w:szCs w:val="15"/>
                <w:color w:val="0000EE"/>
              </w:rPr>
            </w:pPr>
            <w:hyperlink r:id="rId456">
              <w:r>
                <w:rPr>
                  <w:rFonts w:ascii="Arial" w:cs="Arial" w:eastAsia="Arial" w:hAnsi="Arial"/>
                  <w:sz w:val="15"/>
                  <w:szCs w:val="15"/>
                  <w:color w:val="0000EE"/>
                </w:rPr>
                <w:t>Second Amended and Restated Promotion Agreement, dated November 6, 2020, between Upstart Network, Inc. and Credit</w:t>
              </w:r>
            </w:hyperlink>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18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r:id="rId456">
              <w:r>
                <w:rPr>
                  <w:rFonts w:ascii="Arial" w:cs="Arial" w:eastAsia="Arial" w:hAnsi="Arial"/>
                  <w:sz w:val="15"/>
                  <w:szCs w:val="15"/>
                  <w:color w:val="0000EE"/>
                </w:rPr>
                <w:t>Karma Offers, Inc.</w:t>
              </w:r>
            </w:hyperlink>
          </w:p>
        </w:tc>
        <w:tc>
          <w:tcPr>
            <w:tcW w:w="80" w:type="dxa"/>
            <w:vAlign w:val="bottom"/>
          </w:tcPr>
          <w:p>
            <w:pPr>
              <w:spacing w:after="0"/>
              <w:rPr>
                <w:sz w:val="12"/>
                <w:szCs w:val="12"/>
                <w:color w:val="auto"/>
              </w:rPr>
            </w:pPr>
          </w:p>
        </w:tc>
      </w:tr>
      <w:tr>
        <w:trPr>
          <w:trHeight w:val="20"/>
        </w:trPr>
        <w:tc>
          <w:tcPr>
            <w:tcW w:w="94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39"/>
        </w:trPr>
        <w:tc>
          <w:tcPr>
            <w:tcW w:w="940" w:type="dxa"/>
            <w:vAlign w:val="bottom"/>
            <w:gridSpan w:val="2"/>
          </w:tcPr>
          <w:p>
            <w:pPr>
              <w:spacing w:after="0"/>
              <w:rPr>
                <w:sz w:val="20"/>
                <w:szCs w:val="20"/>
                <w:color w:val="auto"/>
              </w:rPr>
            </w:pPr>
            <w:r>
              <w:rPr>
                <w:rFonts w:ascii="Arial" w:cs="Arial" w:eastAsia="Arial" w:hAnsi="Arial"/>
                <w:sz w:val="15"/>
                <w:szCs w:val="15"/>
                <w:color w:val="auto"/>
              </w:rPr>
              <w:t>10.16#^</w:t>
            </w:r>
          </w:p>
        </w:tc>
        <w:tc>
          <w:tcPr>
            <w:tcW w:w="8060" w:type="dxa"/>
            <w:vAlign w:val="bottom"/>
            <w:tcBorders>
              <w:bottom w:val="single" w:sz="8" w:color="0000EE"/>
            </w:tcBorders>
            <w:gridSpan w:val="8"/>
          </w:tcPr>
          <w:p>
            <w:pPr>
              <w:spacing w:after="0"/>
              <w:rPr>
                <w:rFonts w:ascii="Arial" w:cs="Arial" w:eastAsia="Arial" w:hAnsi="Arial"/>
                <w:sz w:val="15"/>
                <w:szCs w:val="15"/>
                <w:color w:val="0000EE"/>
              </w:rPr>
            </w:pPr>
            <w:hyperlink r:id="rId457">
              <w:r>
                <w:rPr>
                  <w:rFonts w:ascii="Arial" w:cs="Arial" w:eastAsia="Arial" w:hAnsi="Arial"/>
                  <w:sz w:val="15"/>
                  <w:szCs w:val="15"/>
                  <w:color w:val="0000EE"/>
                </w:rPr>
                <w:t>Amended and Restated TransUnion Master Agreement for Consumer Reporting and Ancillary Services, dated November</w:t>
              </w:r>
            </w:hyperlink>
          </w:p>
        </w:tc>
        <w:tc>
          <w:tcPr>
            <w:tcW w:w="200" w:type="dxa"/>
            <w:vAlign w:val="bottom"/>
            <w:gridSpan w:val="3"/>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140" w:type="dxa"/>
            <w:vAlign w:val="bottom"/>
            <w:tcBorders>
              <w:bottom w:val="single" w:sz="8" w:color="0000EE"/>
            </w:tcBorders>
            <w:gridSpan w:val="4"/>
          </w:tcPr>
          <w:p>
            <w:pPr>
              <w:spacing w:after="0" w:line="149" w:lineRule="exact"/>
              <w:rPr>
                <w:rFonts w:ascii="Arial" w:cs="Arial" w:eastAsia="Arial" w:hAnsi="Arial"/>
                <w:sz w:val="15"/>
                <w:szCs w:val="15"/>
                <w:color w:val="0000EE"/>
                <w:w w:val="99"/>
              </w:rPr>
            </w:pPr>
            <w:hyperlink r:id="rId457">
              <w:r>
                <w:rPr>
                  <w:rFonts w:ascii="Arial" w:cs="Arial" w:eastAsia="Arial" w:hAnsi="Arial"/>
                  <w:sz w:val="15"/>
                  <w:szCs w:val="15"/>
                  <w:color w:val="0000EE"/>
                  <w:w w:val="99"/>
                </w:rPr>
                <w:t>25, 2020, between Upstart Network, Inc. and TransUnion LLC.</w:t>
              </w:r>
            </w:hyperlink>
          </w:p>
        </w:tc>
        <w:tc>
          <w:tcPr>
            <w:tcW w:w="4120" w:type="dxa"/>
            <w:vAlign w:val="bottom"/>
            <w:gridSpan w:val="7"/>
          </w:tcPr>
          <w:p>
            <w:pPr>
              <w:spacing w:after="0"/>
              <w:rPr>
                <w:sz w:val="12"/>
                <w:szCs w:val="12"/>
                <w:color w:val="auto"/>
              </w:rPr>
            </w:pPr>
          </w:p>
        </w:tc>
      </w:tr>
      <w:tr>
        <w:trPr>
          <w:trHeight w:val="239"/>
        </w:trPr>
        <w:tc>
          <w:tcPr>
            <w:tcW w:w="940" w:type="dxa"/>
            <w:vAlign w:val="bottom"/>
            <w:gridSpan w:val="2"/>
          </w:tcPr>
          <w:p>
            <w:pPr>
              <w:spacing w:after="0"/>
              <w:rPr>
                <w:sz w:val="20"/>
                <w:szCs w:val="20"/>
                <w:color w:val="auto"/>
              </w:rPr>
            </w:pPr>
            <w:r>
              <w:rPr>
                <w:rFonts w:ascii="Arial" w:cs="Arial" w:eastAsia="Arial" w:hAnsi="Arial"/>
                <w:sz w:val="15"/>
                <w:szCs w:val="15"/>
                <w:color w:val="auto"/>
              </w:rPr>
              <w:t>10.17#^</w:t>
            </w:r>
          </w:p>
        </w:tc>
        <w:tc>
          <w:tcPr>
            <w:tcW w:w="8260" w:type="dxa"/>
            <w:vAlign w:val="bottom"/>
            <w:gridSpan w:val="11"/>
          </w:tcPr>
          <w:p>
            <w:pPr>
              <w:spacing w:after="0"/>
              <w:rPr>
                <w:rFonts w:ascii="Arial" w:cs="Arial" w:eastAsia="Arial" w:hAnsi="Arial"/>
                <w:sz w:val="15"/>
                <w:szCs w:val="15"/>
                <w:color w:val="0000EE"/>
              </w:rPr>
            </w:pPr>
            <w:hyperlink r:id="rId458">
              <w:r>
                <w:rPr>
                  <w:rFonts w:ascii="Arial" w:cs="Arial" w:eastAsia="Arial" w:hAnsi="Arial"/>
                  <w:sz w:val="15"/>
                  <w:szCs w:val="15"/>
                  <w:color w:val="0000EE"/>
                </w:rPr>
                <w:t>Amended and Restated Billing Agent Agreement, dated November 25, 2020, between Upstart Network, Inc. and Trans</w:t>
              </w:r>
            </w:hyperlink>
          </w:p>
        </w:tc>
      </w:t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40" w:type="dxa"/>
            <w:vAlign w:val="bottom"/>
            <w:tcBorders>
              <w:top w:val="single" w:sz="8" w:color="0000EE"/>
            </w:tcBorders>
            <w:gridSpan w:val="6"/>
          </w:tcPr>
          <w:p>
            <w:pPr>
              <w:spacing w:after="0" w:line="149" w:lineRule="exact"/>
              <w:rPr>
                <w:rFonts w:ascii="Arial" w:cs="Arial" w:eastAsia="Arial" w:hAnsi="Arial"/>
                <w:sz w:val="15"/>
                <w:szCs w:val="15"/>
                <w:color w:val="0000EE"/>
              </w:rPr>
            </w:pPr>
            <w:hyperlink r:id="rId458">
              <w:r>
                <w:rPr>
                  <w:rFonts w:ascii="Arial" w:cs="Arial" w:eastAsia="Arial" w:hAnsi="Arial"/>
                  <w:sz w:val="15"/>
                  <w:szCs w:val="15"/>
                  <w:color w:val="0000EE"/>
                </w:rPr>
                <w:t>Union LLC.</w:t>
              </w:r>
            </w:hyperlink>
          </w:p>
        </w:tc>
        <w:tc>
          <w:tcPr>
            <w:tcW w:w="420" w:type="dxa"/>
            <w:vAlign w:val="bottom"/>
            <w:gridSpan w:val="5"/>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520" w:type="dxa"/>
            <w:vAlign w:val="bottom"/>
            <w:gridSpan w:val="10"/>
          </w:tcPr>
          <w:p>
            <w:pPr>
              <w:spacing w:after="0" w:line="20" w:lineRule="exact"/>
              <w:rPr>
                <w:sz w:val="1"/>
                <w:szCs w:val="1"/>
                <w:color w:val="auto"/>
              </w:rPr>
            </w:pPr>
          </w:p>
        </w:tc>
      </w:tr>
      <w:tr>
        <w:trPr>
          <w:trHeight w:val="272"/>
        </w:trPr>
        <w:tc>
          <w:tcPr>
            <w:tcW w:w="460" w:type="dxa"/>
            <w:vAlign w:val="bottom"/>
          </w:tcPr>
          <w:p>
            <w:pPr>
              <w:spacing w:after="0"/>
              <w:rPr>
                <w:sz w:val="20"/>
                <w:szCs w:val="20"/>
                <w:color w:val="auto"/>
              </w:rPr>
            </w:pPr>
            <w:r>
              <w:rPr>
                <w:rFonts w:ascii="Arial" w:cs="Arial" w:eastAsia="Arial" w:hAnsi="Arial"/>
                <w:sz w:val="15"/>
                <w:szCs w:val="15"/>
                <w:color w:val="auto"/>
              </w:rPr>
              <w:t>21.1#</w:t>
            </w:r>
          </w:p>
        </w:tc>
        <w:tc>
          <w:tcPr>
            <w:tcW w:w="480" w:type="dxa"/>
            <w:vAlign w:val="bottom"/>
          </w:tcPr>
          <w:p>
            <w:pPr>
              <w:spacing w:after="0"/>
              <w:rPr>
                <w:sz w:val="23"/>
                <w:szCs w:val="23"/>
                <w:color w:val="auto"/>
              </w:rPr>
            </w:pPr>
          </w:p>
        </w:tc>
        <w:tc>
          <w:tcPr>
            <w:tcW w:w="8260" w:type="dxa"/>
            <w:vAlign w:val="bottom"/>
            <w:gridSpan w:val="11"/>
          </w:tcPr>
          <w:p>
            <w:pPr>
              <w:spacing w:after="0"/>
              <w:rPr>
                <w:rFonts w:ascii="Arial" w:cs="Arial" w:eastAsia="Arial" w:hAnsi="Arial"/>
                <w:sz w:val="15"/>
                <w:szCs w:val="15"/>
                <w:u w:val="single" w:color="auto"/>
                <w:color w:val="0000EE"/>
              </w:rPr>
            </w:pPr>
            <w:hyperlink r:id="rId459">
              <w:r>
                <w:rPr>
                  <w:rFonts w:ascii="Arial" w:cs="Arial" w:eastAsia="Arial" w:hAnsi="Arial"/>
                  <w:sz w:val="15"/>
                  <w:szCs w:val="15"/>
                  <w:u w:val="single" w:color="auto"/>
                  <w:color w:val="0000EE"/>
                </w:rPr>
                <w:t>List of subsidiaries of the registrant.</w:t>
              </w:r>
            </w:hyperlink>
          </w:p>
        </w:tc>
      </w:tr>
      <w:tr>
        <w:trPr>
          <w:trHeight w:val="259"/>
        </w:trPr>
        <w:tc>
          <w:tcPr>
            <w:tcW w:w="460" w:type="dxa"/>
            <w:vAlign w:val="bottom"/>
          </w:tcPr>
          <w:p>
            <w:pPr>
              <w:spacing w:after="0"/>
              <w:rPr>
                <w:sz w:val="20"/>
                <w:szCs w:val="20"/>
                <w:color w:val="auto"/>
              </w:rPr>
            </w:pPr>
            <w:r>
              <w:rPr>
                <w:rFonts w:ascii="Arial" w:cs="Arial" w:eastAsia="Arial" w:hAnsi="Arial"/>
                <w:sz w:val="15"/>
                <w:szCs w:val="15"/>
                <w:color w:val="auto"/>
              </w:rPr>
              <w:t>23.1</w:t>
            </w:r>
          </w:p>
        </w:tc>
        <w:tc>
          <w:tcPr>
            <w:tcW w:w="480" w:type="dxa"/>
            <w:vAlign w:val="bottom"/>
          </w:tcPr>
          <w:p>
            <w:pPr>
              <w:spacing w:after="0"/>
              <w:rPr>
                <w:sz w:val="22"/>
                <w:szCs w:val="22"/>
                <w:color w:val="auto"/>
              </w:rPr>
            </w:pPr>
          </w:p>
        </w:tc>
        <w:tc>
          <w:tcPr>
            <w:tcW w:w="8260" w:type="dxa"/>
            <w:vAlign w:val="bottom"/>
            <w:gridSpan w:val="11"/>
          </w:tcPr>
          <w:p>
            <w:pPr>
              <w:spacing w:after="0"/>
              <w:rPr>
                <w:rFonts w:ascii="Arial" w:cs="Arial" w:eastAsia="Arial" w:hAnsi="Arial"/>
                <w:sz w:val="15"/>
                <w:szCs w:val="15"/>
                <w:u w:val="single" w:color="auto"/>
                <w:color w:val="0000EE"/>
              </w:rPr>
            </w:pPr>
            <w:hyperlink w:anchor="page314">
              <w:r>
                <w:rPr>
                  <w:rFonts w:ascii="Arial" w:cs="Arial" w:eastAsia="Arial" w:hAnsi="Arial"/>
                  <w:sz w:val="15"/>
                  <w:szCs w:val="15"/>
                  <w:u w:val="single" w:color="auto"/>
                  <w:color w:val="0000EE"/>
                </w:rPr>
                <w:t>Consent of Deloitte &amp; Touche LLP, Independent Registered Public Accounting Firm.</w:t>
              </w:r>
            </w:hyperlink>
          </w:p>
        </w:tc>
      </w:tr>
      <w:tr>
        <w:trPr>
          <w:trHeight w:val="259"/>
        </w:trPr>
        <w:tc>
          <w:tcPr>
            <w:tcW w:w="460" w:type="dxa"/>
            <w:vAlign w:val="bottom"/>
          </w:tcPr>
          <w:p>
            <w:pPr>
              <w:spacing w:after="0"/>
              <w:rPr>
                <w:sz w:val="20"/>
                <w:szCs w:val="20"/>
                <w:color w:val="auto"/>
              </w:rPr>
            </w:pPr>
            <w:r>
              <w:rPr>
                <w:rFonts w:ascii="Arial" w:cs="Arial" w:eastAsia="Arial" w:hAnsi="Arial"/>
                <w:sz w:val="15"/>
                <w:szCs w:val="15"/>
                <w:color w:val="auto"/>
              </w:rPr>
              <w:t>23.2#</w:t>
            </w:r>
          </w:p>
        </w:tc>
        <w:tc>
          <w:tcPr>
            <w:tcW w:w="480" w:type="dxa"/>
            <w:vAlign w:val="bottom"/>
          </w:tcPr>
          <w:p>
            <w:pPr>
              <w:spacing w:after="0"/>
              <w:rPr>
                <w:sz w:val="22"/>
                <w:szCs w:val="22"/>
                <w:color w:val="auto"/>
              </w:rPr>
            </w:pPr>
          </w:p>
        </w:tc>
        <w:tc>
          <w:tcPr>
            <w:tcW w:w="8260" w:type="dxa"/>
            <w:vAlign w:val="bottom"/>
            <w:gridSpan w:val="11"/>
          </w:tcPr>
          <w:p>
            <w:pPr>
              <w:spacing w:after="0"/>
              <w:rPr>
                <w:rFonts w:ascii="Arial" w:cs="Arial" w:eastAsia="Arial" w:hAnsi="Arial"/>
                <w:sz w:val="15"/>
                <w:szCs w:val="15"/>
                <w:u w:val="single" w:color="auto"/>
                <w:color w:val="0000EE"/>
              </w:rPr>
            </w:pPr>
            <w:hyperlink r:id="rId440">
              <w:r>
                <w:rPr>
                  <w:rFonts w:ascii="Arial" w:cs="Arial" w:eastAsia="Arial" w:hAnsi="Arial"/>
                  <w:sz w:val="15"/>
                  <w:szCs w:val="15"/>
                  <w:u w:val="single" w:color="auto"/>
                  <w:color w:val="0000EE"/>
                </w:rPr>
                <w:t>Consent of Wilson Sonsini Goodrich &amp; Rosati, P.C. (included in Exhibit 5.1).</w:t>
              </w:r>
            </w:hyperlink>
          </w:p>
        </w:tc>
      </w:tr>
      <w:tr>
        <w:trPr>
          <w:trHeight w:val="259"/>
        </w:trPr>
        <w:tc>
          <w:tcPr>
            <w:tcW w:w="460" w:type="dxa"/>
            <w:vAlign w:val="bottom"/>
          </w:tcPr>
          <w:p>
            <w:pPr>
              <w:spacing w:after="0"/>
              <w:rPr>
                <w:sz w:val="20"/>
                <w:szCs w:val="20"/>
                <w:color w:val="auto"/>
              </w:rPr>
            </w:pPr>
            <w:r>
              <w:rPr>
                <w:rFonts w:ascii="Arial" w:cs="Arial" w:eastAsia="Arial" w:hAnsi="Arial"/>
                <w:sz w:val="15"/>
                <w:szCs w:val="15"/>
                <w:color w:val="auto"/>
              </w:rPr>
              <w:t>24.1#</w:t>
            </w:r>
          </w:p>
        </w:tc>
        <w:tc>
          <w:tcPr>
            <w:tcW w:w="480" w:type="dxa"/>
            <w:vAlign w:val="bottom"/>
          </w:tcPr>
          <w:p>
            <w:pPr>
              <w:spacing w:after="0"/>
              <w:rPr>
                <w:sz w:val="22"/>
                <w:szCs w:val="22"/>
                <w:color w:val="auto"/>
              </w:rPr>
            </w:pPr>
          </w:p>
        </w:tc>
        <w:tc>
          <w:tcPr>
            <w:tcW w:w="8260" w:type="dxa"/>
            <w:vAlign w:val="bottom"/>
            <w:gridSpan w:val="11"/>
          </w:tcPr>
          <w:p>
            <w:pPr>
              <w:spacing w:after="0"/>
              <w:rPr>
                <w:rFonts w:ascii="Arial" w:cs="Arial" w:eastAsia="Arial" w:hAnsi="Arial"/>
                <w:sz w:val="15"/>
                <w:szCs w:val="15"/>
                <w:u w:val="single" w:color="auto"/>
                <w:color w:val="0000EE"/>
              </w:rPr>
            </w:pPr>
            <w:hyperlink r:id="rId460">
              <w:r>
                <w:rPr>
                  <w:rFonts w:ascii="Arial" w:cs="Arial" w:eastAsia="Arial" w:hAnsi="Arial"/>
                  <w:sz w:val="15"/>
                  <w:szCs w:val="15"/>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3" w:lineRule="exact"/>
        <w:rPr>
          <w:sz w:val="20"/>
          <w:szCs w:val="20"/>
          <w:color w:val="auto"/>
        </w:rPr>
      </w:pPr>
    </w:p>
    <w:p>
      <w:pPr>
        <w:ind w:left="1480" w:hanging="453"/>
        <w:spacing w:after="0"/>
        <w:tabs>
          <w:tab w:leader="none" w:pos="148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ind w:left="102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4"/>
          <w:szCs w:val="14"/>
          <w:color w:val="auto"/>
        </w:rPr>
        <w:t>Previously filed.</w:t>
      </w:r>
    </w:p>
    <w:p>
      <w:pPr>
        <w:ind w:left="1480" w:right="140" w:hanging="451"/>
        <w:spacing w:after="0" w:line="245" w:lineRule="auto"/>
        <w:rPr>
          <w:rFonts w:ascii="Arial" w:cs="Arial" w:eastAsia="Arial" w:hAnsi="Arial"/>
          <w:sz w:val="15"/>
          <w:szCs w:val="15"/>
          <w:color w:val="auto"/>
        </w:rPr>
      </w:pPr>
      <w:r>
        <w:rPr>
          <w:rFonts w:ascii="Arial" w:cs="Arial" w:eastAsia="Arial" w:hAnsi="Arial"/>
          <w:sz w:val="15"/>
          <w:szCs w:val="15"/>
          <w:color w:val="auto"/>
        </w:rPr>
        <w:t>^Portions of this exhibit (indicated by asterisks) have been excluded because such information is both (i) not material and (ii) would be competitively harmful if publicly disclosed.</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0220"/>
          </w:cols>
          <w:pgMar w:left="320" w:top="407" w:right="1359" w:bottom="1440" w:gutter="0" w:footer="0" w:header="0"/>
        </w:sectPr>
      </w:pPr>
    </w:p>
    <w:bookmarkStart w:id="311" w:name="page312"/>
    <w:bookmarkEnd w:id="3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SIGNATURES</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Amendment No. 4 to the registration statement on Form S-1 to be signed on its behalf by the undersigned, thereunto duly authorized, in San Mateo, California, on the 9</w:t>
      </w:r>
      <w:r>
        <w:rPr>
          <w:rFonts w:ascii="Arial" w:cs="Arial" w:eastAsia="Arial" w:hAnsi="Arial"/>
          <w:sz w:val="12"/>
          <w:szCs w:val="12"/>
          <w:color w:val="auto"/>
        </w:rPr>
        <w:t>th</w:t>
      </w:r>
      <w:r>
        <w:rPr>
          <w:rFonts w:ascii="Arial" w:cs="Arial" w:eastAsia="Arial" w:hAnsi="Arial"/>
          <w:sz w:val="15"/>
          <w:szCs w:val="15"/>
          <w:color w:val="auto"/>
        </w:rPr>
        <w:t xml:space="preserve"> day of December, 2020.</w:t>
      </w:r>
    </w:p>
    <w:p>
      <w:pPr>
        <w:spacing w:after="0" w:line="174"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UPSTART HOLDINGS, INC.</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-1270</wp:posOffset>
            </wp:positionV>
            <wp:extent cx="213931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Dave Girouard</w:t>
      </w:r>
    </w:p>
    <w:p>
      <w:pPr>
        <w:ind w:left="6860"/>
        <w:spacing w:after="0"/>
        <w:rPr>
          <w:sz w:val="20"/>
          <w:szCs w:val="20"/>
          <w:color w:val="auto"/>
        </w:rPr>
      </w:pPr>
      <w:r>
        <w:rPr>
          <w:rFonts w:ascii="Arial" w:cs="Arial" w:eastAsia="Arial" w:hAnsi="Arial"/>
          <w:sz w:val="15"/>
          <w:szCs w:val="15"/>
          <w:color w:val="auto"/>
        </w:rPr>
        <w:t>Chief Executive Officer</w:t>
      </w:r>
    </w:p>
    <w:p>
      <w:pPr>
        <w:spacing w:after="0" w:line="177"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Pursuant to the requirements of the Securities Act of 1933, as amended, this Amendment No. 4 to the registration statement on Form S-1 has been signed by the following persons in the capacities and on the dates indicated.</w:t>
      </w:r>
    </w:p>
    <w:p>
      <w:pPr>
        <w:sectPr>
          <w:pgSz w:w="11900" w:h="16838" w:orient="portrait"/>
          <w:cols w:equalWidth="0" w:num="1">
            <w:col w:w="10140"/>
          </w:cols>
          <w:pgMar w:left="320" w:top="406" w:right="1439" w:bottom="1440" w:gutter="0" w:footer="0" w:header="0"/>
        </w:sectPr>
      </w:pPr>
    </w:p>
    <w:p>
      <w:pPr>
        <w:spacing w:after="0" w:line="179" w:lineRule="exact"/>
        <w:rPr>
          <w:sz w:val="20"/>
          <w:szCs w:val="20"/>
          <w:color w:val="auto"/>
        </w:rPr>
      </w:pPr>
    </w:p>
    <w:p>
      <w:pPr>
        <w:jc w:val="right"/>
        <w:ind w:right="1120"/>
        <w:spacing w:after="0"/>
        <w:rPr>
          <w:sz w:val="20"/>
          <w:szCs w:val="20"/>
          <w:color w:val="auto"/>
        </w:rPr>
      </w:pPr>
      <w:r>
        <w:rPr>
          <w:rFonts w:ascii="Arial" w:cs="Arial" w:eastAsia="Arial" w:hAnsi="Arial"/>
          <w:sz w:val="12"/>
          <w:szCs w:val="12"/>
          <w:b w:val="1"/>
          <w:bCs w:val="1"/>
          <w:u w:val="single" w:color="auto"/>
          <w:color w:val="auto"/>
        </w:rPr>
        <w:t>Signature</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Dave Girouard</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Sanjay Datta</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Natalia Mirgorodskaya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Natalia Mirgorodskaya</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7">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Paul Gu</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8">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Mary Hentges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9">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Oskar Mielczarek de la Miel</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580" w:type="dxa"/>
            <w:vAlign w:val="bottom"/>
          </w:tcPr>
          <w:p>
            <w:pPr>
              <w:spacing w:after="0"/>
              <w:rPr>
                <w:sz w:val="12"/>
                <w:szCs w:val="12"/>
                <w:color w:val="auto"/>
              </w:rPr>
            </w:pP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1840" w:type="dxa"/>
            <w:vAlign w:val="bottom"/>
            <w:gridSpan w:val="3"/>
          </w:tcPr>
          <w:p>
            <w:pPr>
              <w:ind w:left="1240"/>
              <w:spacing w:after="0"/>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980" w:type="dxa"/>
            <w:vAlign w:val="bottom"/>
            <w:gridSpan w:val="3"/>
          </w:tcPr>
          <w:p>
            <w:pPr>
              <w:spacing w:after="0"/>
              <w:rPr>
                <w:sz w:val="20"/>
                <w:szCs w:val="20"/>
                <w:color w:val="auto"/>
              </w:rPr>
            </w:pPr>
            <w:r>
              <w:rPr>
                <w:rFonts w:ascii="Arial" w:cs="Arial" w:eastAsia="Arial" w:hAnsi="Arial"/>
                <w:sz w:val="15"/>
                <w:szCs w:val="15"/>
                <w:color w:val="auto"/>
              </w:rPr>
              <w:t>Chief Executive Officer and Director</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gridSpan w:val="3"/>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Executive Officer)</w:t>
            </w:r>
          </w:p>
        </w:tc>
        <w:tc>
          <w:tcPr>
            <w:tcW w:w="1840" w:type="dxa"/>
            <w:vAlign w:val="bottom"/>
            <w:gridSpan w:val="3"/>
          </w:tcPr>
          <w:p>
            <w:pPr>
              <w:ind w:left="60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345"/>
        </w:trPr>
        <w:tc>
          <w:tcPr>
            <w:tcW w:w="2980" w:type="dxa"/>
            <w:vAlign w:val="bottom"/>
            <w:gridSpan w:val="3"/>
          </w:tcPr>
          <w:p>
            <w:pPr>
              <w:spacing w:after="0"/>
              <w:rPr>
                <w:sz w:val="20"/>
                <w:szCs w:val="20"/>
                <w:color w:val="auto"/>
              </w:rPr>
            </w:pPr>
            <w:r>
              <w:rPr>
                <w:rFonts w:ascii="Arial" w:cs="Arial" w:eastAsia="Arial" w:hAnsi="Arial"/>
                <w:sz w:val="15"/>
                <w:szCs w:val="15"/>
                <w:color w:val="auto"/>
              </w:rPr>
              <w:t>Chief Financial Officer</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gridSpan w:val="3"/>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Financial Officer)</w:t>
            </w:r>
          </w:p>
        </w:tc>
        <w:tc>
          <w:tcPr>
            <w:tcW w:w="1840" w:type="dxa"/>
            <w:vAlign w:val="bottom"/>
            <w:gridSpan w:val="3"/>
          </w:tcPr>
          <w:p>
            <w:pPr>
              <w:ind w:left="60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345"/>
        </w:trPr>
        <w:tc>
          <w:tcPr>
            <w:tcW w:w="2980" w:type="dxa"/>
            <w:vAlign w:val="bottom"/>
            <w:gridSpan w:val="3"/>
          </w:tcPr>
          <w:p>
            <w:pPr>
              <w:spacing w:after="0"/>
              <w:rPr>
                <w:sz w:val="20"/>
                <w:szCs w:val="20"/>
                <w:color w:val="auto"/>
              </w:rPr>
            </w:pPr>
            <w:r>
              <w:rPr>
                <w:rFonts w:ascii="Arial" w:cs="Arial" w:eastAsia="Arial" w:hAnsi="Arial"/>
                <w:sz w:val="15"/>
                <w:szCs w:val="15"/>
                <w:color w:val="auto"/>
              </w:rPr>
              <w:t>Corporate Controller</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gridSpan w:val="3"/>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Accounting Officer</w:t>
            </w:r>
            <w:r>
              <w:rPr>
                <w:rFonts w:ascii="Arial" w:cs="Arial" w:eastAsia="Arial" w:hAnsi="Arial"/>
                <w:sz w:val="15"/>
                <w:szCs w:val="15"/>
                <w:color w:val="auto"/>
              </w:rPr>
              <w:t>)</w:t>
            </w:r>
          </w:p>
        </w:tc>
        <w:tc>
          <w:tcPr>
            <w:tcW w:w="1840" w:type="dxa"/>
            <w:vAlign w:val="bottom"/>
            <w:gridSpan w:val="3"/>
          </w:tcPr>
          <w:p>
            <w:pPr>
              <w:ind w:left="60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372"/>
        </w:trPr>
        <w:tc>
          <w:tcPr>
            <w:tcW w:w="2980" w:type="dxa"/>
            <w:vAlign w:val="bottom"/>
            <w:gridSpan w:val="3"/>
          </w:tcPr>
          <w:p>
            <w:pPr>
              <w:spacing w:after="0"/>
              <w:rPr>
                <w:sz w:val="20"/>
                <w:szCs w:val="20"/>
                <w:color w:val="auto"/>
              </w:rPr>
            </w:pPr>
            <w:r>
              <w:rPr>
                <w:rFonts w:ascii="Arial" w:cs="Arial" w:eastAsia="Arial" w:hAnsi="Arial"/>
                <w:sz w:val="15"/>
                <w:szCs w:val="15"/>
                <w:color w:val="auto"/>
              </w:rPr>
              <w:t>Director</w:t>
            </w:r>
          </w:p>
        </w:tc>
        <w:tc>
          <w:tcPr>
            <w:tcW w:w="1840" w:type="dxa"/>
            <w:vAlign w:val="bottom"/>
            <w:gridSpan w:val="3"/>
            <w:vMerge w:val="restart"/>
          </w:tcPr>
          <w:p>
            <w:pPr>
              <w:ind w:left="60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980" w:type="dxa"/>
            <w:vAlign w:val="bottom"/>
            <w:gridSpan w:val="3"/>
          </w:tcPr>
          <w:p>
            <w:pPr>
              <w:spacing w:after="0"/>
              <w:rPr>
                <w:sz w:val="20"/>
                <w:szCs w:val="20"/>
                <w:color w:val="auto"/>
              </w:rPr>
            </w:pPr>
            <w:r>
              <w:rPr>
                <w:rFonts w:ascii="Arial" w:cs="Arial" w:eastAsia="Arial" w:hAnsi="Arial"/>
                <w:sz w:val="15"/>
                <w:szCs w:val="15"/>
                <w:color w:val="auto"/>
              </w:rPr>
              <w:t>Director</w:t>
            </w:r>
          </w:p>
        </w:tc>
        <w:tc>
          <w:tcPr>
            <w:tcW w:w="1840" w:type="dxa"/>
            <w:vAlign w:val="bottom"/>
            <w:gridSpan w:val="3"/>
            <w:vMerge w:val="restart"/>
          </w:tcPr>
          <w:p>
            <w:pPr>
              <w:ind w:left="60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980" w:type="dxa"/>
            <w:vAlign w:val="bottom"/>
            <w:gridSpan w:val="3"/>
          </w:tcPr>
          <w:p>
            <w:pPr>
              <w:spacing w:after="0"/>
              <w:rPr>
                <w:sz w:val="20"/>
                <w:szCs w:val="20"/>
                <w:color w:val="auto"/>
              </w:rPr>
            </w:pPr>
            <w:r>
              <w:rPr>
                <w:rFonts w:ascii="Arial" w:cs="Arial" w:eastAsia="Arial" w:hAnsi="Arial"/>
                <w:sz w:val="15"/>
                <w:szCs w:val="15"/>
                <w:color w:val="auto"/>
              </w:rPr>
              <w:t>Director</w:t>
            </w:r>
          </w:p>
        </w:tc>
        <w:tc>
          <w:tcPr>
            <w:tcW w:w="1840" w:type="dxa"/>
            <w:vAlign w:val="bottom"/>
            <w:gridSpan w:val="3"/>
            <w:vMerge w:val="restart"/>
          </w:tcPr>
          <w:p>
            <w:pPr>
              <w:ind w:left="60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980" w:type="dxa"/>
            <w:vAlign w:val="bottom"/>
            <w:gridSpan w:val="3"/>
          </w:tcPr>
          <w:p>
            <w:pPr>
              <w:ind w:left="440"/>
              <w:spacing w:after="0"/>
              <w:rPr>
                <w:sz w:val="20"/>
                <w:szCs w:val="20"/>
                <w:color w:val="auto"/>
              </w:rPr>
            </w:pPr>
            <w:r>
              <w:rPr>
                <w:rFonts w:ascii="Arial" w:cs="Arial" w:eastAsia="Arial" w:hAnsi="Arial"/>
                <w:sz w:val="15"/>
                <w:szCs w:val="15"/>
                <w:color w:val="auto"/>
              </w:rPr>
              <w:t>II-7</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360" w:space="720"/>
            <w:col w:w="5060"/>
          </w:cols>
          <w:pgMar w:left="320" w:top="406" w:right="1439" w:bottom="1440" w:gutter="0" w:footer="0" w:header="0"/>
          <w:type w:val="continuous"/>
        </w:sectPr>
      </w:pPr>
    </w:p>
    <w:bookmarkStart w:id="312" w:name="page313"/>
    <w:bookmarkEnd w:id="312"/>
    <w:p>
      <w:pPr>
        <w:spacing w:after="0"/>
        <w:rPr>
          <w:rFonts w:ascii="Arial" w:cs="Arial" w:eastAsia="Arial" w:hAnsi="Arial"/>
          <w:sz w:val="15"/>
          <w:szCs w:val="15"/>
          <w:b w:val="1"/>
          <w:bCs w:val="1"/>
          <w:u w:val="single" w:color="auto"/>
          <w:color w:val="0000EE"/>
        </w:rPr>
      </w:pPr>
      <w:hyperlink w:anchor="page11">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right"/>
        <w:ind w:right="1120"/>
        <w:spacing w:after="0"/>
        <w:rPr>
          <w:sz w:val="20"/>
          <w:szCs w:val="20"/>
          <w:color w:val="auto"/>
        </w:rPr>
      </w:pPr>
      <w:r>
        <w:rPr>
          <w:rFonts w:ascii="Arial" w:cs="Arial" w:eastAsia="Arial" w:hAnsi="Arial"/>
          <w:sz w:val="12"/>
          <w:szCs w:val="12"/>
          <w:b w:val="1"/>
          <w:bCs w:val="1"/>
          <w:u w:val="single" w:color="auto"/>
          <w:color w:val="auto"/>
        </w:rPr>
        <w:t>Signature</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Ciaran O’Kelly</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Sukhinder Singh Cassidy</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Robert Schwartz</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3">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Hilliard C. Terry III</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45427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2454275" cy="698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*By: Dave Girouard</w:t>
      </w:r>
    </w:p>
    <w:p>
      <w:pPr>
        <w:ind w:left="1020"/>
        <w:spacing w:after="0"/>
        <w:rPr>
          <w:sz w:val="20"/>
          <w:szCs w:val="20"/>
          <w:color w:val="auto"/>
        </w:rPr>
      </w:pP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820" w:type="dxa"/>
            <w:vAlign w:val="bottom"/>
            <w:gridSpan w:val="2"/>
          </w:tcPr>
          <w:p>
            <w:pPr>
              <w:ind w:left="1580"/>
              <w:spacing w:after="0"/>
              <w:rPr>
                <w:sz w:val="20"/>
                <w:szCs w:val="20"/>
                <w:color w:val="auto"/>
              </w:rPr>
            </w:pPr>
            <w:r>
              <w:rPr>
                <w:rFonts w:ascii="Arial" w:cs="Arial" w:eastAsia="Arial" w:hAnsi="Arial"/>
                <w:sz w:val="12"/>
                <w:szCs w:val="12"/>
                <w:b w:val="1"/>
                <w:bCs w:val="1"/>
                <w:color w:val="auto"/>
                <w:w w:val="88"/>
              </w:rPr>
              <w:t>Title</w:t>
            </w:r>
          </w:p>
        </w:tc>
        <w:tc>
          <w:tcPr>
            <w:tcW w:w="3000" w:type="dxa"/>
            <w:vAlign w:val="bottom"/>
            <w:gridSpan w:val="3"/>
          </w:tcPr>
          <w:p>
            <w:pPr>
              <w:ind w:left="2400"/>
              <w:spacing w:after="0"/>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580" w:type="dxa"/>
            <w:vAlign w:val="bottom"/>
          </w:tcPr>
          <w:p>
            <w:pPr>
              <w:spacing w:after="0"/>
              <w:rPr>
                <w:sz w:val="20"/>
                <w:szCs w:val="20"/>
                <w:color w:val="auto"/>
              </w:rPr>
            </w:pPr>
            <w:r>
              <w:rPr>
                <w:rFonts w:ascii="Arial" w:cs="Arial" w:eastAsia="Arial" w:hAnsi="Arial"/>
                <w:sz w:val="15"/>
                <w:szCs w:val="15"/>
                <w:color w:val="auto"/>
              </w:rPr>
              <w:t>Director</w:t>
            </w:r>
          </w:p>
        </w:tc>
        <w:tc>
          <w:tcPr>
            <w:tcW w:w="240" w:type="dxa"/>
            <w:vAlign w:val="bottom"/>
          </w:tcPr>
          <w:p>
            <w:pPr>
              <w:spacing w:after="0"/>
              <w:rPr>
                <w:sz w:val="24"/>
                <w:szCs w:val="24"/>
                <w:color w:val="auto"/>
              </w:rPr>
            </w:pPr>
          </w:p>
        </w:tc>
        <w:tc>
          <w:tcPr>
            <w:tcW w:w="3000" w:type="dxa"/>
            <w:vAlign w:val="bottom"/>
            <w:gridSpan w:val="3"/>
            <w:vMerge w:val="restart"/>
          </w:tcPr>
          <w:p>
            <w:pPr>
              <w:ind w:left="176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8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3000" w:type="dxa"/>
            <w:vAlign w:val="bottom"/>
            <w:gridSpan w:val="3"/>
          </w:tcPr>
          <w:p>
            <w:pPr>
              <w:ind w:left="176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541"/>
        </w:trPr>
        <w:tc>
          <w:tcPr>
            <w:tcW w:w="18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3000" w:type="dxa"/>
            <w:vAlign w:val="bottom"/>
            <w:gridSpan w:val="3"/>
          </w:tcPr>
          <w:p>
            <w:pPr>
              <w:ind w:left="176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r>
        <w:trPr>
          <w:trHeight w:val="541"/>
        </w:trPr>
        <w:tc>
          <w:tcPr>
            <w:tcW w:w="18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3000" w:type="dxa"/>
            <w:vAlign w:val="bottom"/>
            <w:gridSpan w:val="3"/>
          </w:tcPr>
          <w:p>
            <w:pPr>
              <w:ind w:left="1760"/>
              <w:spacing w:after="0"/>
              <w:rPr>
                <w:sz w:val="20"/>
                <w:szCs w:val="20"/>
                <w:color w:val="auto"/>
              </w:rPr>
            </w:pPr>
            <w:r>
              <w:rPr>
                <w:rFonts w:ascii="Arial" w:cs="Arial" w:eastAsia="Arial" w:hAnsi="Arial"/>
                <w:sz w:val="15"/>
                <w:szCs w:val="15"/>
                <w:color w:val="auto"/>
                <w:w w:val="98"/>
              </w:rPr>
              <w:t>December 9,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-1816100</wp:posOffset>
            </wp:positionV>
            <wp:extent cx="716915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II-8</w:t>
      </w:r>
    </w:p>
    <w:p>
      <w:pPr>
        <w:sectPr>
          <w:pgSz w:w="11900" w:h="16838" w:orient="portrait"/>
          <w:cols w:equalWidth="0" w:num="2">
            <w:col w:w="4360" w:space="720"/>
            <w:col w:w="5059"/>
          </w:cols>
          <w:pgMar w:left="320" w:top="407"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15"/>
          <w:szCs w:val="15"/>
          <w:b w:val="1"/>
          <w:bCs w:val="1"/>
          <w:color w:val="auto"/>
        </w:rPr>
        <w:t>Exhibit 23.1</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02"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color w:val="auto"/>
        </w:rPr>
        <w:t>We consent to the use in this Registration Statement No. 333-249860 on Form S-1 of our report dated March 3, 2020 relating to the financial statements of Upstart Holdings, Inc. We also consent to the reference to us under the heading “Experts” in such Registration Statement.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December 8, 2020</w:t>
      </w:r>
    </w:p>
    <w:sectPr>
      <w:pgSz w:w="11900" w:h="16838" w:orient="portrait"/>
      <w:cols w:equalWidth="0" w:num="1">
        <w:col w:w="9200"/>
      </w:cols>
      <w:pgMar w:left="1340" w:top="12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decimal"/>
      <w:start w:val="1"/>
    </w:lvl>
  </w:abstractNum>
  <w:abstractNum w:abstractNumId="1">
    <w:nsid w:val="60B6DF70"/>
    <w:multiLevelType w:val="hybridMultilevel"/>
    <w:lvl w:ilvl="0">
      <w:lvlJc w:val="left"/>
      <w:lvlText w:val="(%1)"/>
      <w:numFmt w:val="decimal"/>
      <w:start w:val="1"/>
    </w:lvl>
  </w:abstractNum>
  <w:abstractNum w:abstractNumId="2">
    <w:nsid w:val="6A5EE64"/>
    <w:multiLevelType w:val="hybridMultilevel"/>
    <w:lvl w:ilvl="0">
      <w:lvlJc w:val="left"/>
      <w:lvlText w:val="%1"/>
      <w:numFmt w:val="decimal"/>
      <w:start w:val="12"/>
    </w:lvl>
  </w:abstractNum>
  <w:abstractNum w:abstractNumId="3">
    <w:nsid w:val="14330624"/>
    <w:multiLevelType w:val="hybridMultilevel"/>
    <w:lvl w:ilvl="0">
      <w:lvlJc w:val="left"/>
      <w:lvlText w:val="%1"/>
      <w:numFmt w:val="decimal"/>
      <w:start w:val="14"/>
    </w:lvl>
  </w:abstractNum>
  <w:abstractNum w:abstractNumId="4">
    <w:nsid w:val="7FFFCA11"/>
    <w:multiLevelType w:val="hybridMultilevel"/>
    <w:lvl w:ilvl="0">
      <w:lvlJc w:val="left"/>
      <w:lvlText w:val="%1"/>
      <w:numFmt w:val="decimal"/>
      <w:start w:val="19"/>
    </w:lvl>
  </w:abstractNum>
  <w:abstractNum w:abstractNumId="5">
    <w:nsid w:val="1A27709E"/>
    <w:multiLevelType w:val="hybridMultilevel"/>
    <w:lvl w:ilvl="0">
      <w:lvlJc w:val="left"/>
      <w:lvlText w:val="%1"/>
      <w:numFmt w:val="decimal"/>
      <w:start w:val="25"/>
    </w:lvl>
  </w:abstractNum>
  <w:abstractNum w:abstractNumId="6">
    <w:nsid w:val="71EA1109"/>
    <w:multiLevelType w:val="hybridMultilevel"/>
    <w:lvl w:ilvl="0">
      <w:lvlJc w:val="left"/>
      <w:lvlText w:val="%1"/>
      <w:numFmt w:val="decimal"/>
      <w:start w:val="31"/>
    </w:lvl>
  </w:abstractNum>
  <w:abstractNum w:abstractNumId="7">
    <w:nsid w:val="100F59DC"/>
    <w:multiLevelType w:val="hybridMultilevel"/>
    <w:lvl w:ilvl="0">
      <w:lvlJc w:val="left"/>
      <w:lvlText w:val="%1"/>
      <w:numFmt w:val="decimal"/>
      <w:start w:val="39"/>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1"/>
      <w:numFmt w:val="decimal"/>
      <w:start w:val="47"/>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1"/>
      <w:numFmt w:val="decimal"/>
      <w:start w:val="49"/>
    </w:lvl>
  </w:abstractNum>
  <w:abstractNum w:abstractNumId="13">
    <w:nsid w:val="76272110"/>
    <w:multiLevelType w:val="hybridMultilevel"/>
    <w:lvl w:ilvl="0">
      <w:lvlJc w:val="left"/>
      <w:lvlText w:val="%1"/>
      <w:numFmt w:val="decimal"/>
      <w:start w:val="52"/>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1"/>
      <w:numFmt w:val="decimal"/>
      <w:start w:val="55"/>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lvl w:ilvl="1">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1)"/>
      <w:numFmt w:val="decimal"/>
      <w:start w:val="1"/>
    </w:lvl>
  </w:abstractNum>
  <w:abstractNum w:abstractNumId="23">
    <w:nsid w:val="39EE015C"/>
    <w:multiLevelType w:val="hybridMultilevel"/>
    <w:lvl w:ilvl="0">
      <w:lvlJc w:val="left"/>
      <w:lvlText w:val="(%1)"/>
      <w:numFmt w:val="decimal"/>
      <w:start w:val="2"/>
    </w:lvl>
  </w:abstractNum>
  <w:abstractNum w:abstractNumId="24">
    <w:nsid w:val="57FC4FBB"/>
    <w:multiLevelType w:val="hybridMultilevel"/>
    <w:lvl w:ilvl="0">
      <w:lvlJc w:val="left"/>
      <w:lvlText w:val="(%1)"/>
      <w:numFmt w:val="decimal"/>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1"/>
      <w:numFmt w:val="decimal"/>
      <w:start w:val="57"/>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1"/>
      <w:numFmt w:val="decimal"/>
      <w:start w:val="58"/>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1"/>
      <w:numFmt w:val="decimal"/>
      <w:start w:val="59"/>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1)"/>
      <w:numFmt w:val="lowerRoman"/>
      <w:start w:val="1"/>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1)"/>
      <w:numFmt w:val="decimal"/>
      <w:start w:val="1"/>
    </w:lvl>
  </w:abstractNum>
  <w:abstractNum w:abstractNumId="50">
    <w:nsid w:val="53299938"/>
    <w:multiLevelType w:val="hybridMultilevel"/>
    <w:lvl w:ilvl="0">
      <w:lvlJc w:val="left"/>
      <w:lvlText w:val="(%1)"/>
      <w:numFmt w:val="decimal"/>
      <w:start w:val="2"/>
    </w:lvl>
  </w:abstractNum>
  <w:abstractNum w:abstractNumId="51">
    <w:nsid w:val="1FBFE8E0"/>
    <w:multiLevelType w:val="hybridMultilevel"/>
    <w:lvl w:ilvl="0">
      <w:lvlJc w:val="left"/>
      <w:lvlText w:val="•"/>
      <w:numFmt w:val="bullet"/>
      <w:start w:val="1"/>
    </w:lvl>
    <w:lvl w:ilvl="1">
      <w:lvlJc w:val="left"/>
      <w:lvlText w:val="•"/>
      <w:numFmt w:val="bullet"/>
      <w:start w:val="1"/>
    </w:lvl>
  </w:abstractNum>
  <w:abstractNum w:abstractNumId="52">
    <w:nsid w:val="5092CA79"/>
    <w:multiLevelType w:val="hybridMultilevel"/>
    <w:lvl w:ilvl="0">
      <w:lvlJc w:val="left"/>
      <w:lvlText w:val="•"/>
      <w:numFmt w:val="bullet"/>
      <w:start w:val="1"/>
    </w:lvl>
    <w:lvl w:ilvl="1">
      <w:lvlJc w:val="left"/>
      <w:lvlText w:val="•"/>
      <w:numFmt w:val="bullet"/>
      <w:start w:val="1"/>
    </w:lvl>
  </w:abstractNum>
  <w:abstractNum w:abstractNumId="53">
    <w:nsid w:val="1D545C4D"/>
    <w:multiLevelType w:val="hybridMultilevel"/>
    <w:lvl w:ilvl="0">
      <w:lvlJc w:val="left"/>
      <w:lvlText w:val="(%1)"/>
      <w:numFmt w:val="decimal"/>
      <w:start w:val="1"/>
    </w:lvl>
  </w:abstractNum>
  <w:abstractNum w:abstractNumId="54">
    <w:nsid w:val="59ADEA3D"/>
    <w:multiLevelType w:val="hybridMultilevel"/>
    <w:lvl w:ilvl="0">
      <w:lvlJc w:val="left"/>
      <w:lvlText w:val="(%1)"/>
      <w:numFmt w:val="decimal"/>
      <w:start w:val="2"/>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1"/>
      <w:numFmt w:val="decimal"/>
      <w:start w:val="60"/>
    </w:lvl>
  </w:abstractNum>
  <w:abstractNum w:abstractNumId="57">
    <w:nsid w:val="1D9F6E5F"/>
    <w:multiLevelType w:val="hybridMultilevel"/>
    <w:lvl w:ilvl="0">
      <w:lvlJc w:val="left"/>
      <w:lvlText w:val="%1"/>
      <w:numFmt w:val="decimal"/>
      <w:start w:val="62"/>
    </w:lvl>
  </w:abstractNum>
  <w:abstractNum w:abstractNumId="58">
    <w:nsid w:val="97E1B4E"/>
    <w:multiLevelType w:val="hybridMultilevel"/>
    <w:lvl w:ilvl="0">
      <w:lvlJc w:val="left"/>
      <w:lvlText w:val="%1"/>
      <w:numFmt w:val="decimal"/>
      <w:start w:val="63"/>
    </w:lvl>
  </w:abstractNum>
  <w:abstractNum w:abstractNumId="59">
    <w:nsid w:val="51088277"/>
    <w:multiLevelType w:val="hybridMultilevel"/>
    <w:lvl w:ilvl="0">
      <w:lvlJc w:val="left"/>
      <w:lvlText w:val="(%1)"/>
      <w:numFmt w:val="decimal"/>
      <w:start w:val="1"/>
    </w:lvl>
  </w:abstractNum>
  <w:abstractNum w:abstractNumId="60">
    <w:nsid w:val="1CA0C5FA"/>
    <w:multiLevelType w:val="hybridMultilevel"/>
    <w:lvl w:ilvl="0">
      <w:lvlJc w:val="left"/>
      <w:lvlText w:val="(%1)"/>
      <w:numFmt w:val="decimal"/>
      <w:start w:val="1"/>
    </w:lvl>
  </w:abstractNum>
  <w:abstractNum w:abstractNumId="61">
    <w:nsid w:val="53584BCB"/>
    <w:multiLevelType w:val="hybridMultilevel"/>
    <w:lvl w:ilvl="0">
      <w:lvlJc w:val="left"/>
      <w:lvlText w:val="(%1)"/>
      <w:numFmt w:val="decimal"/>
      <w:start w:val="1"/>
    </w:lvl>
  </w:abstractNum>
  <w:abstractNum w:abstractNumId="62">
    <w:nsid w:val="415E286C"/>
    <w:multiLevelType w:val="hybridMultilevel"/>
    <w:lvl w:ilvl="0">
      <w:lvlJc w:val="left"/>
      <w:lvlText w:val="(%1)"/>
      <w:numFmt w:val="decimal"/>
      <w:start w:val="1"/>
    </w:lvl>
  </w:abstractNum>
  <w:abstractNum w:abstractNumId="63">
    <w:nsid w:val="7C58FD05"/>
    <w:multiLevelType w:val="hybridMultilevel"/>
    <w:lvl w:ilvl="0">
      <w:lvlJc w:val="left"/>
      <w:lvlText w:val="(%1)"/>
      <w:numFmt w:val="decimal"/>
      <w:start w:val="1"/>
    </w:lvl>
  </w:abstractNum>
  <w:abstractNum w:abstractNumId="64">
    <w:nsid w:val="23D86AAC"/>
    <w:multiLevelType w:val="hybridMultilevel"/>
    <w:lvl w:ilvl="0">
      <w:lvlJc w:val="left"/>
      <w:lvlText w:val="(%1)"/>
      <w:numFmt w:val="decimal"/>
      <w:start w:val="1"/>
    </w:lvl>
  </w:abstractNum>
  <w:abstractNum w:abstractNumId="65">
    <w:nsid w:val="45E6D486"/>
    <w:multiLevelType w:val="hybridMultilevel"/>
    <w:lvl w:ilvl="0">
      <w:lvlJc w:val="left"/>
      <w:lvlText w:val="•"/>
      <w:numFmt w:val="bullet"/>
      <w:start w:val="1"/>
    </w:lvl>
  </w:abstractNum>
  <w:abstractNum w:abstractNumId="66">
    <w:nsid w:val="5C10FE21"/>
    <w:multiLevelType w:val="hybridMultilevel"/>
    <w:lvl w:ilvl="0">
      <w:lvlJc w:val="left"/>
      <w:lvlText w:val="•"/>
      <w:numFmt w:val="bullet"/>
      <w:start w:val="1"/>
    </w:lvl>
  </w:abstractNum>
  <w:abstractNum w:abstractNumId="67">
    <w:nsid w:val="E7FFA2B"/>
    <w:multiLevelType w:val="hybridMultilevel"/>
    <w:lvl w:ilvl="0">
      <w:lvlJc w:val="left"/>
      <w:lvlText w:val="(%1)"/>
      <w:numFmt w:val="decimal"/>
      <w:start w:val="1"/>
    </w:lvl>
  </w:abstractNum>
  <w:abstractNum w:abstractNumId="68">
    <w:nsid w:val="3C5991AA"/>
    <w:multiLevelType w:val="hybridMultilevel"/>
    <w:lvl w:ilvl="0">
      <w:lvlJc w:val="left"/>
      <w:lvlText w:val="(%1)"/>
      <w:numFmt w:val="decimal"/>
      <w:start w:val="1"/>
    </w:lvl>
  </w:abstractNum>
  <w:abstractNum w:abstractNumId="69">
    <w:nsid w:val="4BD8591A"/>
    <w:multiLevelType w:val="hybridMultilevel"/>
    <w:lvl w:ilvl="0">
      <w:lvlJc w:val="left"/>
      <w:lvlText w:val="(%1)"/>
      <w:numFmt w:val="decimal"/>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1)"/>
      <w:numFmt w:val="decimal"/>
      <w:start w:val="842"/>
    </w:lvl>
  </w:abstractNum>
  <w:abstractNum w:abstractNumId="73">
    <w:nsid w:val="6C80EC70"/>
    <w:multiLevelType w:val="hybridMultilevel"/>
    <w:lvl w:ilvl="0">
      <w:lvlJc w:val="left"/>
      <w:lvlText w:val="%1"/>
      <w:numFmt w:val="decimal"/>
      <w:start w:val="64"/>
    </w:lvl>
  </w:abstractNum>
  <w:abstractNum w:abstractNumId="74">
    <w:nsid w:val="379E21B5"/>
    <w:multiLevelType w:val="hybridMultilevel"/>
    <w:lvl w:ilvl="0">
      <w:lvlJc w:val="left"/>
      <w:lvlText w:val="%1"/>
      <w:numFmt w:val="decimal"/>
      <w:start w:val="68"/>
    </w:lvl>
  </w:abstractNum>
  <w:abstractNum w:abstractNumId="75">
    <w:nsid w:val="69E373"/>
    <w:multiLevelType w:val="hybridMultilevel"/>
    <w:lvl w:ilvl="0">
      <w:lvlJc w:val="left"/>
      <w:lvlText w:val="%1"/>
      <w:numFmt w:val="decimal"/>
      <w:start w:val="71"/>
    </w:lvl>
  </w:abstractNum>
  <w:abstractNum w:abstractNumId="76">
    <w:nsid w:val="2C27173B"/>
    <w:multiLevelType w:val="hybridMultilevel"/>
    <w:lvl w:ilvl="0">
      <w:lvlJc w:val="left"/>
      <w:lvlText w:val="%1"/>
      <w:numFmt w:val="decimal"/>
      <w:start w:val="80"/>
    </w:lvl>
  </w:abstractNum>
  <w:abstractNum w:abstractNumId="77">
    <w:nsid w:val="4C9B0904"/>
    <w:multiLevelType w:val="hybridMultilevel"/>
    <w:lvl w:ilvl="0">
      <w:lvlJc w:val="left"/>
      <w:lvlText w:val="%1"/>
      <w:numFmt w:val="decimal"/>
      <w:start w:val="86"/>
    </w:lvl>
  </w:abstractNum>
  <w:abstractNum w:abstractNumId="78">
    <w:nsid w:val="6AA7B75C"/>
    <w:multiLevelType w:val="hybridMultilevel"/>
    <w:lvl w:ilvl="0">
      <w:lvlJc w:val="left"/>
      <w:lvlText w:val="%1"/>
      <w:numFmt w:val="decimal"/>
      <w:start w:val="95"/>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
      <w:numFmt w:val="bullet"/>
      <w:start w:val="1"/>
    </w:lvl>
  </w:abstractNum>
  <w:abstractNum w:abstractNumId="81">
    <w:nsid w:val="3DD15094"/>
    <w:multiLevelType w:val="hybridMultilevel"/>
    <w:lvl w:ilvl="0">
      <w:lvlJc w:val="left"/>
      <w:lvlText w:val="%1"/>
      <w:numFmt w:val="decimal"/>
      <w:start w:val="97"/>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1"/>
      <w:numFmt w:val="decimal"/>
      <w:start w:val="100"/>
    </w:lvl>
  </w:abstractNum>
  <w:abstractNum w:abstractNumId="84">
    <w:nsid w:val="5B25ACE2"/>
    <w:multiLevelType w:val="hybridMultilevel"/>
    <w:lvl w:ilvl="0">
      <w:lvlJc w:val="left"/>
      <w:lvlText w:val="%1"/>
      <w:numFmt w:val="decimal"/>
      <w:start w:val="102"/>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1"/>
      <w:numFmt w:val="decimal"/>
      <w:start w:val="107"/>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1"/>
      <w:numFmt w:val="decimal"/>
      <w:start w:val="108"/>
    </w:lvl>
  </w:abstractNum>
  <w:abstractNum w:abstractNumId="92">
    <w:nsid w:val="2C6E4AFD"/>
    <w:multiLevelType w:val="hybridMultilevel"/>
    <w:lvl w:ilvl="0">
      <w:lvlJc w:val="left"/>
      <w:lvlText w:val="%1"/>
      <w:numFmt w:val="decimal"/>
      <w:start w:val="109"/>
    </w:lvl>
  </w:abstractNum>
  <w:abstractNum w:abstractNumId="93">
    <w:nsid w:val="17A1B582"/>
    <w:multiLevelType w:val="hybridMultilevel"/>
    <w:lvl w:ilvl="0">
      <w:lvlJc w:val="left"/>
      <w:lvlText w:val="•"/>
      <w:numFmt w:val="bullet"/>
      <w:start w:val="1"/>
    </w:lvl>
  </w:abstractNum>
  <w:abstractNum w:abstractNumId="94">
    <w:nsid w:val="4DF72E4E"/>
    <w:multiLevelType w:val="hybridMultilevel"/>
    <w:lvl w:ilvl="0">
      <w:lvlJc w:val="left"/>
      <w:lvlText w:val="%1"/>
      <w:numFmt w:val="decimal"/>
      <w:start w:val="110"/>
    </w:lvl>
  </w:abstractNum>
  <w:abstractNum w:abstractNumId="95">
    <w:nsid w:val="5046B5A9"/>
    <w:multiLevelType w:val="hybridMultilevel"/>
    <w:lvl w:ilvl="0">
      <w:lvlJc w:val="left"/>
      <w:lvlText w:val="•"/>
      <w:numFmt w:val="bullet"/>
      <w:start w:val="1"/>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1"/>
      <w:numFmt w:val="decimal"/>
      <w:start w:val="111"/>
    </w:lvl>
  </w:abstractNum>
  <w:abstractNum w:abstractNumId="98">
    <w:nsid w:val="5EC6AFD4"/>
    <w:multiLevelType w:val="hybridMultilevel"/>
    <w:lvl w:ilvl="0">
      <w:lvlJc w:val="left"/>
      <w:lvlText w:val="•"/>
      <w:numFmt w:val="bullet"/>
      <w:start w:val="1"/>
    </w:lvl>
  </w:abstractNum>
  <w:abstractNum w:abstractNumId="99">
    <w:nsid w:val="19E21BB2"/>
    <w:multiLevelType w:val="hybridMultilevel"/>
    <w:lvl w:ilvl="0">
      <w:lvlJc w:val="left"/>
      <w:lvlText w:val="•"/>
      <w:numFmt w:val="bullet"/>
      <w:start w:val="1"/>
    </w:lvl>
  </w:abstractNum>
  <w:abstractNum w:abstractNumId="100">
    <w:nsid w:val="75E0858A"/>
    <w:multiLevelType w:val="hybridMultilevel"/>
    <w:lvl w:ilvl="0">
      <w:lvlJc w:val="left"/>
      <w:lvlText w:val="•"/>
      <w:numFmt w:val="bullet"/>
      <w:start w:val="1"/>
    </w:lvl>
  </w:abstractNum>
  <w:abstractNum w:abstractNumId="101">
    <w:nsid w:val="57A61A29"/>
    <w:multiLevelType w:val="hybridMultilevel"/>
    <w:lvl w:ilvl="0">
      <w:lvlJc w:val="left"/>
      <w:lvlText w:val="•"/>
      <w:numFmt w:val="bullet"/>
      <w:start w:val="1"/>
    </w:lvl>
  </w:abstractNum>
  <w:abstractNum w:abstractNumId="102">
    <w:nsid w:val="5399C654"/>
    <w:multiLevelType w:val="hybridMultilevel"/>
    <w:lvl w:ilvl="0">
      <w:lvlJc w:val="left"/>
      <w:lvlText w:val="•"/>
      <w:numFmt w:val="bullet"/>
      <w:start w:val="1"/>
    </w:lvl>
  </w:abstractNum>
  <w:abstractNum w:abstractNumId="103">
    <w:nsid w:val="20EE1348"/>
    <w:multiLevelType w:val="hybridMultilevel"/>
    <w:lvl w:ilvl="0">
      <w:lvlJc w:val="left"/>
      <w:lvlText w:val="(%1)"/>
      <w:numFmt w:val="decimal"/>
      <w:start w:val="1"/>
    </w:lvl>
  </w:abstractNum>
  <w:abstractNum w:abstractNumId="104">
    <w:nsid w:val="4427069A"/>
    <w:multiLevelType w:val="hybridMultilevel"/>
    <w:lvl w:ilvl="0">
      <w:lvlJc w:val="left"/>
      <w:lvlText w:val="%1"/>
      <w:numFmt w:val="decimal"/>
      <w:start w:val="1"/>
    </w:lvl>
    <w:lvl w:ilvl="1">
      <w:lvlJc w:val="left"/>
      <w:lvlText w:val="(%2)"/>
      <w:numFmt w:val="lowerLetter"/>
      <w:start w:val="1"/>
    </w:lvl>
  </w:abstractNum>
  <w:abstractNum w:abstractNumId="105">
    <w:nsid w:val="B37E80A"/>
    <w:multiLevelType w:val="hybridMultilevel"/>
    <w:lvl w:ilvl="0">
      <w:lvlJc w:val="left"/>
      <w:lvlText w:val="(%1)"/>
      <w:numFmt w:val="decimal"/>
      <w:start w:val="3"/>
    </w:lvl>
    <w:lvl w:ilvl="1">
      <w:lvlJc w:val="left"/>
      <w:lvlText w:val="%2"/>
      <w:numFmt w:val="lowerLetter"/>
      <w:start w:val="1"/>
    </w:lvl>
  </w:abstractNum>
  <w:abstractNum w:abstractNumId="106">
    <w:nsid w:val="2157F6BC"/>
    <w:multiLevelType w:val="hybridMultilevel"/>
    <w:lvl w:ilvl="0">
      <w:lvlJc w:val="left"/>
      <w:lvlText w:val="•"/>
      <w:numFmt w:val="bullet"/>
      <w:start w:val="1"/>
    </w:lvl>
  </w:abstractNum>
  <w:abstractNum w:abstractNumId="107">
    <w:nsid w:val="704E1DD5"/>
    <w:multiLevelType w:val="hybridMultilevel"/>
    <w:lvl w:ilvl="0">
      <w:lvlJc w:val="left"/>
      <w:lvlText w:val="•"/>
      <w:numFmt w:val="bullet"/>
      <w:start w:val="1"/>
    </w:lvl>
  </w:abstractNum>
  <w:abstractNum w:abstractNumId="108">
    <w:nsid w:val="57D2F10E"/>
    <w:multiLevelType w:val="hybridMultilevel"/>
    <w:lvl w:ilvl="0">
      <w:lvlJc w:val="left"/>
      <w:lvlText w:val="(%1)"/>
      <w:numFmt w:val="decimal"/>
      <w:start w:val="1"/>
    </w:lvl>
  </w:abstractNum>
  <w:abstractNum w:abstractNumId="109">
    <w:nsid w:val="BFFAE18"/>
    <w:multiLevelType w:val="hybridMultilevel"/>
    <w:lvl w:ilvl="0">
      <w:lvlJc w:val="left"/>
      <w:lvlText w:val="(%1)"/>
      <w:numFmt w:val="decimal"/>
      <w:start w:val="1"/>
    </w:lvl>
  </w:abstractNum>
  <w:abstractNum w:abstractNumId="110">
    <w:nsid w:val="E3E47A8"/>
    <w:multiLevelType w:val="hybridMultilevel"/>
    <w:lvl w:ilvl="0">
      <w:lvlJc w:val="left"/>
      <w:lvlText w:val="•"/>
      <w:numFmt w:val="bullet"/>
      <w:start w:val="1"/>
    </w:lvl>
  </w:abstractNum>
  <w:abstractNum w:abstractNumId="111">
    <w:nsid w:val="2E48F044"/>
    <w:multiLevelType w:val="hybridMultilevel"/>
    <w:lvl w:ilvl="0">
      <w:lvlJc w:val="left"/>
      <w:lvlText w:val="•"/>
      <w:numFmt w:val="bullet"/>
      <w:start w:val="1"/>
    </w:lvl>
  </w:abstractNum>
  <w:abstractNum w:abstractNumId="112">
    <w:nsid w:val="49D0FEAC"/>
    <w:multiLevelType w:val="hybridMultilevel"/>
    <w:lvl w:ilvl="0">
      <w:lvlJc w:val="left"/>
      <w:lvlText w:val="•"/>
      <w:numFmt w:val="bullet"/>
      <w:start w:val="1"/>
    </w:lvl>
  </w:abstractNum>
  <w:abstractNum w:abstractNumId="113">
    <w:nsid w:val="4BEE5A5B"/>
    <w:multiLevelType w:val="hybridMultilevel"/>
    <w:lvl w:ilvl="0">
      <w:lvlJc w:val="left"/>
      <w:lvlText w:val="(%1)"/>
      <w:numFmt w:val="lowerLetter"/>
      <w:start w:val="3"/>
    </w:lvl>
  </w:abstractNum>
  <w:abstractNum w:abstractNumId="114">
    <w:nsid w:val="5551B9F3"/>
    <w:multiLevelType w:val="hybridMultilevel"/>
    <w:lvl w:ilvl="0">
      <w:lvlJc w:val="left"/>
      <w:lvlText w:val="•"/>
      <w:numFmt w:val="bullet"/>
      <w:start w:val="1"/>
    </w:lvl>
  </w:abstractNum>
  <w:abstractNum w:abstractNumId="115">
    <w:nsid w:val="24F6AB8E"/>
    <w:multiLevelType w:val="hybridMultilevel"/>
    <w:lvl w:ilvl="0">
      <w:lvlJc w:val="left"/>
      <w:lvlText w:val="(%1)"/>
      <w:numFmt w:val="decimal"/>
      <w:start w:val="1"/>
    </w:lvl>
  </w:abstractNum>
  <w:abstractNum w:abstractNumId="116">
    <w:nsid w:val="634C574C"/>
    <w:multiLevelType w:val="hybridMultilevel"/>
    <w:lvl w:ilvl="0">
      <w:lvlJc w:val="left"/>
      <w:lvlText w:val="•"/>
      <w:numFmt w:val="bullet"/>
      <w:start w:val="1"/>
    </w:lvl>
  </w:abstractNum>
  <w:abstractNum w:abstractNumId="117">
    <w:nsid w:val="24E99DD7"/>
    <w:multiLevelType w:val="hybridMultilevel"/>
    <w:lvl w:ilvl="0">
      <w:lvlJc w:val="left"/>
      <w:lvlText w:val="•"/>
      <w:numFmt w:val="bullet"/>
      <w:start w:val="1"/>
    </w:lvl>
  </w:abstractNum>
  <w:abstractNum w:abstractNumId="118">
    <w:nsid w:val="2A31B62D"/>
    <w:multiLevelType w:val="hybridMultilevel"/>
    <w:lvl w:ilvl="0">
      <w:lvlJc w:val="left"/>
      <w:lvlText w:val="*"/>
      <w:numFmt w:val="bullet"/>
      <w:start w:val="1"/>
    </w:lvl>
  </w:abstractNum>
  <w:abstractNum w:abstractNumId="119">
    <w:nsid w:val="1849C29B"/>
    <w:multiLevelType w:val="hybridMultilevel"/>
    <w:lvl w:ilvl="0">
      <w:lvlJc w:val="left"/>
      <w:lvlText w:val="(%1)"/>
      <w:numFmt w:val="decimal"/>
      <w:start w:val="1"/>
    </w:lvl>
  </w:abstractNum>
  <w:abstractNum w:abstractNumId="120">
    <w:nsid w:val="7DFF9D09"/>
    <w:multiLevelType w:val="hybridMultilevel"/>
    <w:lvl w:ilvl="0">
      <w:lvlJc w:val="left"/>
      <w:lvlText w:val="(%1)"/>
      <w:numFmt w:val="decimal"/>
      <w:start w:val="8"/>
    </w:lvl>
  </w:abstractNum>
  <w:abstractNum w:abstractNumId="121">
    <w:nsid w:val="754342"/>
    <w:multiLevelType w:val="hybridMultilevel"/>
    <w:lvl w:ilvl="0">
      <w:lvlJc w:val="left"/>
      <w:lvlText w:val="(%1)"/>
      <w:numFmt w:val="decimal"/>
      <w:start w:val="21"/>
    </w:lvl>
  </w:abstractNum>
  <w:abstractNum w:abstractNumId="122">
    <w:nsid w:val="69E7F3E5"/>
    <w:multiLevelType w:val="hybridMultilevel"/>
    <w:lvl w:ilvl="0">
      <w:lvlJc w:val="left"/>
      <w:lvlText w:val="•"/>
      <w:numFmt w:val="bullet"/>
      <w:start w:val="1"/>
    </w:lvl>
  </w:abstractNum>
  <w:abstractNum w:abstractNumId="123">
    <w:nsid w:val="2A6DE806"/>
    <w:multiLevelType w:val="hybridMultilevel"/>
    <w:lvl w:ilvl="0">
      <w:lvlJc w:val="left"/>
      <w:lvlText w:val="•"/>
      <w:numFmt w:val="bullet"/>
      <w:start w:val="1"/>
    </w:lvl>
  </w:abstractNum>
  <w:abstractNum w:abstractNumId="124">
    <w:nsid w:val="1816F8C4"/>
    <w:multiLevelType w:val="hybridMultilevel"/>
    <w:lvl w:ilvl="0">
      <w:lvlJc w:val="left"/>
      <w:lvlText w:val="•"/>
      <w:numFmt w:val="bullet"/>
      <w:start w:val="1"/>
    </w:lvl>
  </w:abstractNum>
  <w:abstractNum w:abstractNumId="125">
    <w:nsid w:val="37DF2233"/>
    <w:multiLevelType w:val="hybridMultilevel"/>
    <w:lvl w:ilvl="0">
      <w:lvlJc w:val="left"/>
      <w:lvlText w:val="•"/>
      <w:numFmt w:val="bullet"/>
      <w:start w:val="1"/>
    </w:lvl>
  </w:abstractNum>
  <w:abstractNum w:abstractNumId="126">
    <w:nsid w:val="7AB49DAF"/>
    <w:multiLevelType w:val="hybridMultilevel"/>
    <w:lvl w:ilvl="0">
      <w:lvlJc w:val="left"/>
      <w:lvlText w:val="•"/>
      <w:numFmt w:val="bullet"/>
      <w:start w:val="1"/>
    </w:lvl>
  </w:abstractNum>
  <w:abstractNum w:abstractNumId="127">
    <w:nsid w:val="759F82CD"/>
    <w:multiLevelType w:val="hybridMultilevel"/>
    <w:lvl w:ilvl="0">
      <w:lvlJc w:val="left"/>
      <w:lvlText w:val="•"/>
      <w:numFmt w:val="bullet"/>
      <w:start w:val="1"/>
    </w:lvl>
  </w:abstractNum>
  <w:abstractNum w:abstractNumId="128">
    <w:nsid w:val="61E74EA3"/>
    <w:multiLevelType w:val="hybridMultilevel"/>
    <w:lvl w:ilvl="0">
      <w:lvlJc w:val="left"/>
      <w:lvlText w:val="•"/>
      <w:numFmt w:val="bullet"/>
      <w:start w:val="1"/>
    </w:lvl>
  </w:abstractNum>
  <w:abstractNum w:abstractNumId="129">
    <w:nsid w:val="597B4D84"/>
    <w:multiLevelType w:val="hybridMultilevel"/>
    <w:lvl w:ilvl="0">
      <w:lvlJc w:val="left"/>
      <w:lvlText w:val="•"/>
      <w:numFmt w:val="bullet"/>
      <w:start w:val="1"/>
    </w:lvl>
  </w:abstractNum>
  <w:abstractNum w:abstractNumId="130">
    <w:nsid w:val="F819E7F"/>
    <w:multiLevelType w:val="hybridMultilevel"/>
    <w:lvl w:ilvl="0">
      <w:lvlJc w:val="left"/>
      <w:lvlText w:val="&amp;"/>
      <w:numFmt w:val="bullet"/>
      <w:start w:val="1"/>
    </w:lvl>
  </w:abstractNum>
  <w:abstractNum w:abstractNumId="131">
    <w:nsid w:val="57C7D42D"/>
    <w:multiLevelType w:val="hybridMultilevel"/>
    <w:lvl w:ilvl="0">
      <w:lvlJc w:val="left"/>
      <w:lvlText w:val="(%1)"/>
      <w:numFmt w:val="lowerLetter"/>
      <w:start w:val="1"/>
    </w:lvl>
  </w:abstractNum>
  <w:abstractNum w:abstractNumId="132">
    <w:nsid w:val="312167AD"/>
    <w:multiLevelType w:val="hybridMultilevel"/>
    <w:lvl w:ilvl="0">
      <w:lvlJc w:val="left"/>
      <w:lvlText w:val="(%1)"/>
      <w:numFmt w:val="lowerLetter"/>
      <w:start w:val="2"/>
    </w:lvl>
  </w:abstractNum>
  <w:abstractNum w:abstractNumId="133">
    <w:nsid w:val="631B64D4"/>
    <w:multiLevelType w:val="hybridMultilevel"/>
    <w:lvl w:ilvl="0">
      <w:lvlJc w:val="left"/>
      <w:lvlText w:val="(%1)"/>
      <w:numFmt w:val="lowerLetter"/>
      <w:start w:val="1"/>
    </w:lvl>
  </w:abstractNum>
  <w:abstractNum w:abstractNumId="134">
    <w:nsid w:val="78B5E776"/>
    <w:multiLevelType w:val="hybridMultilevel"/>
    <w:lvl w:ilvl="0">
      <w:lvlJc w:val="left"/>
      <w:lvlText w:val="(%1)"/>
      <w:numFmt w:val="lowerLetter"/>
      <w:start w:val="1"/>
    </w:lvl>
  </w:abstractNum>
  <w:abstractNum w:abstractNumId="135">
    <w:nsid w:val="75486E47"/>
    <w:multiLevelType w:val="hybridMultilevel"/>
    <w:lvl w:ilvl="0">
      <w:lvlJc w:val="left"/>
      <w:lvlText w:val="(%1)"/>
      <w:numFmt w:val="lowerRoman"/>
      <w:start w:val="3"/>
    </w:lvl>
  </w:abstractNum>
  <w:abstractNum w:abstractNumId="136">
    <w:nsid w:val="6E534CDE"/>
    <w:multiLevelType w:val="hybridMultilevel"/>
    <w:lvl w:ilvl="0">
      <w:lvlJc w:val="left"/>
      <w:lvlText w:val="*"/>
      <w:numFmt w:val="bullet"/>
      <w:start w:val="1"/>
    </w:lvl>
  </w:abstractNum>
  <w:abstractNum w:abstractNumId="137">
    <w:nsid w:val="1A0DDE32"/>
    <w:multiLevelType w:val="hybridMultilevel"/>
    <w:lvl w:ilvl="0">
      <w:lvlJc w:val="left"/>
      <w:lvlText w:val="(%1)"/>
      <w:numFmt w:val="lowerRoman"/>
      <w:start w:val="2"/>
    </w:lvl>
  </w:abstractNum>
  <w:abstractNum w:abstractNumId="138">
    <w:nsid w:val="65968C1C"/>
    <w:multiLevelType w:val="hybridMultilevel"/>
    <w:lvl w:ilvl="0">
      <w:lvlJc w:val="left"/>
      <w:lvlText w:val="(%1)"/>
      <w:numFmt w:val="decimal"/>
      <w:start w:val="1"/>
    </w:lvl>
  </w:abstractNum>
  <w:abstractNum w:abstractNumId="139">
    <w:nsid w:val="46263DEC"/>
    <w:multiLevelType w:val="hybridMultilevel"/>
    <w:lvl w:ilvl="0">
      <w:lvlJc w:val="left"/>
      <w:lvlText w:val="%1."/>
      <w:numFmt w:val="decimal"/>
      <w:start w:val="3"/>
    </w:lvl>
  </w:abstractNum>
  <w:abstractNum w:abstractNumId="140">
    <w:nsid w:val="260D8C4A"/>
    <w:multiLevelType w:val="hybridMultilevel"/>
    <w:lvl w:ilvl="0">
      <w:lvlJc w:val="left"/>
      <w:lvlText w:val="(%1)"/>
      <w:numFmt w:val="decimal"/>
      <w:start w:val="1"/>
    </w:lvl>
  </w:abstractNum>
  <w:abstractNum w:abstractNumId="141">
    <w:nsid w:val="73D4D3C4"/>
    <w:multiLevelType w:val="hybridMultilevel"/>
    <w:lvl w:ilvl="0">
      <w:lvlJc w:val="left"/>
      <w:lvlText w:val="(%1)"/>
      <w:numFmt w:val="decimal"/>
      <w:start w:val="1"/>
    </w:lvl>
  </w:abstractNum>
  <w:abstractNum w:abstractNumId="142">
    <w:nsid w:val="746F2E30"/>
    <w:multiLevelType w:val="hybridMultilevel"/>
    <w:lvl w:ilvl="0">
      <w:lvlJc w:val="left"/>
      <w:lvlText w:val="*"/>
      <w:numFmt w:val="bullet"/>
      <w:start w:val="1"/>
    </w:lvl>
  </w:abstractNum>
  <w:abstractNum w:abstractNumId="143">
    <w:nsid w:val="6FDE8AF6"/>
    <w:multiLevelType w:val="hybridMultilevel"/>
    <w:lvl w:ilvl="0">
      <w:lvlJc w:val="left"/>
      <w:lvlText w:val="$"/>
      <w:numFmt w:val="bullet"/>
      <w:start w:val="1"/>
    </w:lvl>
  </w:abstractNum>
  <w:abstractNum w:abstractNumId="144">
    <w:nsid w:val="3FC32E20"/>
    <w:multiLevelType w:val="hybridMultilevel"/>
    <w:lvl w:ilvl="0">
      <w:lvlJc w:val="left"/>
      <w:lvlText w:val="$"/>
      <w:numFmt w:val="bullet"/>
      <w:start w:val="1"/>
    </w:lvl>
  </w:abstractNum>
  <w:abstractNum w:abstractNumId="145">
    <w:nsid w:val="49C0E823"/>
    <w:multiLevelType w:val="hybridMultilevel"/>
    <w:lvl w:ilvl="0">
      <w:lvlJc w:val="left"/>
      <w:lvlText w:val="$"/>
      <w:numFmt w:val="bullet"/>
      <w:start w:val="1"/>
    </w:lvl>
  </w:abstractNum>
  <w:abstractNum w:abstractNumId="146">
    <w:nsid w:val="14D53685"/>
    <w:multiLevelType w:val="hybridMultilevel"/>
    <w:lvl w:ilvl="0">
      <w:lvlJc w:val="left"/>
      <w:lvlText w:val="$"/>
      <w:numFmt w:val="bullet"/>
      <w:start w:val="1"/>
    </w:lvl>
  </w:abstractNum>
  <w:abstractNum w:abstractNumId="147">
    <w:nsid w:val="230F856C"/>
    <w:multiLevelType w:val="hybridMultilevel"/>
    <w:lvl w:ilvl="0">
      <w:lvlJc w:val="left"/>
      <w:lvlText w:val="(%1)"/>
      <w:numFmt w:val="decimal"/>
      <w:start w:val="1"/>
    </w:lvl>
  </w:abstractNum>
  <w:abstractNum w:abstractNumId="148">
    <w:nsid w:val="6EAA85FB"/>
    <w:multiLevelType w:val="hybridMultilevel"/>
    <w:lvl w:ilvl="0">
      <w:lvlJc w:val="left"/>
      <w:lvlText w:val="(%1)"/>
      <w:numFmt w:val="decimal"/>
      <w:start w:val="1"/>
    </w:lvl>
  </w:abstractNum>
  <w:abstractNum w:abstractNumId="149">
    <w:nsid w:val="3F06ECB2"/>
    <w:multiLevelType w:val="hybridMultilevel"/>
    <w:lvl w:ilvl="0">
      <w:lvlJc w:val="left"/>
      <w:lvlText w:val="(%1)"/>
      <w:numFmt w:val="decimal"/>
      <w:start w:val="1"/>
    </w:lvl>
  </w:abstractNum>
  <w:abstractNum w:abstractNumId="150">
    <w:nsid w:val="3B594807"/>
    <w:multiLevelType w:val="hybridMultilevel"/>
    <w:lvl w:ilvl="0">
      <w:lvlJc w:val="left"/>
      <w:lvlText w:val="*"/>
      <w:numFmt w:val="bullet"/>
      <w:start w:val="1"/>
    </w:lvl>
  </w:abstractNum>
  <w:abstractNum w:abstractNumId="151">
    <w:nsid w:val="6CAA2304"/>
    <w:multiLevelType w:val="hybridMultilevel"/>
    <w:lvl w:ilvl="0">
      <w:lvlJc w:val="left"/>
      <w:lvlText w:val="%1."/>
      <w:numFmt w:val="decimal"/>
      <w:start w:val="9"/>
    </w:lvl>
  </w:abstractNum>
  <w:abstractNum w:abstractNumId="152">
    <w:nsid w:val="3F7C2FF4"/>
    <w:multiLevelType w:val="hybridMultilevel"/>
    <w:lvl w:ilvl="0">
      <w:lvlJc w:val="left"/>
      <w:lvlText w:val="(%1)"/>
      <w:numFmt w:val="lowerRoman"/>
      <w:start w:val="2"/>
    </w:lvl>
  </w:abstractNum>
  <w:abstractNum w:abstractNumId="153">
    <w:nsid w:val="25413BEC"/>
    <w:multiLevelType w:val="hybridMultilevel"/>
    <w:lvl w:ilvl="0">
      <w:lvlJc w:val="left"/>
      <w:lvlText w:val="%1."/>
      <w:numFmt w:val="decimal"/>
      <w:start w:val="13"/>
    </w:lvl>
  </w:abstractNum>
  <w:abstractNum w:abstractNumId="154">
    <w:nsid w:val="17180B0B"/>
    <w:multiLevelType w:val="hybridMultilevel"/>
    <w:lvl w:ilvl="0">
      <w:lvlJc w:val="left"/>
      <w:lvlText w:val="%1."/>
      <w:numFmt w:val="decimal"/>
      <w:start w:val="17"/>
    </w:lvl>
  </w:abstractNum>
  <w:abstractNum w:abstractNumId="155">
    <w:nsid w:val="579328B9"/>
    <w:multiLevelType w:val="hybridMultilevel"/>
    <w:lvl w:ilvl="0">
      <w:lvlJc w:val="left"/>
      <w:lvlText w:val="•"/>
      <w:numFmt w:val="bullet"/>
      <w:start w:val="1"/>
    </w:lvl>
  </w:abstractNum>
  <w:abstractNum w:abstractNumId="156">
    <w:nsid w:val="5D205E20"/>
    <w:multiLevelType w:val="hybridMultilevel"/>
    <w:lvl w:ilvl="0">
      <w:lvlJc w:val="left"/>
      <w:lvlText w:val="(%1)"/>
      <w:numFmt w:val="lowerLetter"/>
      <w:start w:val="1"/>
    </w:lvl>
  </w:abstractNum>
  <w:abstractNum w:abstractNumId="157">
    <w:nsid w:val="11CCA8BA"/>
    <w:multiLevelType w:val="hybridMultilevel"/>
    <w:lvl w:ilvl="0">
      <w:lvlJc w:val="left"/>
      <w:lvlText w:val="(%1)"/>
      <w:numFmt w:val="lowerLetter"/>
      <w:start w:val="2"/>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53"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463" Type="http://schemas.openxmlformats.org/officeDocument/2006/relationships/image" Target="media/image427.png"/><Relationship Id="rId464" Type="http://schemas.openxmlformats.org/officeDocument/2006/relationships/image" Target="media/image428.png"/><Relationship Id="rId465" Type="http://schemas.openxmlformats.org/officeDocument/2006/relationships/image" Target="media/image429.png"/><Relationship Id="rId466" Type="http://schemas.openxmlformats.org/officeDocument/2006/relationships/image" Target="media/image430.png"/><Relationship Id="rId467" Type="http://schemas.openxmlformats.org/officeDocument/2006/relationships/image" Target="media/image431.png"/><Relationship Id="rId468" Type="http://schemas.openxmlformats.org/officeDocument/2006/relationships/image" Target="media/image432.png"/><Relationship Id="rId46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472" Type="http://schemas.openxmlformats.org/officeDocument/2006/relationships/image" Target="media/image436.png"/><Relationship Id="rId473" Type="http://schemas.openxmlformats.org/officeDocument/2006/relationships/image" Target="media/image437.png"/><Relationship Id="rId474" Type="http://schemas.openxmlformats.org/officeDocument/2006/relationships/image" Target="media/image438.png"/><Relationship Id="rId475" Type="http://schemas.openxmlformats.org/officeDocument/2006/relationships/image" Target="media/image439.png"/><Relationship Id="rId431" Type="http://schemas.openxmlformats.org/officeDocument/2006/relationships/hyperlink" Target="http://www.sec.gov/Archives/edgar/data/1647639/000119312520309971/d867925dex11.htm" TargetMode="External"/><Relationship Id="rId432" Type="http://schemas.openxmlformats.org/officeDocument/2006/relationships/hyperlink" Target="http://www.sec.gov/Archives/edgar/data/1647639/000119312520309971/d867925dex31.htm" TargetMode="External"/><Relationship Id="rId433" Type="http://schemas.openxmlformats.org/officeDocument/2006/relationships/hyperlink" Target="http://www.sec.gov/Archives/edgar/data/1647639/000119312520309971/d867925dex32.htm" TargetMode="External"/><Relationship Id="rId434" Type="http://schemas.openxmlformats.org/officeDocument/2006/relationships/hyperlink" Target="http://www.sec.gov/Archives/edgar/data/0001647639/000119312520288095/d867925dex33.htm" TargetMode="External"/><Relationship Id="rId435" Type="http://schemas.openxmlformats.org/officeDocument/2006/relationships/hyperlink" Target="http://www.sec.gov/Archives/edgar/data/1647639/000119312520309971/d867925dex34.htm" TargetMode="External"/><Relationship Id="rId436" Type="http://schemas.openxmlformats.org/officeDocument/2006/relationships/hyperlink" Target="http://www.sec.gov/Archives/edgar/data/1647639/000119312520309971/d867925dex41.htm" TargetMode="External"/><Relationship Id="rId437" Type="http://schemas.openxmlformats.org/officeDocument/2006/relationships/hyperlink" Target="http://www.sec.gov/Archives/edgar/data/0001647639/000119312520288095/d867925dex42.htm" TargetMode="External"/><Relationship Id="rId438" Type="http://schemas.openxmlformats.org/officeDocument/2006/relationships/hyperlink" Target="http://www.sec.gov/Archives/edgar/data/0001647639/000119312520288095/d867925dex43.htm" TargetMode="External"/><Relationship Id="rId439" Type="http://schemas.openxmlformats.org/officeDocument/2006/relationships/hyperlink" Target="http://www.sec.gov/Archives/edgar/data/1647639/000119312520309971/d867925dex44.htm" TargetMode="External"/><Relationship Id="rId440" Type="http://schemas.openxmlformats.org/officeDocument/2006/relationships/hyperlink" Target="http://www.sec.gov/Archives/edgar/data/1647639/000119312520309971/d867925dex51.htm" TargetMode="External"/><Relationship Id="rId441" Type="http://schemas.openxmlformats.org/officeDocument/2006/relationships/hyperlink" Target="http://www.sec.gov/Archives/edgar/data/1647639/000119312520309971/d867925dex101.htm" TargetMode="External"/><Relationship Id="rId442" Type="http://schemas.openxmlformats.org/officeDocument/2006/relationships/hyperlink" Target="http://www.sec.gov/Archives/edgar/data/1647639/000119312520309971/d867925dex102.htm" TargetMode="External"/><Relationship Id="rId443" Type="http://schemas.openxmlformats.org/officeDocument/2006/relationships/hyperlink" Target="http://www.sec.gov/Archives/edgar/data/0001647639/000119312520288095/d867925dex103.htm" TargetMode="External"/><Relationship Id="rId444" Type="http://schemas.openxmlformats.org/officeDocument/2006/relationships/hyperlink" Target="http://www.sec.gov/Archives/edgar/data/1647639/000119312520309971/d867925dex104.htm" TargetMode="External"/><Relationship Id="rId445" Type="http://schemas.openxmlformats.org/officeDocument/2006/relationships/hyperlink" Target="http://www.sec.gov/Archives/edgar/data/1647639/000119312520309971/d867925dex105.htm" TargetMode="External"/><Relationship Id="rId446" Type="http://schemas.openxmlformats.org/officeDocument/2006/relationships/hyperlink" Target="http://www.sec.gov/Archives/edgar/data/1647639/000119312520309971/d867925dex106.htm" TargetMode="External"/><Relationship Id="rId447" Type="http://schemas.openxmlformats.org/officeDocument/2006/relationships/hyperlink" Target="http://www.sec.gov/Archives/edgar/data/1647639/000119312520309971/d867925dex107.htm" TargetMode="External"/><Relationship Id="rId448" Type="http://schemas.openxmlformats.org/officeDocument/2006/relationships/hyperlink" Target="http://www.sec.gov/Archives/edgar/data/0001647639/000119312520288095/d867925dex108.htm" TargetMode="External"/><Relationship Id="rId449" Type="http://schemas.openxmlformats.org/officeDocument/2006/relationships/hyperlink" Target="http://www.sec.gov/Archives/edgar/data/1647639/000119312520309971/d867925dex109.htm" TargetMode="External"/><Relationship Id="rId450" Type="http://schemas.openxmlformats.org/officeDocument/2006/relationships/hyperlink" Target="http://www.sec.gov/Archives/edgar/data/0001647639/000119312520288095/d867925dex1010.htm" TargetMode="External"/><Relationship Id="rId451" Type="http://schemas.openxmlformats.org/officeDocument/2006/relationships/hyperlink" Target="http://www.sec.gov/Archives/edgar/data/0001647639/000119312520288095/d867925dex1011.htm" TargetMode="External"/><Relationship Id="rId452" Type="http://schemas.openxmlformats.org/officeDocument/2006/relationships/hyperlink" Target="http://www.sec.gov/Archives/edgar/data/0001647639/000119312520288095/d867925dex1012.htm" TargetMode="External"/><Relationship Id="rId454" Type="http://schemas.openxmlformats.org/officeDocument/2006/relationships/hyperlink" Target="http://www.sec.gov/Archives/edgar/data/1647639/000119312520309971/d867925dex1013.htm" TargetMode="External"/><Relationship Id="rId455" Type="http://schemas.openxmlformats.org/officeDocument/2006/relationships/hyperlink" Target="http://www.sec.gov/Archives/edgar/data/1647639/000119312520309971/d867925dex1014.htm" TargetMode="External"/><Relationship Id="rId456" Type="http://schemas.openxmlformats.org/officeDocument/2006/relationships/hyperlink" Target="http://www.sec.gov/Archives/edgar/data/0001647639/000119312520288095/d867925dex1015.htm" TargetMode="External"/><Relationship Id="rId457" Type="http://schemas.openxmlformats.org/officeDocument/2006/relationships/hyperlink" Target="http://www.sec.gov/Archives/edgar/data/1647639/000119312520311387/d867925dex1016.htm" TargetMode="External"/><Relationship Id="rId458" Type="http://schemas.openxmlformats.org/officeDocument/2006/relationships/hyperlink" Target="http://www.sec.gov/Archives/edgar/data/1647639/000119312520311387/d867925dex1017.htm" TargetMode="External"/><Relationship Id="rId459" Type="http://schemas.openxmlformats.org/officeDocument/2006/relationships/hyperlink" Target="http://www.sec.gov/Archives/edgar/data/1647639/000119312520309971/d867925dex211.htm" TargetMode="External"/><Relationship Id="rId460" Type="http://schemas.openxmlformats.org/officeDocument/2006/relationships/hyperlink" Target="http://www.sec.gov/Archives/edgar/data/1647639/000119312520285895/d867925ds1.htm#ii867925_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2020-12-09T07:25:56Z</dcterms:created>
  <dcterms:modified xsi:type="dcterms:W3CDTF">2020-12-09T07:25:56Z</dcterms:modified>
</cp:coreProperties>
</file>