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4160" w:right="2320" w:hanging="3599"/>
        <w:spacing w:after="0" w:line="215" w:lineRule="auto"/>
        <w:tabs>
          <w:tab w:leader="none" w:pos="1383"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ANNUAL REPORT PURSUANT TO SECTION 13 OR 15(d) OF THE SECURITIES EXCHANGE ACT OF 1934 For the fiscal year ended December 31, 2023</w:t>
      </w:r>
    </w:p>
    <w:p>
      <w:pPr>
        <w:spacing w:after="0" w:line="7" w:lineRule="exact"/>
        <w:rPr>
          <w:rFonts w:ascii="MS PGothic" w:cs="MS PGothic" w:eastAsia="MS PGothic" w:hAnsi="MS PGothic"/>
          <w:sz w:val="29"/>
          <w:szCs w:val="29"/>
          <w:color w:val="auto"/>
        </w:rPr>
      </w:pPr>
    </w:p>
    <w:p>
      <w:pPr>
        <w:ind w:left="5520"/>
        <w:spacing w:after="0"/>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0"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46"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49"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Mateo, California 94403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94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rPr>
              <w:t>Title of each class:</w:t>
            </w:r>
          </w:p>
        </w:tc>
        <w:tc>
          <w:tcPr>
            <w:tcW w:w="20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68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0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331" w:lineRule="exact"/>
        <w:rPr>
          <w:sz w:val="24"/>
          <w:szCs w:val="24"/>
          <w:color w:val="auto"/>
        </w:rPr>
      </w:pPr>
    </w:p>
    <w:p>
      <w:pPr>
        <w:ind w:right="3520"/>
        <w:spacing w:after="0" w:line="31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0" w:lineRule="exact"/>
        <w:rPr>
          <w:sz w:val="20"/>
          <w:szCs w:val="20"/>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8"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0"/>
          <w:szCs w:val="20"/>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registrants as of June 30, 2023, the last business day of the registrant’s most recently completed second fiscal quarter, was $2,594,276,077, based on the closing price reported for such date on the NASDAQ.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8, 2024 there were 86,430,264 shares of the registrant’s common stock outstanding.</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2024 Annual Meeting of Stockholders are incorporated by reference into Part II and III of this Annual Report on Form 10-K to the extent stated herein. Such Definitive Proxy Statement will be filed with the Securities and Exchange Commission within 120 days after the end of the registrant’s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6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580" w:type="dxa"/>
            <w:vAlign w:val="bottom"/>
            <w:gridSpan w:val="19"/>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440" w:type="dxa"/>
            <w:vAlign w:val="bottom"/>
            <w:gridSpan w:val="12"/>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480" w:type="dxa"/>
            <w:vAlign w:val="bottom"/>
            <w:gridSpan w:val="18"/>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760" w:type="dxa"/>
            <w:vAlign w:val="bottom"/>
            <w:gridSpan w:val="20"/>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7.</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40" w:type="dxa"/>
            <w:vAlign w:val="bottom"/>
            <w:gridSpan w:val="4"/>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140" w:type="dxa"/>
            <w:vAlign w:val="bottom"/>
            <w:gridSpan w:val="7"/>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8"/>
                <w:szCs w:val="18"/>
                <w:color w:val="auto"/>
              </w:rPr>
            </w:pPr>
          </w:p>
        </w:tc>
        <w:tc>
          <w:tcPr>
            <w:tcW w:w="2020" w:type="dxa"/>
            <w:vAlign w:val="bottom"/>
            <w:gridSpan w:val="3"/>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9B.</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9C.</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00" w:type="dxa"/>
            <w:vAlign w:val="bottom"/>
            <w:gridSpan w:val="8"/>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6680" w:type="dxa"/>
            <w:vAlign w:val="bottom"/>
            <w:gridSpan w:val="13"/>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00" w:type="dxa"/>
            <w:vAlign w:val="bottom"/>
            <w:gridSpan w:val="2"/>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040" w:type="dxa"/>
            <w:vAlign w:val="bottom"/>
            <w:gridSpan w:val="5"/>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14.</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5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8"/>
                <w:szCs w:val="18"/>
                <w:color w:val="auto"/>
              </w:rPr>
            </w:pPr>
          </w:p>
        </w:tc>
        <w:tc>
          <w:tcPr>
            <w:tcW w:w="5340" w:type="dxa"/>
            <w:vAlign w:val="bottom"/>
            <w:gridSpan w:val="10"/>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Annual Report on Form 10-K include statements about:</w:t>
      </w:r>
    </w:p>
    <w:p>
      <w:pPr>
        <w:spacing w:after="0" w:line="120" w:lineRule="exact"/>
        <w:rPr>
          <w:sz w:val="20"/>
          <w:szCs w:val="20"/>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our operating expenses, our ability to determine reserves and our ability to achieve and maintain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arrangements and securitization transactions;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our brand and protect our reputation from negative publicity;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rising interest and inflation rates and monetary policy changes;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bank failures, including disruption in the banking industry, and any associated effects on our business and industry;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artificial intelligence and machine learning technology;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and operations;</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increased expenses associated with being a public company.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Upstart is the leading artificial intelligence (“AI”) lending marketplace, connecting millions of consumers to more than 100 banks and credit unions that leverage Upstart’s AI models and cloud applications to deliver superior credit products. Founded in 2012, Upstart’s platform includes personal loans, automotive retail and refinance loans, home equity lines of credit (“HELOCs”), and small dollar loans.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We’re dedicated to improving access to credit for all. Money is a fundamental ingredient of life, and unless you are in the few percent of Americans with significant wealth, the price of borrowing affects you every day. Throughout history, affordable credit has been central to unlocking mobility and opportunity. The FICO score was invented in 1989 and remains the standard for determining who is approved for credit and at what interest rate. While FICO is rarely the only input in a lending decision, most lenders use simple rules-based systems that consider only a limited number of variables. Unfortunately, because these legacy credit systems fail to accurately identify and quantify risk, millions of creditworthy individuals are left out of the system, and millions more pay too much to borrow money.</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Upstart AI remakes the lending process. We leverage AI to more accurately quantify the true risk of a loan. Our AI models have been continuously upgraded, trained and refined for more than ten years. We apply AI models to income and identity fraud, acquisition targeting, loan stacking, time-delimited default and prepayment prediction, and servicing. Powered by more than 1,600 variables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our models are trained on more than 58 million repayment events, adding an average of 83,000 new repayments each business day.</w:t>
      </w:r>
    </w:p>
    <w:p>
      <w:pPr>
        <w:spacing w:after="0" w:line="22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believe the flywheel effects generated by our constantly improving AI models provide a significant competitive advantage. More training data generally leads to higher approval rates and lower interest rates with better returns to our bank and credit union partners, collectively our “lending partners.” Our AI also enables our lending partners to deliver an exceptional digital-first experience. They can respond instantly to a customer’s loan request 24/7 with no human intervention. In 2023, more than 87%</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our loans were fully automated where borrowers were approved instantly, with zero documentation to upload.</w:t>
      </w:r>
    </w:p>
    <w:p>
      <w:pPr>
        <w:spacing w:after="0" w:line="2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AI marketplace connects consumers with our lending partners. Consumers can access Upstart-powered loans via Upstart.com, through a lender-branded product on our lending partners’ own websites, and through auto dealerships that use our Upstart Auto Retail software.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securities collateralized by Upstart-powered loans through our pass-through and securitization programs.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out of the total principal of loan originations facilitated on our marketplace in 2023, 48% were purchased by institutional investors, 32% were retained by our lending partners, 16% were held on our balance sheet, and the remaining 4% were contributed as collateral to the securitization transaction completed in July 2023, which we have consolidated in our financial statements. In the year ended December 31, 2023, our top three lending partners originated 80% of the loans facilitated through our marketplace and fees received from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jc w:val="both"/>
        <w:ind w:firstLine="8"/>
        <w:spacing w:after="0" w:line="281" w:lineRule="auto"/>
        <w:tabs>
          <w:tab w:leader="none" w:pos="95"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“Variables” refers to raw variables and combined variables considered in our AI models. A “raw” variable is a non-combined, conceptually distinct unit of data, such as “applicant-reported savings.” A “combined” variable is data that has been transformed, combined, or otherwise engineered from a raw variable or set of raw variables, such as “applicant-reported savings” divided by “loan amount.”</w:t>
      </w:r>
    </w:p>
    <w:p>
      <w:pPr>
        <w:spacing w:after="0" w:line="204" w:lineRule="exact"/>
        <w:rPr>
          <w:sz w:val="20"/>
          <w:szCs w:val="20"/>
          <w:color w:val="auto"/>
        </w:rPr>
      </w:pPr>
    </w:p>
    <w:p>
      <w:pPr>
        <w:jc w:val="both"/>
        <w:ind w:firstLine="8"/>
        <w:spacing w:after="0" w:line="221" w:lineRule="auto"/>
        <w:tabs>
          <w:tab w:leader="none" w:pos="8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Percentage of Loans Fully Automated is defined as the total number of loans in a given period originated end-to-end (from initial rate request to final funding for personal loans and small dollar loans, and from initial rate request to signing of the loan agreement for auto loans) with no human involvement required divided by the Transaction Volume, Number of Loans in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 partners accounted for 63% of our total revenue. Our goal is to continue expanding our lending partnerships to new participants and deepen our relationships with existing lending partners.</w:t>
      </w:r>
    </w:p>
    <w:p>
      <w:pPr>
        <w:spacing w:after="0" w:line="189" w:lineRule="exact"/>
        <w:rPr>
          <w:sz w:val="20"/>
          <w:szCs w:val="20"/>
          <w:color w:val="auto"/>
        </w:rPr>
      </w:pPr>
    </w:p>
    <w:p>
      <w:pPr>
        <w:jc w:val="both"/>
        <w:ind w:firstLine="551"/>
        <w:spacing w:after="0" w:line="253" w:lineRule="auto"/>
        <w:rPr>
          <w:sz w:val="20"/>
          <w:szCs w:val="20"/>
          <w:color w:val="auto"/>
        </w:rPr>
      </w:pPr>
      <w:r>
        <w:rPr>
          <w:rFonts w:ascii="Times New Roman" w:cs="Times New Roman" w:eastAsia="Times New Roman" w:hAnsi="Times New Roman"/>
          <w:sz w:val="18"/>
          <w:szCs w:val="18"/>
          <w:color w:val="auto"/>
        </w:rPr>
        <w:t>Institutional investors play an important role in our lending marketplace by providing capital for higher risk loans that may not be economically feasible for traditional banks and credit unions to hold. We enter into nonexclusive agreements with our institutional investors who purchase whole loans, the trust entities in our pass-through programs and the grantor trust entities in our asset-backed securitizations. To improve the loan funding capacity for our marketplace across business and macroeconomic cycles, we secured multiple committed capital arrangements with institutional investors in 2023, which delivered a significant amount of loan funding to the Upstart marketplace. We continue our work on further developing and securing committed capital arrangements for our marketplace.</w:t>
      </w:r>
    </w:p>
    <w:p>
      <w:pPr>
        <w:spacing w:after="0" w:line="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 is primarily comprised of fees paid by lending partners and institutional investors. We charge our lending partners platform and referral fees at origination and the agreements with our lending partners may contain minimum fee amounts. We also earn loan servicing revenue from contracts with lending partners and institutional investors. As a usage-based platform, we target positive unit economics on each transaction, leading to a cash efficient business model with high margins. We believe these are the key components to achieve both high growth rates and profitability over time.</w:t>
      </w:r>
    </w:p>
    <w:p>
      <w:pPr>
        <w:spacing w:after="0" w:line="21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AI Lending Models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AI models are central to our value proposition and unique position in the industry. They are central to the efficacy of the Upstart marketplace experience we provide to consumers and the value we deliver to lending partners and institutional investors. The key aspects of our AI models include: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Variables and Training Data</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Variables in our AI models have increased from 23 in 2014 to more than 1,600 as of December 31, 2023. These include factors related to credit experience, employment, educational history, bank account transactions, cost of living and loan application interactions. As of December 31, 2023, our models have been trained on more than 58 million repayment events, adding an average of 83,000 new repayment events each business day. Upstart's models benefit from an exponentially growing dataset of repayment observations, allowing them to detect subtle patterns that drive loan-level default and prepayment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18"/>
          <w:szCs w:val="18"/>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non-traditional variables that power our model.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Modeling Techniques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Growth in our training data has enabled the development of increasingly sophisticated modeling techniques. For example, while earlier versions of our models were centered on logistic regression and Monte Carlo simulations, our more recent models incorporate neural networks, Bayesian hyperparameter optimization, and gradient boosting. We expect that our data science investments and continued growth of training data will unlock even more powerful techniques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 Applications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currently active AI models within the Upstart platform—shared by and available to all Upstart’s lending partners—include:</w:t>
      </w:r>
    </w:p>
    <w:p>
      <w:pPr>
        <w:spacing w:after="0" w:line="25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targeting</w:t>
      </w:r>
      <w:r>
        <w:rPr>
          <w:rFonts w:ascii="Times New Roman" w:cs="Times New Roman" w:eastAsia="Times New Roman" w:hAnsi="Times New Roman"/>
          <w:sz w:val="18"/>
          <w:szCs w:val="18"/>
          <w:color w:val="auto"/>
        </w:rPr>
        <w:t>—identifies consumers likely to qualify for and have need for a loan;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stacking</w:t>
      </w:r>
      <w:r>
        <w:rPr>
          <w:rFonts w:ascii="Times New Roman" w:cs="Times New Roman" w:eastAsia="Times New Roman" w:hAnsi="Times New Roman"/>
          <w:sz w:val="18"/>
          <w:szCs w:val="18"/>
          <w:color w:val="auto"/>
        </w:rPr>
        <w:t>—identifies consumers likely to take out multiple loans in a short period of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Time-delimited prepayment prediction</w:t>
      </w:r>
      <w:r>
        <w:rPr>
          <w:rFonts w:ascii="Times New Roman" w:cs="Times New Roman" w:eastAsia="Times New Roman" w:hAnsi="Times New Roman"/>
          <w:sz w:val="18"/>
          <w:szCs w:val="18"/>
          <w:color w:val="auto"/>
        </w:rPr>
        <w:t>—quantifies the likelihood that a consumer will fully prepay a loan earlier than originally scheduled;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fraud</w:t>
      </w:r>
      <w:r>
        <w:rPr>
          <w:rFonts w:ascii="Times New Roman" w:cs="Times New Roman" w:eastAsia="Times New Roman" w:hAnsi="Times New Roman"/>
          <w:sz w:val="18"/>
          <w:szCs w:val="18"/>
          <w:color w:val="auto"/>
        </w:rPr>
        <w:t>—quantifies the risk of potential misrepresentation of borrower income;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Identity fraud</w:t>
      </w:r>
      <w:r>
        <w:rPr>
          <w:rFonts w:ascii="Times New Roman" w:cs="Times New Roman" w:eastAsia="Times New Roman" w:hAnsi="Times New Roman"/>
          <w:sz w:val="18"/>
          <w:szCs w:val="18"/>
          <w:color w:val="auto"/>
        </w:rPr>
        <w:t>—quantifies the risk that an applicant is misrepresenting their identity;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Time-delimited default prediction</w:t>
      </w:r>
      <w:r>
        <w:rPr>
          <w:rFonts w:ascii="Times New Roman" w:cs="Times New Roman" w:eastAsia="Times New Roman" w:hAnsi="Times New Roman"/>
          <w:sz w:val="18"/>
          <w:szCs w:val="18"/>
          <w:color w:val="auto"/>
        </w:rPr>
        <w:t>—quantifies the likelihood of default for each period of the loan term;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—identifies borrowers to prioritize for servicing outreach, allowing for customized intervention and improved servicing efficiency.</w:t>
      </w:r>
    </w:p>
    <w:p>
      <w:pPr>
        <w:spacing w:after="0" w:line="3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their sophistication, our AI models are delivered to lending partners in the form of a simple cloud application that shields borrowers from the underlying complexity. Additionally, our platform allows lending partners to tailor lending applications based on their policies and business needs. Within the construct of each lender’s self-defined lending program, our platform enables the origination of conforming and compliant loans at a low per-loan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Ecosystem</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ecosystem includes consumers, banks, credit unions, auto dealers and institutional investors who purchase Upstart-powered loans directly or invest in securities issued by our pass-through and securitization programs. This broad ecosystem allows participants to access and benefit from our products in a variety of ways, which leads to broader adoption of our AI lending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consumer side, we have built a mobile-responsive web application to aggregate demand on Upstart.com, where consumers are presented with lender-backed offers from our lending partners. Consumers can quickly and easily inquire about a rate, evaluate and choose a loan offer, provide necessary information for verification and review required disclosures before final acceptance of the loan. A similar experience is also offered as a branded product on lending partners’ websites. We have also made significant investments in Upstart Auto Retail, a front-end software-as-a-service application that modernizes the auto sales process for both the consumer and the dealer. Similar to Upstart.com, we expect Upstart Auto Retail to become an important aggregator of consumer demand.</w:t>
      </w:r>
    </w:p>
    <w:p>
      <w:pPr>
        <w:spacing w:after="0" w:line="21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Consumers on our platform are generally offered unsecured personal and secured auto loans ranging from $1,000 to $100,000 in size, at APRs typically ranging from approximately 7.8% to 35.99%, with terms typically ranging from three months to seven years, with a monthly repayment schedule and no prepayment penalty.</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 Proposition to Consumers</w:t>
      </w:r>
    </w:p>
    <w:p>
      <w:pPr>
        <w:spacing w:after="0" w:line="254" w:lineRule="exact"/>
        <w:rPr>
          <w:sz w:val="20"/>
          <w:szCs w:val="20"/>
          <w:color w:val="auto"/>
        </w:rPr>
      </w:pPr>
    </w:p>
    <w:p>
      <w:pPr>
        <w:jc w:val="both"/>
        <w:ind w:left="1300" w:hanging="320"/>
        <w:spacing w:after="0" w:line="261"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Higher approval rates and lower interest rates</w:t>
      </w:r>
      <w:r>
        <w:rPr>
          <w:rFonts w:ascii="Times New Roman" w:cs="Times New Roman" w:eastAsia="Times New Roman" w:hAnsi="Times New Roman"/>
          <w:sz w:val="18"/>
          <w:szCs w:val="18"/>
          <w:color w:val="auto"/>
        </w:rPr>
        <w:t>—An internal study, conducted and published in 2023, compared our personal loan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to that of a traditional underwriting credit score based model. The study demonstrated the ability of our AI model to expand credit access to borrowers. Results from the study showed that our AI model approves 44% more borrowers and yields 36% lower average APR for approved loans.</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Superior digital experience</w:t>
      </w:r>
      <w:r>
        <w:rPr>
          <w:rFonts w:ascii="Times New Roman" w:cs="Times New Roman" w:eastAsia="Times New Roman" w:hAnsi="Times New Roman"/>
          <w:sz w:val="18"/>
          <w:szCs w:val="18"/>
          <w:color w:val="auto"/>
        </w:rPr>
        <w:t>—Whether consumers apply for a loan through Upstart.com or directly through a lending partner’s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experience is streamlined into a single application process and the loan offers provided are firm. In the year ended December 31, 2023, 87% of Upstart-powered loans were fully automated, an increase from 75% in 2022. Automation improvements were due in large part to product, engineering and machine learning enhancements such as eliminating previously manual processes, increasing the accuracy of our verification and fraud detection models, and removing inefficient or unnecessary processes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Partners and Institutional Investors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loan funding side, we target a wide range of small, medium, and large lending partners with an appetite to invest in improved underwriting and digital originations. Because AI is a new and disruptive technology, and lending is a traditionally conservative industry, we have brought our technology to the market in a way that allows us to grow responsibly and improve our AI models, while allowing lenders to take a prudent approach to assessing and adopting our platform. As of December 31, 2023, we had more than 100 lending partners. Our lending partners retain loans that align with their business and risk objectives. Because lenders vary with respect to program objectives, risk tolerance and funding capacity, program parameters can vary significantly across different lenders. Lending partners have access to an administrative interface for reporting and program management. We also perform fairness testing on our models to help satisfy lending partners’ regulatory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volumes exceeding lending partners’ funding capacity or risk tolerance can be flowed through our marketplace and sold to our network of institutional investors, which have a broader and more diverse appetite for risk. As a result, we can develop our business and our AI models faster than if we relied only on the funding capacity of our lending partners. The combination of lending partner and institutional investor funding provides our lending marketplace with competitive and diverse capital.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network of institutional investors includes investors that buy whole loans originated via Upstart’s platform, as well as investors that buy securities, such as pass-through certificates. We are typically retained by participating institutional investors to service the loans we help originate. In the case of whole loan purchasers, we typically enter into loan purchase agreements and loan servicing agreements with such purchasers. Institutional investors may also purchase interests in loans originated via Upstart’s platform in the form of pass-through certificates. We have pass-through certificate programs sponsored by certain financial institutions under which institutional investors can purchase securities collateralized by Upstart-powered loans from an issuer trust.</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there are minimal differences between whole loan sales and sales of pass-through certificates from Upstart’s perspective, both programs are offered to provide flexibility to institutional investors in our marketplace. Some institutional investors may prefer pass-through certificates, which may be more liquid and require less operational complexity, while other institutional investors may prefer whole loan purchases, which are generally more cost effective. Whole loans purchased after origination may later be included in our asset-backed securitization transactions whereby interests in these Upstart-powered loans are sold to other institutional investors.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asset-backed securitizations, we engage with investment banks to structure transactions under which we and/or certain of the purchasers of whole loans or pass-through certificates described in the preceding paragraphs sell pools of whole loans to a bankruptcy-remote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 Proposition to Lending Partners and Institutional Investors</w:t>
      </w:r>
    </w:p>
    <w:p>
      <w:pPr>
        <w:spacing w:after="0" w:line="254" w:lineRule="exact"/>
        <w:rPr>
          <w:sz w:val="20"/>
          <w:szCs w:val="20"/>
          <w:color w:val="auto"/>
        </w:rPr>
      </w:pPr>
    </w:p>
    <w:p>
      <w:pPr>
        <w:ind w:left="1300" w:hanging="320"/>
        <w:spacing w:after="0" w:line="284"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Competitive digital lending experience</w:t>
      </w:r>
      <w:r>
        <w:rPr>
          <w:rFonts w:ascii="Times New Roman" w:cs="Times New Roman" w:eastAsia="Times New Roman" w:hAnsi="Times New Roman"/>
          <w:sz w:val="18"/>
          <w:szCs w:val="18"/>
          <w:color w:val="auto"/>
        </w:rPr>
        <w:t>—We provide banks and credit unions with a cost effective way to compete with the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budgets of their competitors.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Expanded customer base</w:t>
      </w:r>
      <w:r>
        <w:rPr>
          <w:rFonts w:ascii="Times New Roman" w:cs="Times New Roman" w:eastAsia="Times New Roman" w:hAnsi="Times New Roman"/>
          <w:sz w:val="18"/>
          <w:szCs w:val="18"/>
          <w:color w:val="auto"/>
        </w:rPr>
        <w:t>—We refer customers that apply for loans through Upstart.com to our lending partners, helping them grow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volumes and number of customers.</w:t>
      </w:r>
    </w:p>
    <w:p>
      <w:pPr>
        <w:spacing w:after="0" w:line="5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Upstart referral network</w:t>
      </w:r>
      <w:r>
        <w:rPr>
          <w:rFonts w:ascii="Times New Roman" w:cs="Times New Roman" w:eastAsia="Times New Roman" w:hAnsi="Times New Roman"/>
          <w:sz w:val="18"/>
          <w:szCs w:val="18"/>
          <w:color w:val="auto"/>
        </w:rPr>
        <w:t>—Once we aggregate consumer demand on our website, we pass those customers to our lending partners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Branded product</w:t>
      </w:r>
      <w:r>
        <w:rPr>
          <w:rFonts w:ascii="Times New Roman" w:cs="Times New Roman" w:eastAsia="Times New Roman" w:hAnsi="Times New Roman"/>
          <w:sz w:val="18"/>
          <w:szCs w:val="18"/>
          <w:color w:val="auto"/>
        </w:rPr>
        <w:t>—Lending partners can serve customers with a branded Upstart application on their own website or mobile application.</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Flexible configurations</w:t>
      </w:r>
      <w:r>
        <w:rPr>
          <w:rFonts w:ascii="Times New Roman" w:cs="Times New Roman" w:eastAsia="Times New Roman" w:hAnsi="Times New Roman"/>
          <w:sz w:val="18"/>
          <w:szCs w:val="18"/>
          <w:color w:val="auto"/>
        </w:rPr>
        <w:t>—We built a configurable lending solution designed to meet the needs of our lending partners. Because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partners have complete authority and control over their lending programs, they predetermine many aspects of their loan offering, including interest rate and loan size ranges, target returns for various risk profiles, minimum credit score, maximum debt-to-income ratio, fee structures and disclosures.</w:t>
      </w:r>
    </w:p>
    <w:p>
      <w:pPr>
        <w:spacing w:after="0" w:line="71"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—While most lending partners and institutional investors choose to have us service their loans (through a branded servicing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portal), each has the option of directly servicing loans itself. Our servicing platform manages all communication with borrowers, credit reporting agencies, and when necessary, collections agencies.</w:t>
      </w:r>
    </w:p>
    <w:p>
      <w:pPr>
        <w:spacing w:after="0" w:line="78" w:lineRule="exact"/>
        <w:rPr>
          <w:rFonts w:ascii="Times New Roman" w:cs="Times New Roman" w:eastAsia="Times New Roman" w:hAnsi="Times New Roman"/>
          <w:sz w:val="18"/>
          <w:szCs w:val="18"/>
          <w:color w:val="auto"/>
        </w:rPr>
      </w:pPr>
    </w:p>
    <w:p>
      <w:pPr>
        <w:jc w:val="both"/>
        <w:ind w:left="1300" w:hanging="320"/>
        <w:spacing w:after="0" w:line="245" w:lineRule="auto"/>
        <w:tabs>
          <w:tab w:leader="none" w:pos="128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Delivering returns</w:t>
      </w:r>
      <w:r>
        <w:rPr>
          <w:rFonts w:ascii="Times New Roman" w:cs="Times New Roman" w:eastAsia="Times New Roman" w:hAnsi="Times New Roman"/>
          <w:sz w:val="18"/>
          <w:szCs w:val="18"/>
          <w:color w:val="auto"/>
        </w:rPr>
        <w:t>—We focus on credit performance compared to the expectations set by us at the time of origination. An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all vintages of Upstart-powered core personal loans that originated in the first quarter of 2018 through the third quarter of 2023 is currently expected to deliver returns in line with a blended target of 9.0%. At a more granular level, all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00"/>
        <w:spacing w:after="0" w:line="247" w:lineRule="auto"/>
        <w:rPr>
          <w:sz w:val="20"/>
          <w:szCs w:val="20"/>
          <w:color w:val="auto"/>
        </w:rPr>
      </w:pPr>
      <w:r>
        <w:rPr>
          <w:rFonts w:ascii="Times New Roman" w:cs="Times New Roman" w:eastAsia="Times New Roman" w:hAnsi="Times New Roman"/>
          <w:sz w:val="18"/>
          <w:szCs w:val="18"/>
          <w:color w:val="auto"/>
        </w:rPr>
        <w:t>vintages of core personal loans that originated in 2018 through the fourth quarter of 2020 are currently forecasted to meet or exceed the target returns set at the time of loan origination. The quarterly vintages of core personal loans that originated in the first quarter 2021 through the second quarter 2023 are currently forecasted to underperform relative to their target returns. The core personal loans that originated in the third quarter of 2023 or later are currently forecasted to deliver returns in line with target yields. This reversion in performance was driven by a combination of factors including increased conservatism in underwriting and the relative stabilization of macroeconomic conditions, as reflected in UMI.</w:t>
      </w:r>
    </w:p>
    <w:p>
      <w:pPr>
        <w:spacing w:after="0" w:line="20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We have included similar disclosures in our Annual Report on Form 10-K for the year ended December 31, 2022, and in our Quarterly Reports on Form 10-Q starting from the quarter that ended June 30, 2022. We recently identified an error in the calculations that supported some of these statements. This resulted in an overstatement of the expected return of an equal investment in all vintages of Upstart-powered core personal loans that originated in the first quarter of 2018 through the third quarter of 2023 by 0.9 - 1.3% for each disclosure. The error also impacted our forecasts of the performance of certain quarterly loan vintages relative to target returns in the aforementioned reports. After correcting for the error, vintages retained by the hypothetical lending partner that we forecasted to meet or exceed target returns still include those originated from mid-2018 through mid-2021, but no longer include vintages from mid-2021 through mid-2022. Loans purchased by the hypothetical institutional investor would have been expected to experience underperformance relative to target returns through mid-2023 vintages, not through mid-2022 vintages. Importantly, the error did not impact any of our financial statements, any forecasts prepared for our actual lending partners or institutional investors, or the overall expected performance trend.</w:t>
      </w:r>
    </w:p>
    <w:p>
      <w:pPr>
        <w:spacing w:after="0" w:line="217" w:lineRule="exact"/>
        <w:rPr>
          <w:sz w:val="20"/>
          <w:szCs w:val="20"/>
          <w:color w:val="auto"/>
        </w:rPr>
      </w:pPr>
    </w:p>
    <w:p>
      <w:pPr>
        <w:jc w:val="both"/>
        <w:ind w:left="130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product offerings</w:t>
      </w:r>
      <w:r>
        <w:rPr>
          <w:rFonts w:ascii="Times New Roman" w:cs="Times New Roman" w:eastAsia="Times New Roman" w:hAnsi="Times New Roman"/>
          <w:sz w:val="18"/>
          <w:szCs w:val="18"/>
          <w:color w:val="auto"/>
        </w:rPr>
        <w:t>—Personal loans are one of the fastest-growing segments of credit in the U.S. and auto financing is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largest segment of consumer lending. Our platform helps lenders provide a product their customers want, rather than letting customers seek loans from competitors. We continue to invest in expansion of our product offerings and launched a new HELOC product in 2023.</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capital markets</w:t>
      </w:r>
      <w:r>
        <w:rPr>
          <w:rFonts w:ascii="Times New Roman" w:cs="Times New Roman" w:eastAsia="Times New Roman" w:hAnsi="Times New Roman"/>
          <w:sz w:val="18"/>
          <w:szCs w:val="18"/>
          <w:color w:val="auto"/>
        </w:rPr>
        <w:t>—We have built a broad network of institutional investors who provide loan funding through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loans, pass-through certificates and asset-backed securitizations. We have secured multiple committed capital arrangements with institutional investors, which deliver a significant amount of loan funding to the Upstart marketplace. We continue our work on expanding committed capital arrangements for our marketplace.</w:t>
      </w:r>
    </w:p>
    <w:p>
      <w:pPr>
        <w:spacing w:after="0" w:line="71" w:lineRule="exact"/>
        <w:rPr>
          <w:rFonts w:ascii="Times New Roman" w:cs="Times New Roman" w:eastAsia="Times New Roman" w:hAnsi="Times New Roman"/>
          <w:sz w:val="18"/>
          <w:szCs w:val="18"/>
          <w:color w:val="auto"/>
        </w:rPr>
      </w:pPr>
    </w:p>
    <w:p>
      <w:pPr>
        <w:jc w:val="both"/>
        <w:ind w:left="1300" w:right="2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engagement with rating agencies</w:t>
      </w:r>
      <w:r>
        <w:rPr>
          <w:rFonts w:ascii="Times New Roman" w:cs="Times New Roman" w:eastAsia="Times New Roman" w:hAnsi="Times New Roman"/>
          <w:sz w:val="18"/>
          <w:szCs w:val="18"/>
          <w:color w:val="auto"/>
        </w:rPr>
        <w:t>—Upstart-powered personal loans are analyzed by credit rating agencies and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and constant scrutiny from experts. Credit ratings are often publicly available, which help institutional investors and lending partners gain confidence in Upstart-powered loans.</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Insights into changes in the economy</w:t>
      </w:r>
      <w:r>
        <w:rPr>
          <w:rFonts w:ascii="Times New Roman" w:cs="Times New Roman" w:eastAsia="Times New Roman" w:hAnsi="Times New Roman"/>
          <w:sz w:val="18"/>
          <w:szCs w:val="18"/>
          <w:color w:val="auto"/>
        </w:rPr>
        <w:t>—Introduced in 2023, the Upstart Macro Index (“UMI”) estimates the impact of the macroeconomy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credit performance for Upstart-powered unsecured personal loans and helps our lending partners and institutional investors better understand and account for the effect that macroeconomic conditions have on our credit performance.</w:t>
      </w:r>
    </w:p>
    <w:p>
      <w:pPr>
        <w:spacing w:after="0" w:line="3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Technology Infrastructure</w:t>
      </w: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cloud-based software platform incorporates modern technologies and software development approaches to allow for rapid development of new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Cloud-Native Technologies</w:t>
      </w:r>
    </w:p>
    <w:p>
      <w:pPr>
        <w:spacing w:after="0" w:line="243"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We run our technology platform as containerized services on the Amazon Web Services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lenders to immediately benefit from the latest updates to our platform.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Integrity and Security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governs how we safeguard the confidentiality, integrity, and availability of our consumer and lending partner data. Our environment is continuously monitored with a suite of tools designed to detect and respond to security events in both internal and user-facing systems. We have a robust secure software development cycle and regularly engage with third parties to audit our security program and to perform regular penetration tests of our Web application and cloud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Configurable Multi-Tenant Architecture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lending partners, allowing customizations to everything from the applicant user interface to the core rules governing credit decisioning.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Machine Learning Platform</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support innovation in our underwriting, fraud detection and acquisition models, we have developed proprietary technologies to enable our machine learning team to develop, train, test and deploy new model updates with minimal engineering support. Our backend systems are designed to flexibly integrate with multiple third-party data sources to feed these models and support real-time decisioning.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Responsive Web Design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user interface is responsive to ensure applicants and borrowers have a smooth experience regardless of whether they are accessing our website from a desktop, mobile device or tablet.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Robust Reporting and Integration Capabilities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reporting application programming interfaces (“APIs”) provide institutional investors and lending partners the ability to access data through a programmatic interface. Our integration capabilities with lending partners include an ability to pre-fill applicant information via API and provide loan details in real-time to facilitate a seamless process from application to origination. Our lending partner reporting portal provides our lending partners with a centralized console to view real time performance metrics of their lending program, view and verify their credit policy and program configuration, and on-demand access to operational reports and documents.</w:t>
      </w: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Consumer Marketing</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 Because our model changes in real time, we are able to extend new loan offers to applicants who were previously not eligible or were previously quoted a higher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and marketing initiatives are primarily focused on bringing potential borrowers to Upstart.com, where they can learn if they qualify for a loan from one of our lending partners and the terms of the loan offer in only a few minutes. Our customer acquisition channels combine a mix of online and offline, as well as paid and unpaid, channels. While we constantly experiment to expand and optimize our acquisition strategies, our largest channels include:</w:t>
      </w:r>
    </w:p>
    <w:p>
      <w:pPr>
        <w:spacing w:after="0" w:line="70" w:lineRule="exact"/>
        <w:rPr>
          <w:sz w:val="20"/>
          <w:szCs w:val="20"/>
          <w:color w:val="auto"/>
        </w:rPr>
      </w:pPr>
    </w:p>
    <w:p>
      <w:pPr>
        <w:jc w:val="both"/>
        <w:ind w:left="980" w:hanging="324"/>
        <w:spacing w:after="0" w:line="25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affiliates</w:t>
      </w:r>
      <w:r>
        <w:rPr>
          <w:rFonts w:ascii="Times New Roman" w:cs="Times New Roman" w:eastAsia="Times New Roman" w:hAnsi="Times New Roman"/>
          <w:sz w:val="18"/>
          <w:szCs w:val="18"/>
          <w:color w:val="auto"/>
        </w:rPr>
        <w:t>—A variety of online media partners, such as loan aggregators, send us traffic on a cost per origination basis. Many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aggregators also incorporate application data to provide online prescreened offers, which leads to highly targeted and interested referrals. For example, a significant number of consumers that apply for a loan on Upstart.com learn about and access Upstart.com through the website of one of our partners, Credit Karma.</w:t>
      </w:r>
    </w:p>
    <w:p>
      <w:pPr>
        <w:spacing w:after="0" w:line="65"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mail</w:t>
      </w:r>
      <w:r>
        <w:rPr>
          <w:rFonts w:ascii="Times New Roman" w:cs="Times New Roman" w:eastAsia="Times New Roman" w:hAnsi="Times New Roman"/>
          <w:sz w:val="18"/>
          <w:szCs w:val="18"/>
          <w:color w:val="auto"/>
        </w:rPr>
        <w:t>—We apply our strengths in data science to target individuals who both qualify for and may have a need for an Upstart-powered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The ability to analyze an individual’s credit data to target and mail prescreened offers of credit gives this channel a meaningful data advantage over other channels.</w:t>
      </w:r>
    </w:p>
    <w:p>
      <w:pPr>
        <w:spacing w:after="0" w:line="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Organic traffic</w:t>
      </w:r>
      <w:r>
        <w:rPr>
          <w:rFonts w:ascii="Times New Roman" w:cs="Times New Roman" w:eastAsia="Times New Roman" w:hAnsi="Times New Roman"/>
          <w:sz w:val="18"/>
          <w:szCs w:val="18"/>
          <w:color w:val="auto"/>
        </w:rPr>
        <w:t>—As our brand recognition and reputation grow, an increasing number of potential borrowers come directly to Upstart.com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simply by word of mouth.</w:t>
      </w:r>
    </w:p>
    <w:p>
      <w:pPr>
        <w:spacing w:after="0" w:line="36" w:lineRule="exact"/>
        <w:rPr>
          <w:rFonts w:ascii="Times New Roman" w:cs="Times New Roman" w:eastAsia="Times New Roman" w:hAnsi="Times New Roman"/>
          <w:sz w:val="18"/>
          <w:szCs w:val="18"/>
          <w:color w:val="auto"/>
        </w:rPr>
      </w:pPr>
    </w:p>
    <w:p>
      <w:pPr>
        <w:ind w:left="98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Email marketing</w:t>
      </w:r>
      <w:r>
        <w:rPr>
          <w:rFonts w:ascii="Times New Roman" w:cs="Times New Roman" w:eastAsia="Times New Roman" w:hAnsi="Times New Roman"/>
          <w:sz w:val="18"/>
          <w:szCs w:val="18"/>
          <w:color w:val="auto"/>
        </w:rPr>
        <w:t>—We have an automated email program that sends customized messages and reminders to potential borrowers once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created accounts to encourage them to complete their loan application.</w:t>
      </w:r>
    </w:p>
    <w:p>
      <w:pPr>
        <w:spacing w:after="0" w:line="64" w:lineRule="exact"/>
        <w:rPr>
          <w:rFonts w:ascii="Times New Roman" w:cs="Times New Roman" w:eastAsia="Times New Roman" w:hAnsi="Times New Roman"/>
          <w:sz w:val="18"/>
          <w:szCs w:val="18"/>
          <w:color w:val="auto"/>
        </w:rPr>
      </w:pPr>
    </w:p>
    <w:p>
      <w:pPr>
        <w:ind w:left="98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Online advertising</w:t>
      </w:r>
      <w:r>
        <w:rPr>
          <w:rFonts w:ascii="Times New Roman" w:cs="Times New Roman" w:eastAsia="Times New Roman" w:hAnsi="Times New Roman"/>
          <w:sz w:val="18"/>
          <w:szCs w:val="18"/>
          <w:color w:val="auto"/>
        </w:rPr>
        <w:t>—Search engines and social channels enable targeted outreach to potential borrowers with specific messages.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advertise on streaming television services.</w:t>
      </w:r>
    </w:p>
    <w:p>
      <w:pPr>
        <w:spacing w:after="0" w:line="18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developed sophisticated tools that our internal operations team uses to support the origination and servicing of credit. Our operations teams, including credit analysts, fraud specialists, customer support, payments specialists, and supporting services (like quality assurance and training) work to deliver a seamless user experience to consumers on behalf of our lending partners.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Origination Operations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team focuses on the minority of borrowers whose applications are not entirely automated or any applicant who has questions or issues throughout the application process, while expediting the approval process to the extent possible, and identifying and rejecting fraudulent applications. Our operations team works closely with our engineering and machine learning teams to further increase our levels of automation.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prospective borrowers and applicants interact with Upstart via our online platform and help center, but we also make agent-based support readily available to all borrowers. For phone support, we partner with external call center vendors and have a team of dedicated Upstart agents with specialized training.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Operations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Upstart-powered loans are serviced via our homegrown platform. For borrowers who miss payments, we focus on early intervention and attempt to reach them via emails, calls, texts, and mail to help bring their account current or offer hardship options in accordance with the creditor’s servicing policies. Borrowers on our platform are supported via a combination of internal payments specialists and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hold collections licenses in the majority of states and conduct some first-party collections activities. We also partner with third-party agencies for collections, especially for accounts more than 30 days past due. Debt collection calls and collection performance are reviewed regularly by our quality assurance or vendor management teams. Our operations and compliance teams each also perform vendor onsite audits annually.</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lending partnership side, we compete with a variety of technology companies that aim to help lenders with the digital transformation of their business, particularly with respect to all-digital lending. This includes new products from legacy lending technology providers as well as newer companies focused entirely on lending software infrastructure for lenders. We may also face competition from lenders or companies that have not previously competed in the consumer lending market, including companies with large and experienced machine learning teams and access to vast amounts of consumer-related information that could be used in the development of their own credit risk models.</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11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Constantly improving AI models;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loan offers to consumers that improve regularly;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and user-friendly loan application process;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Cloud-native, multi-tenant architecture;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of technology and customer acquisition for lending partners;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and diverse lending marketplace;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trust.</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loans made through our platform by our lending partners are subject to extensive and complex rules and regulations and examination by various federal, state and local government authorities. Failure to comply with any of the applicable rules and regulations may result in, among 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and expect in the future, to be subject to laws and regulations administered by the CFPB. In addition to the CFPB, the Federal Trade Commission has jurisdiction to investigate aspects of our business, including with respect to marketing practices. Other state and federal agencies, including prudential bank regulators and state attorneys general have the ability to regulate aspects of our business. Further, we are subject to inspections, examinations, supervision and regulation by applicable agencies in each state in which we are licensed. Regulatory oversight of our business may change over time. By way of example, in 2020, the California Consumer Financial Protection Law was enacted,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Lending and Related Laws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Truth in Lending Act</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as well as to retail installment contracts purchased by Upstart from automotive dealerships, and we assist with compliance as part of the services we provide to our lending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For retail installment contracts, required disclosures can also include certain conditions related to Guaranteed Asset Protection waivers. For HELOCs, required open-end disclosures are provided during the origination process and servicing requirements under TILA are fulfilled by a third party servicer. TILA also regulates the advertising of credit and gives borrowers, among other things, certain rights regarding updated disclosures and the treatment of credit balances. We, on behalf of the applicable lending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lending partner. We also seek to comply with TILA’s disclosure requirements related to credit advertising and, to the extent that we hold or service loans, TILA’s requirements related to treatment of credit balances for closed-end loans.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Credit Opportunity Act</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prohibits discrimination based on age, gender, ethnicity, nationality, or marital status, and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lending partners for loans facilitated through our platform, for automotive dealerships selling retail installment contracts, as well as to us as a service provider that assists in the process and as a loan originator for our HELOC product. We abide by policies and procedures implemented by our lending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 denial. On behalf of our lending partners, we provide prospective borrowers who apply for a loan through our platform but are denied credit with an adverse action notice in compliance with applicable requirements. We comply with the ECOA and Regulation B requirements applicable to us in connection with the HELOC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2020, we entered into an agreement with the NAACP Legal Defense and Education Fund and the Student Borrower Protection Center to participate in fair lending reviews of our AI underwriting models by an independent, third-party firm, Relman Colfax LLP, or Relman. Following a number of quantitative assessments, Relman has published three periodic reports and plans to publish a fourth and final report that summarizes the developments during the monitorship as well as industry recommendations. Notwithstanding our belief that our models and our lending partners’ lending facilitated by our models comply with ECOA, the reports from Relman and consumer advocacy groups and associated legislative and/or regulatory inquiries could create negative publicity and increase the risk of private litigation or government enforcement. For more information,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Credit Reporting Act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federal Fair Credit Reporting Act, or FCRA, as amended by the Fair and Accurate Credit Transactions Act, implemented by Regulation V, and administered by the CFPB, promotes the accuracy, fairness, and privacy of 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our lending partners and the automotive dealerships with whom we partner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on behalf of our lending partners. We provide an adverse action notice to rejected applicants on behalf of each lending partner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Debt Collection Practices Act</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federal Fair Debt Collection Practices Act, or FDCPA, and Regulation F that implements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and loan servicers of debt. In addition, the CFPB prohibits unfair, deceptive or abusive acts or practices, or UDAAPs, in debt collection, including first-party debt collection. We use our internal collection team, except for the HELOC product,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practices with respect to information sharing with affiliated and non-affiliated entities as well as to safeguard personal customer information. We collect and use a wide variety of information to help ensure the integrity of our services and to provide features and functionality to borrowers on our platform.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 We have a detailed privacy policy that addresses the GLBA and is accessible from every page of our website. We work to maintain the security of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We also are subject to other privacy and security laws and regulations that apply to certain personal information that we collect or otherwise process, such as the California Consumer Privacy Act, or CCPA. The CCPA, which went into effect in 2020, requires, among other things, that covered companies provide disclosures to California consumers and afford such consumers rights with respect to how covered companies process their personal information. Other states have enacted similar laws, but many have GLBA exemptions that apply to us. As our business continues to expand, and as state and federal laws and regulations continue to be passed and their interpretations continue to evolve, additional laws and regulations may become relevant to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Dodd-Frank Wall Street Reform and Consumer Protection Act</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 to implement and enforce federal consumer financial laws, such as TILA and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through the laws it enforces,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CFPB has imposed, and will continue to impose, restrictions on lending practices, including with respect to the terms of certain loans. We and our lending partners are subject to the CFPB’s enforcement authority. The CFPB may request reports concerning our organization, business conduct, markets and activities. In addition, the CFPB may, in connection with its supervisory authority, also conduct on-site examinations of our and our lending partners’ businesses on a periodic basis, subject to whether the applicable lending partner satisfies the assets threshold for CFPB supervision. If the CFPB were to conclude that our loan origination assistance or servicing activities, or any loans originated by our lending partners on our platform, violate applicable laws or regulations, we could be subject to a formal or informal inquiry, investigation and/or enforcement action. Formal enforcement actions are generally made public. We are not currently subject to any enforcement actions by the CFPB.</w:t>
      </w:r>
    </w:p>
    <w:p>
      <w:pPr>
        <w:spacing w:after="0" w:line="21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regarding the CFPB and the CFPB rules to which we are subject or may become subject,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Trade Commission Act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5 of the Federal Trade Commission Act, we and our lending partners are prohibited from engaging in unfair and deceptive acts and practices, or UDAP. For nonbank financial institutions, the Federal Trade Commission, or the FTC, is the primary regulator enforcing this prohibition, and in recent years the FTC has been focused on practices of financial technology companies. The FTC is also the primary federal regulator for automotive dealerships. Based on publicly available actions, the FTC’s primary focus has been with respect to financial technology company marketing and disclosure practices as it relates to lending products, and on junk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it relates to automotive dealerships. We maintain policies and procedures that require our marketing and loan application and servicing operations comply with UDAP standards. We also maintain a dealership diligence program to monitor the fees charged for ancillary products, for example, for retail installment contracts we purchase from dealerships. For more information regarding the FTC’s enforcement actions,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Fund Transfer Act and NACHA Rules</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lending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 operations conform to the EFTA, its regulations and NACHA guidelines. As part of our servicing activities, we obtain necessary electronic authorization from borrowers and investors for such transfers in compliance with such rules. The loans offered on our platform by our lending partners must also comply with the requirement that a loan cannot be conditioned on the borrower’s agreement to repay the loan through recurring electronic fund transfers.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Signatures in Global and National Commerce Act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to get affirmative consent from consumers to receive or sign electronically any documents otherwise required by law to be “in writing”.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Marketing Regulations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Telephone Consumer Protection Act, or TCPA, and similar state laws,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Our policies address the requirements of TCPA as well as FTC Telemarketing Sales Rule and other laws limiting telephone outreach. Furthermore, Upstart does not engage in certain activities covered by TCPA.</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or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 Our email communications with all consumers are formulated to comply with the CAN-SPAM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Servicemembers Civil Relief Act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Servicemembers Civil Relief Act, or SCRA, and similar state laws,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ability to repossess a vehicle is also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SCRA. The SCRA allows military members to suspend or postpone certain civil obligations so that the military member can devote his or her full attention to military duties. The SCRA requires us to adjust the interest rate of borrowers who qualify for and request relief. If a borrower with an 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 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Military Lending Act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Secrecy Act, USA PATRIOT Act, and U.S. Sanctions Laws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Bank Secrecy Act, the Uniting and Strengthening America by Providing Appropriate Tools Required to Intercept and Obstruct Terrorism Act, or USA PATRIOT ACT, and certain U.S. sanctions laws, our lending partners are required to maintain anti-money laundering, customer due diligence and record-keeping policies and procedures, which we perform on behalf of our lending partners, and to avoid doing business with certain sanctioned persons or entities or certain types of sanctioned activity in certain countries. We have implemented an BSA/AML program, or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the Office of Foreign Assets Control, or OFAC, pursuant to the USA PATRIOT Act amendments to the Bank Secrecy Act and its implementing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Bankruptcy Code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Bankruptcy Code, a lender is prohibited by the automatic stay, reorganization plan and discharge provisions, among others, in seeking enforcement of debts against parties who have filed for bankruptcy protection. The lender’s rights to repossess a vehicle subject to a loan in bankruptcy are also restricted. Our policies are designed to support compliance with the Bankruptcy Code as we service and collect both secured and unsecured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Settlement Procedures Act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Real Estate Settlement Procedures Act, or RESPA, requires lenders and servicers of home loans to provide borrowers with pertinent and timely disclosures regarding the nature and costs of the real estate settlement process. RESPA also prohibits specific practices, such as kickbacks, and places limitations upon the use of escrow accounts. It also requires disclosures for mortgage escrow accounts at closing and annually thereafter, itemizing the charges to be paid by the borrower and what is paid out of the account by the servicer. Prior to referring a consumer to an affiliate, RESPA requires the person making each referral to provide each person to whom business is referred an Affiliated Business Arrangement Disclosure Statement. Our policies are designed to support compliance with RESPA.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Lending 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Usury Limitations</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lending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Tiffany v. National Bank of Missouri and Marquette National Bank of Minneapolis v. First Omaha Service Corporation), and relevant regulatory guidance (including FDIC advisory opinion 92-47) permit certain depository institutions to “export” requirements regarding interest rates and certain fees considered to be “interest” 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There are comparable permissions for federally chartered credit unions under the Federal Credit Union Act.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Annual Report on Form 10-K for more information about the risk if any loans were deemed subject to any state’s usury limits.</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also been recent judicial decisions and enacted legislation that could affect the collectability of loans sold by our lending partners after origination and the exposure of loan purchasers to potential fines or other penalties for usury violations.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for more information about recent case law developments.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our HELOC product, we are a non-bank financial institution that is subject to and complies with state-specific interest rate restrictions.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Disclosure and Lending Practice Requirements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originated on our platform by our lending partners may be subject to state laws and regulations that impose requirements related to loan disclosures and terms, credit discrimination, credit reporting, debt collection, and unfair or deceptive business practices. The retail installment contracts we purchase are subject to state laws and regulations that impose requirements on contract disclosures and terms, credit discrimination, credit reporting, debt collection and repossession, and unfair or deceptive business practices. Our ongoing compliance program seeks to comply with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Licensing/Registration</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hold licenses, registrations, and similar filings so that we can conduct business, including providing referral services and origination assistance to lenders on our platform and servicing and collecting loans, and purchasing retail installment contracts, in all states and the District of Columbia where our activities require such licensure, registration or filing. We also hold licenses and registrations required by state laws or regulations to originate HELOCs in those states.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 regulations. In addition, as the product offerings of Upstart or our lending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home lending and the purchase of retail installment contracts. We are also typically required to complete an annual report (or its equivalent) to each state’s regulator. The statutes also typically subject us to the supervisory and examination authority of state regulators.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licensing statutes impose a variety of requirements and restrictions, including:</w:t>
      </w:r>
    </w:p>
    <w:p>
      <w:pPr>
        <w:spacing w:after="0" w:line="117"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requirements;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and servicing practices;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governing electronic payments, transactions, signatures and disclosures;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examination requirements;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and minimum net worth requirements;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requirements;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requirements for changes in principal officers, stock ownership or corporate control; and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advertising and other loan solicitation activity, as well as restrictions on loan referral or similar practices.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Securities 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Upstart and certain of our subsidiaries have relied on Section 4(a)(2) of the Securities Act for placement of asset-backed securities directly to investors or to investment bank initial purchasers, which have relied on Rule 144A and Regulation S exemptions from registration to place such asset-backed securities to qualified institutional buyers and non-U.S. investors,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Advisers Act</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Broker-Dealer Regulations under the Exchange Act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 Risk Retention Rules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review our policies and procedures to ensure compliance with laws and regulations applicable to us and our lending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2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patents, trademarks, domain names, copyrights and trade secrets, as well as through contractual provisions, our information security infrastructure and restrictions on access to or use of our proprietary technology. As of December 31, 2023, we had two patents issued and three patent applications in the United States related to our proprietary risk model and data engineering. We may file additional patent applications or pursue additional patent protection in the future to the extent we believe it will be beneficial.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about our intellectual property and associated risks,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Culture and Workforce</w:t>
      </w:r>
    </w:p>
    <w:p>
      <w:pPr>
        <w:spacing w:after="0" w:line="24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built a very special company culture at Upstart. Building the best place for top talent to do great work has been a priority for us from day one. It is not an accident that we have received best place to work awards in both our San Mateo and Columbus locations. In spite of the macro-economic challenges we encountered in 2023 - our employee engagement and retention of our top talent are both strong.</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brought together a remarkable diversity of thinkers to build Upstart. Our co-founders and the members of our management team come from diverse backgrounds with varying ethnicities, education backgrounds, genders and ages. This diversity of thought ensures we tackle problems from all angles and arrive at the best solution for all stakeholders.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attract and recruit diverse, exceptionally talented, highly educated, experienced and motivated employees. We have an extremely rigorous recruiting and employee candidate screening process. For example, our machine learning team, responsible for the development and constant improvement of our AI models, is unlike any other that we are aware of in the consumer lending space. The majority of the members of this team have doctorate degrees in statistics, mathematics, computer science, economics or physics and many have extensive past experience in quantitative finance.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Upstart culture is central to our talent advantage and we have carefully and thoughtfully built it as we have grown. Equity and inclusion underpin everything we do in the people programs we build. From our compensation practices to how we think about talent management and team development to the perks and benefits we invest in, we take a diversity, equity, and inclusion lens to each decision we make and every strategy we build.</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Upstart employees are also passionate about building an environment that works for all. Over the last three years, we have invested heavily in growing our employee resource groups, and currently have nine employee led organizations designed to support employees in communities that matter to them. This includes our African American Employee Network, Catalyst (for our LGBTQ2IA+ community), Unidos, APU (for Asian American Upstarters), and most recently, a Veterans ERG, along with more than 20 clubs and special interest groups.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First Approach</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few years ago, we shifted our talent location strategy to one that focused on “digital” work first. Employees in eligible roles (which comprise the majority of our full-time roles) can work from anywhere in the United States, including in one of our three offices in Austin, Texas; Columbus, Ohio; or San Mateo, California. However, to ensure we continue to build relationships and capture the magic of those innovative, in-person “aha” moments, we also provide travel and onsite budgets to ensure teams can come together regularly. We believe the benefits of in-office work can be captured in just a few well-considered days together, so this flexible approach provides Upstart the best of all worlds: in-person collaboration and team building as well as access to diverse talent all over the country.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providing competitive benefits like fully paid health insurance, life insurance and disability, flexible time off for our salaried employees, and fully paid parental leave, we invest in benefits that will provide financial flexibility and financial wellness for our employees - we see this as central to our brand as an employer, and to attracting the types of employees that will be passionate about our mission to serve borrowers. We continue to provide flexible “wellness” and “productivity” budgets allowing our diverse population of employees to spend in ways that will be most useful for them. Inspired by our company mission, we also provide important traditional financial benefits like a 401(k) match (where we match 401(k) contributions up to a set dollar amount, ensuring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equal access to these benefits dollars regardless of salary level), a generous Employee Stock Purchase Plan, and access to a financial planning and money management platform. We believe that these employee benefits, combined with competitive salaries and an equity program that grants restricted stock units to all full-time employees, have ensured that we remain a top employer in our industry.</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1,388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410, San Mateo, California 94403, and our telephone number is (833) 212-2461. Our website address is www.upstart.com.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website is located at www.upstart.com and our investor relations website at ir.upstart.com. Copies of our Annual Report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the investor relations section of our website (ir.upstart.com),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 including the recent bank failures and resulting disruption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which may result in increased risks, uncertainties, expenses and difficulties, and makes it difficult to evaluate our future prospects.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and we may not be able to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and financial performance in the past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are likely to fluctuate and as a result may adversely affect the trading price of our common stock.</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top three lending partners account for a significant portion of loan originations on our marketplace and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 is derived from a single loan product, and we are thus particularly susceptible to fluctuations in the unsecured personal loan market. We also do not currently offer a broad suite of products that lending partners or institutional investors may find desirable.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and onboarding process of new lending partners could take longer than expected, leading to fluctuations or variability in expected revenues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or if loan aggregators begin offering competing products, our business could be adversely affected.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of Upstart-powered loans, and borrowers’ ability and willingness to repay their loans. These factors include, but are not limited to, interest rates, inflation, fiscal and monetary policies, unemployment levels, personal savings rates, disruptions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recent years, the United States has experienced historically high levels of inflation. In response, the government has implemented policy interventions, and the U.S. Federal Reserve has raised, and may continue to raise, interest rates. While the goal is to curb inflation, these interventions may have broad macroeconomic implications and may contribute to an economic downturn, higher unemployment rates or disrupt the banking sector.</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current macroeconomic environment and resulting uncertainty and volatility have had, and could continue to have, several effects on our business and results of operations, including, among other things:</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loan origination volume;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loan funding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liquidity in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approvability of, and acceptance of loan offers by, applicants;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utilization of our balance sheet to fund Upstart-powered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adoption of our AI lending marketplace by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delinquencies and default rates for Upstart-powered loans;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workforce.</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 w:cs="Times New Roman" w:eastAsia="Times New Roman" w:hAnsi="Times New Roman"/>
          <w:sz w:val="18"/>
          <w:szCs w:val="18"/>
          <w:i w:val="1"/>
          <w:iCs w:val="1"/>
          <w:color w:val="auto"/>
        </w:rPr>
        <w:t>If we are unable to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diverse and resilient loan funding to our marketplace from institutional investors, our growth prospects, business, financial condition and results of operations could be adversely affected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offer consumer loans, such as personal and auto loans, on our marketplace, and many consumers that come to our marketplace have poor, limited or no credit history. Such consumers have historically been, and may in the future be, disproportionately affected by adverse macroeconomic conditions. Inflation, higher interest rates, availability of welfare programs, unemployment, bankruptcy, government interventions, such as stimulus measures, major medical expenses, divorce or death may affect borrowers’ ability or willingness to borrow or make payments on loans. The recent macroeconomic trends have negatively impacted borrowers’ ability and willingness to borrow and make repayments. Such trends also have led to higher costs of borrowing on loans offered on our marketplace. While the costs of borrowing and risks associated with consumer lending have increased, the maximum annual percentage rate of Upstart-powered loans has been set and always has been less than 35.99% due to regulatory reasons. As a result, the pool of applicants that would qualify for a loan offer has become smaller, and fewer applicants have received or accepted loan offers than they have in the past. In a high interest rate environment, potential borrowers may also prefer to defer loans as they wait for interest rates to stabilize. These factors have and could continue to lower our loan origination volume.</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an economic down cycle, there is a greater risk that borrowers will not make payments on loans. Borrowers may not prioritize repayment of unsecured personal loans over loans that are secured by necessities, for example, mortgages or auto loans. Higher interest rates often lead to higher payment obligations, which may reduce the ability of borrowers to remain current on their obligations. These factors lead to increased delinquencies, defaults and bankruptcies declared by borrowers, resulting in more charge-offs and less recoveries, all of which have had, and could continue to have, a material adverse effect on the credit performance of loans facilitated on our marketplace and our business. For example, the vintages of core personal loans that originated in the first quarter of 2021 through the second quarter of 2023 are forecasted to underperform relative to the target returns set at the time of loan origination. When a borrower defaults on a loan, it increases our costs to service the loan. Because default rates have been higher than expected, it has negatively impacted, and may continue to negatively impact, demand by our lending partners to originate, and institutional investors to fund, loans facilitated through our marketplace. Any sustained decline in applicant approvability or acceptance of loan offers or loan origination volume, or any increase in delinquencies or defaults by borrowers beyond our expectation, would harm our business, financial condition and results of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As of December 31, 2023, out of the total principal of loan originations facilitated on our marketplace in 2023, 48% were purchased by institutional investors. The availability and capacity of loan funding from institutional investors depend on many factors that are outside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control, such as economic and market conditions, interest rates, liquidity in the capital markets and regulatory reforms. We cannot be sure that the existing funding sources will continue to be available, or any new funding source will become available, on commercially reasonable terms or at all.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recently experienced reductions in capital to our marketplace due to the current macroeconomic environment, including rapidly rising interest rates, increased credit risk of consumers, recessionary concerns, and stress on banks’ balance sheets driven by bank failures in 2023. Our institutional investors have decreased their loan purchase volumes in light of the recent macroeconomic environment and have demanded a lower price and higher returns to cover the higher cost of funds and increased credit risks. A reduction in loan purchase volume and sale price has negatively impacted, and could continue to negatively impact, our revenue, operations and returns. Decreased funding from institutional investors, together with lower approvability of loan applicants, reduced loan origination volume on our marketplace, which has had and could continue to have a negative impact on our revenue. Any sustained decline in investor demand for Upstart-powered loans or securities secured by such loans, or any increase in delinquencies, defaults or losses beyond our expectation due to adverse economic conditions, may also reduce the price we receive on future loan sales.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response to funding constraints, we have utilized, and expect to continue to utilize, our balance sheet to support funding of loans that would otherwise be sold to institutional investors. The use of our balance sheet to support loan funding diverts capital resources, increases our exposure to the changes in the fair value of such loans and has resulted in and could result in losses when such loans held on our balance sheet default or we sell them at a loss. Furthermore, we have sought, and continue to seek, committed capital arrangements with institutional investors. These arrangements may include terms that provide downside risk protection, subject to certain limits and conditions. In particular, we have agreed to compensate, subject to a limit, the committed capital investors if credit performance on the loans sold to them deviates from expectations. As of December 31, 2023, our capital at risk, which represents the maximum exposure to losses, under these arrangements was $98.5 million. Risk sharing arrangements have negatively impacted our financial results through unfavorable fair value adjustments and may continue to do so in the future. We may also experience declines in revenue and loan volume if the existing committed capital investors do not provide funding on the agreed upon terms or we fail to secure additional committed capital arrangements in the future on commercially reasonable terms or at all. Moreover, despite our efforts, we may continue to experience funding constraints and cannot be certain if any measures we have taken, such as committed capital arrangements, or will take to address or mitigate the effects of funding constraints, will be sufficient or successful. In the event of continued funding constraints, we may not be able to maintain our current loan origination volume without incurring substantially higher funding costs, agreeing to terms that are not favorable to us or further relying on our balance sheet to support funding, each of which could adversely affect our business, financial condition and results of operations.</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adverse economic conditions and bank failures in 2023, the securitization markets in general have been constrained. We have experienced less demand for our asset-backed securities secured by Upstart-powered loans. 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the loans originated in 2021 through mid-2022 that were included in our asset-backed securitizations have underperformed relative to their expected target returns at the time of origination, resulting in negative rating agency actions in several of our asset-based securitizations. We cannot be certain if and when investor demand for securitizations will recover. Moreover, the funding arrangements that we have recently entered into during a high interest rate environment, such as the committed capital arrangements, may become more costly if interest rates fall and the terms of such arrangements remain through a full economic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loan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 process fails, we may experience higher than forecasted losses on loans. Any of the foregoing could result in sub-optimally priced loans or incorrect approvals or denials of loans, any of which may lead to lower demand by borrowers and reduce loan originations. Moreover, in addition to reduced borrower demand, higher than expected losses on Upstart-powered loans could further harm our ability to attract capital to our marketplace. Our lending partners and institutional investors may decide to limit their funding or reduce the number of loans or types of loans they fund if they experience higher than expected losses on their cost of funds due to underperformance of the loans. It may also hinder our ability to increase the size of, or enter into new, debt facilities or other financing arrangements.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AI models also target and optimize other aspects of the lending process, such as borrower acquisition, fraud detection, default timing, loan stacking and prepayment timing. Our continued improvements to such models have allowed us to facilitate loans inexpensively and virtually instantly, with a high degree of consumer satisfaction while maintaining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Continuing to improve the accuracy of our AI models is central to our business strategy. However, such improvements could negatively impact transaction volume, such as by lowering approval or conversion rates. For example, in the third quarter of 2021, we made changes to our AI models in response to an increase in fraudulent activity on our platform. These changes, while effective at preventing fraudulent loans from being transacted, have resulted in a decrease in our Conversion Rate. While we believe that continuing to improve the accuracy of our AI models is key to our long-term success, those improvements have led us in the past and could, from time to time, lead us in the future to reevaluate our credit decisioning process, including the risks associated with certain borrowers. This has resulted, and could in the future result, in lower approval rates or higher interest rates for any borrowers identified as a higher risk, either of which could negatively impact our growth and results of operations in the short term.</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performance of loans facilitated through our marketplace is significantly dependent on the effectiveness of our proprietary AI models used to evaluate a borrower’s credit profile and likelihood of default. Our AI models have not been extensively tested during economic downturn or recession.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lending partners and our institutional investors would experience greater than expected losses on such loans, which would harm our reputation and erode the trust we have built with our lending partners and institutional investors. We have experienced and may continue to experience high delinquency rates and underperformance of loans originated using our AI models in recent periods. For example, the quarterly vintages of core personal loans that originated in the first quarter of 2021 through the second quarter of 2023 are forecasted to underperform relative to the target returns set at the time of loan origination. The fair value of the loans on our balance sheet has declined and may continue to decline.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w:t>
      </w:r>
    </w:p>
    <w:p>
      <w:pPr>
        <w:spacing w:after="0" w:line="21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participation of our lending partners in our marketplace. In the year ended December 31, 2023, 86% of our total revenue was generated from platform, referral and servicing fees that we receive from our lending partners. Our lending partners also provide loan funding to our marketplace by retaining a significant portion of the loans facilitated through our marketplace. As of December 31, 2023, out of the total principal of loan originations facilitated on our marketplace in 2023, 32% were retained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lending partners may suspend, limit or cease their participation in our marketplace for a number of reasons. Several of our lending partners have paused or reduced loan origination in order to limit their exposure to consumer loans in the current macroeconomic environment. In connection with disruptions in the banking sector, lending partners are managing their balance sheets conservatively and are focused on liquidity, all of which have limited, and may continue to limit, our ability to attract new lending partners and maintain or increase loan originations on our marketplace. If our lending partners continue to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See the risk factors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 with such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regulations could harm our business,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CFPB has sometimes taken expansive views of its authority to regulate consumer financial services, creating uncertainty as to how the agency’s actions or the actions of any other agency could impact our business</w:t>
      </w:r>
      <w:r>
        <w:rPr>
          <w:rFonts w:ascii="Times New Roman" w:cs="Times New Roman" w:eastAsia="Times New Roman" w:hAnsi="Times New Roman"/>
          <w:sz w:val="18"/>
          <w:szCs w:val="18"/>
          <w:color w:val="auto"/>
        </w:rPr>
        <w:t>” for more information. Moreover, we could in the future have disagreements or disputes with any of our lending partners, which could negatively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lending partners. If we fail to maintain or grow the number of lending partners, our business, financial condition and results of operation could be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relatively limited operating history, which may result in increased risks, uncertainties, expenses and difficulties, and makes it difficult to evaluate our future prospects.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3"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mitigate any adverse effects of economic conditions such as high interest rates, inflation, unemployment levels, personal savings rates and other macroeconomic factors on our business;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and predictiveness of our AI models, including successfully adjusting our proprietary AI models, products and services in a timely manner in response to changing macroeconomic conditions and fluctuations in the credit market;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volume of loans facilitated through our AI lending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maintain diverse and resilient loan funding to our marketplace from institutional investors;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lending partners to our marketplace and maintain existing lending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 our borrower demand with competitive products and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interest rates to borrowers on our marketplace, while enabling our lending partners and institutional investors to achieve an adequate return over their cost of funds;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build our brand and protect our reputation from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effectiveness of our marketing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number of potential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successfully adapt to complex and evolving regulatory environments;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increasingly sophisticated fraudulent borrowing and online theft;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markets and introduce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secure and maintain the confidentiality of the information received, accessed, stored, provided and used across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and maintain corporate funding and liquidity to support growth and for general corporate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and retain qualified employees;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expand the capabilities of our operations teams, outsourcing relationships and other business operations.</w:t>
      </w:r>
    </w:p>
    <w:p>
      <w:pPr>
        <w:spacing w:after="0" w:line="25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If we are not able to timely and effectively address these risks and difficulties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and results of operations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risks in terms of the losses or defaults within Upstart-powered loan portfolios. UMI is at an early stage of its development and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correlation between UMI and the level of macroeconomic risks in terms of losses or defaults within Upstart-powered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loan portfolios and is specific to our borrower base.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and we may not be able to achieve profitability in the future.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we incurred a net loss of $240.1 million.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and expect to incur in the future, significant losses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would prevent us from being profitable. If we are unable to successfully address these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loans from lending partners to address fluctuations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supply and demand in our marketplace and periodically sell these loans to institutional investors prior to their maturity. As of December 31, 2023, out of the total principal of loan originations facilitated on our marketplace in 2023, 16% were held on our balance sheet, excluding loans held in consolidated securitization. As of December 31, 2023, we held $977.3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 on our balance sheet, we bear the credit risk in the event of borrower default. Our exposure to rising borrower default rates and their volatility has increased, and may continue to increase, as we hold more Upstart-powered loans on our balance sheet. The R&amp;D loans make up a substantial portion of the loans held on our balance sheet and are generally more risky and more likely to default than the core personal loans. Recently, the default rates and charge-offs for these loans have been higher than expected for certain loan categories, and consequently, we had to make unfavorable fair value adjustments to the loans on our balance sheet. These unfavorable fair value adjustments have negatively impacted our revenue, and if we continue to experience higher than expected default rates or the loans otherwise fail to perform as expected, we would need to make additional unfavorable fair value adjustments in the future, which would negatively impact our revenue. It is also possible that we may recognize a loss if we sell the loans held on our balance sheet, such as the R&amp;D loans, at an unfavorable price. From a liquidity perspective, the growing amount of loans on our balance sheet increases our liquidity risk. We cannot be certain whether we will be able to sell these loans, or any future loans to be put on our balance sheet, on commercially reasonable terms or at all. If we are unable to do so, it is possible that our ability to meet our operational needs and obligations may be disrupted. Moreover, the use of our balance sheet diverts financial resources from other uses, such as improving our products and services, which could have an adverse effect on our results of operations.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growth rate and financial performance in the past may not be indicative of future performance.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In fact, our revenue declined during the year ended December 31, 2023. Our revenue may continue to decline in the future for a number of reasons, which may include: adverse macroeconomic conditions, changing interest rates, slowing demand for or reduced funding through our lending marketplace, sales of loans held on our balance sheet at a loss, increasing competition, credit market volatility, increasing regulatory costs and challenges and our failure to capitalize on growth opportunities.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and home equity lines of credit, may cause fluctuations of such percentage from period to period depending on the loan offering mix. As a result of these factors, our revenue may further decline, and our financial performance may continue to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interest rate changes, inflation,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borrowing money and access to loan funding sources;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including improvements that negatively impact transaction volume, such as lower approval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lending partners and institutional investors to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existing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loan volumes, and improve loan mix and the channels through which the loans, lending partners and loan funding are sourced;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relationships with loan aggregators from which prospective borrowers access our website;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prevent fraudulent activity and the impact of fraud prevention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assets and liabilities on our balance sheet;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direct marketing and other marketing channels;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prepayments of loans facilitated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actual or perceived security breaches or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enforcement efforts (or the threat thereof) or those that impact our industry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onboarding process related to acquisitions of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 or the development of competitive products by larger well-funded incumbents.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and drawing on the associated warehouse credit facilities. Each securitization SPE issues notes and/or certificates pursuant to the terms of indentures and trust agreements, or in the case of the warehouse credit facilities, the warehouse trust SPE borrows money from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 and/or our lending partners contribute loans to the SPE and in exchange, receive cash and/or securities representing debt and/or equity interests in such SPE.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we are the sole sponsor of securitizations, we are required under Regulation RR to retain at least five percent of the credit risk in such transactions for a specific period of time, depending on the type of asset that is securitized. We have in the past and may choose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we acted as a sole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it is not possible or economical for us to securitize loans in the future,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During the year ended December 31, 2023, we sold loans that had been originated in an earlier, lower interest rate environment. We recognized losses on these sales which reduced our revenue. As we hold more loans on our balance sheet, our business, financial condition and results of operation could be adversely affected, including further reductions in revenue. Factors that may affect demand by institutional investors for Upstart-powered loans include: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servicing fees and other expenses may reduce overall net return on purchased pools of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credit performance of loan products offered on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such as high interest rates, inflation, economic volatility and other macroeconomic factors;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appetite of our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grade and term mix of the portfolios of loans offered for sale;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sector and company investment diversification requirements and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yielding investment opportunities at a risk profile deemed similar to our sold loan portfolios;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prepayment behavior within the underlying pools;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investment practices related to maintaining net asset value, mark-to-market and similar metrics surrounding pools of purchased loans;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institutional investors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our committed capital arrangements, we have agreed to compensate, subject to a limit, the committed capital investors if credit performance on the loans sold to them deviates from expectations. As of December 31, 2023, our capital at risk, which represents the maximum exposure to losses, under these arrangements was $98.5 million. See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more information. Risk sharing arrangements could negatively impact our financial results. We may also experience declines in revenue and loan volume if the existing committed capital investors do not provide funding on the agreed upon terms or we fail to secure additional committed capital arrangements on commercially reasonable terms, or at all.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top three lending partners account for a significant portion of loan originations on our marketplace and our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lending partners originate a significant portion of loans on our marketplace. In the year ended December 31, 2023, our top three lending partners collectively originated 80% of the Transaction Volume, Number of Loans and accounted for 63% of our total revenue. There are no minimum commitments to originate any loans under the agreements we have with our lending partners. If our top three lending partners were to suspend, limit or cease their operations or otherwise terminate their relationship with us, our business, financial condition and results of operations would be adversely affected. As of December 31, 2023,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artificial intelligence, our industry and our company, including the quality and reliability of our AI lending marketplace;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accuracy of our AI models; characterizations of our company as a traditional lending company due to the amount of loans held on our balance sheet; perceptions regarding the application of artificial intelligence to consumer lending specifically and that algorithmic lending is inherently biased; the reputation of the vehicle dealerships with which we partner; loan funding to our marketplace; changes to the Upstart marketplace; our ability to effectively manage and resolve borrower complaints; collection practices; privacy and security practices; litigation, such as class action and shareholder derivative lawsuits described in “Legal” section under “Note 13. Commitments and Contingencies”; regulatory activity; and the overall user experience of our platform. Negative publicity or negative public perception of these factors, even if inaccurate, could adversely affect our brand and reputation.</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or “rent-a-bank”.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However, states that are addressing their rent-a-bank concerns through legislation may inadvertently capture Upstart’s AI marketplace, and if that were to happen, our lending partners may need to scale back lending on our marketplace to comply with state laws or terminate their participation in our marketplace, leading to a reduction in origination volume. It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against the dealership to the holder of a retail installment contract.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 marketplace, loans we service or have serviced, or retail installment contracts we have purchased. If there are changes in the laws 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Artificial intelligence and related technologies are subject to public debate and heightened regulatory scrutiny. The Consumer Financial Protection Bureau (“CFPB”)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In April 2023, the Federal Trade Commission (“FTC”), the Department of Justice (“DOJ”), the CFPB, and the Equal Employment Opportunity Commission (“EEOC”) released a joint statement on artificial intelligence demonstrating their interest in monitoring the development and use of automated systems and enforcement of their respective laws and regulations, and in October 2023, President Biden signed an Executive Order aimed at protecting consumers against harms caused by artificial intelligence. Any negative publicity or negative public perception of artificial intelligence could negatively impact demand for our AI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2020, we entered into an agreement with the NAACP Legal Defense Education Fund, the LDF, and the Student Borrower Protection Center, the SBPC, to participate in fair lending reviews of our AI underwriting models by an independent third-party firm, Relman Colfax LLC, or Relman. The fair lending testing was designed to determine if our AI underwriting models have caused or resulted in a disparate impact on any protected class, and if so, whether there are any alternative, less discriminatory practices without sacrificing the models’ predictiveness. Following a number of quantitative assessments, Relman has published three periodic reports and plans to publish a fourth and final report that summarizes the development during the monitorship as well as industry recommendations. While we have input on Relman’s reports and the agreement provides that Relman and the parties to the agreement will collaborate to reach agreement on any recommendations, we may disagree with Relman, the LDF or the SBPC regarding the contents of the reports or particular recommendations that were made, the manner in which they should be implemented, if at all, or whether they would maintain the predictiveness of our AI models or meet any other legitimate business needs of Upstart. If we do not implement Relman’s recommendations, the LDF and/or the SBPC could terminate the agreement with us. If Relman’s reports are viewed negatively for any reason, or Relman terminates its agreement with us and/or the agreement with the LDF and/or the SBPC is terminated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or the SBPC, including the reports published by Relman, could lead to additional regulatory scrutiny for our lending partners.</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been subject to other governmental inquiries on this topic. See the risk factor titled “</w:t>
      </w:r>
      <w:r>
        <w:rPr>
          <w:rFonts w:ascii="Times New Roman" w:cs="Times New Roman" w:eastAsia="Times New Roman" w:hAnsi="Times New Roman"/>
          <w:sz w:val="18"/>
          <w:szCs w:val="18"/>
          <w:i w:val="1"/>
          <w:iCs w:val="1"/>
          <w:color w:val="auto"/>
        </w:rPr>
        <w:t>—We have been in the past and may in the future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federal and state regulatory inquiries regarding our business</w:t>
      </w:r>
      <w:r>
        <w:rPr>
          <w:rFonts w:ascii="Times New Roman" w:cs="Times New Roman" w:eastAsia="Times New Roman" w:hAnsi="Times New Roman"/>
          <w:sz w:val="18"/>
          <w:szCs w:val="18"/>
          <w:color w:val="auto"/>
        </w:rPr>
        <w:t>” for more information. Negative public perception, actions by advocacy groups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As we expand our business into new markets, introduce new loan products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For example, in April 2022, the CFPB announced that it intends to examine non-bank financial companies that pose risks to consumers, and in November 2022, the Treasury Department issued a report encouraging the CFPB to increase its supervisory activity with respect to larger non-bank lenders. In July 2023, the CFPB announced that the agency had already begun supervision of at least three non-bank fintech companies. If the CFPB decides to subject us to its supervisory process, it could significantly increase the level of regulatory scrutiny of our business practices. Related to automotive lending, in January 2023, the CFPB and the New York Attorney General filed a complaint against an auto lender that criticized the profit-driven model in auto lending. The CFPB then entered into consent orders with several auto lenders as the year progressed, related to unfair or deceptive fees and servicing practices. With regulators actively scrutinizing the auto lending space, we may be subject to heightened scrutiny of the retail installment contracts we purchase and service. In addition, the Biden Administration recently announced a government-wide effort to eliminate “junk fees” which could subject our business practices to even further scrutiny. While what constitutes a “junk fee” remains undefined, the CFPB has called out certain ancillary products and pay-to-pay fees charged by debt collectors, and FTC issued a final rule on junk fees. These efforts signal that the “junk fee” initiative is likely to continue to broaden in scope. We may be subject to scrutiny should the “junk fee” initiative expand to include fees directly associated with consumer lending products.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the CFPB has issued several interpretive statements and guidance documents that could impact our business practices including, but not limited to, a May 2022 statement on compliance obligations under the Equal Credit Opportunity Act (“ECOA”) for companies that rely on complex algorithms when making credit decisions and the fall 2023 statements on junk fees and, with the DOJ, on fair lending for non-citizens. The CFPB also issued an interpretive rule expanding states’ authority to enforce requirements of federal consumer financial laws, including the ECOA. State regulators have also increased the level of regulatory scrutiny on financial technology companies and the bank partnership model. For example, the State of Maryland initiated an enforcement action against a financial technology company and its bank partner for unlicensed lending within the state, and Colorado opted out of the federal law that allows out-of-state banks to export their rates to Colorado. Some states have codified in their laws a test to determine who is the true lender for certain loans. Moreover, the OCC has also indicated that it intends to use its supervisory authority to review bank third-party relationships with financial technology companies including a review of third-party business practices that could pose a risk of potential consumer harm that could impact the safety and soundness of the banks subject to agency supervision. Should the agency examine any of our lending partners, such examinations may involve a review of our business practices to determine whether they pose a risk to the safety and soundness of those lending partners.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been proactively working with the federal government and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would not take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We have been subject to governmental inquiries as well. See the risk factor titled “—</w:t>
      </w:r>
      <w:r>
        <w:rPr>
          <w:rFonts w:ascii="Times New Roman" w:cs="Times New Roman" w:eastAsia="Times New Roman" w:hAnsi="Times New Roman"/>
          <w:sz w:val="18"/>
          <w:szCs w:val="18"/>
          <w:i w:val="1"/>
          <w:iCs w:val="1"/>
          <w:color w:val="auto"/>
        </w:rPr>
        <w:t>We have been in the past and may in the future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and state regulatory inquiries regarding our business</w:t>
      </w:r>
      <w:r>
        <w:rPr>
          <w:rFonts w:ascii="Times New Roman" w:cs="Times New Roman" w:eastAsia="Times New Roman" w:hAnsi="Times New Roman"/>
          <w:sz w:val="18"/>
          <w:szCs w:val="18"/>
          <w:color w:val="auto"/>
        </w:rPr>
        <w:t>” for more information. Any government investigations or inquiries, whether or not accurate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warranted, or whether concerning us or one of our competitors, could negatively affect our brand and reputation and the overall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of and trust in our AI lending marketplace. Any of the foregoing could harm our business, financial condition and results of operations.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In the year ended December 31, 2023, 28% of our revenue was generated from loan servicing fees. 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we could still be limited in our ability to collect on the loan if we cannot secure the automobile.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began conducting first-party collection activities for our lending partners in the fourth quarter of 2022 for loans facilitated through our marketplace.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 and charge-offs on the loans, which could decrease fees payable to us, cause our lending partners to decrease the volume of Upstart-powered loans kept on their balance sheets,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are subject to change.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auto loans issued through our lending marketplace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and we are unable to recover the deficiency balance from the borrower, where permitted,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lending partners to reduce loan originations, erode trust in our lending marketplace and increase the costs of loan funding for our marketplace.</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Substantially all of our revenue is derived from a single loan product, and we are thus particularly susceptible to fluctuations in the unsecured personal loan market. We also do not currently offer a broad suite of products that lending partners or institutional investors may find desirable.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lending partners and institutional investors may find it desirable to partner with competitors that are able to offer them a broader array of credit products. In order to preserve and expand our relationships with our existing lending partners and institutional investors, and enter into new lending partnerships and arrangements with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marketplace, 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unable to manage the risks associated with the unsecured personal loan product, our business, financial condition and results of operations could be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sales and onboarding process of new lending partners could take longer than expected, leading to fluctuations or variability in expected revenues and results of operations.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lending model often involves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 2023 due to the adverse macroeconomic conditions affecting our business at that time. We may also have difficulty with securing adequate loan funding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on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Misconduct and errors by our employees, former employees, vendors, or service providers could harm our reputation and subject us to significant legal liability.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inability to compete effectively could result in reduced loan volumes, reduced average size of loans facilitated on our marketplace, reduced fees, increased marketing and borrower acquisition costs or the failure of the Upstart marketplace to achieve or maintain more widespread market acceptance, any of which could have an adverse effect on our business and results of operations.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are also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we have reduced our workforce in November 2022 and January 2023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conditions and results of operations may be adversely affected.</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effectively manage the fluctuations in our business, our business, financial condition and results of operations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growth in the past placed significant demands on our management, processes and operational, technological and financial resources. More recently, economic headwinds in 2022 led to us announcing reductions in our workforce in November 2022 and January 2023 which were intended to help us achieve a more cost-efficient organization. These fluctuations in the momentum of our business challenge our ability to manage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 w:cs="Times New Roman" w:eastAsia="Times New Roman" w:hAnsi="Times New Roman"/>
          <w:sz w:val="18"/>
          <w:szCs w:val="18"/>
          <w:i w:val="1"/>
          <w:iCs w:val="1"/>
          <w:color w:val="auto"/>
        </w:rPr>
        <w:t>We depend on our key personnel and other highly skilled personnel, and if we fail to attract, retain and motivate our personnel,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could be adversely affected</w:t>
      </w:r>
      <w:r>
        <w:rPr>
          <w:rFonts w:ascii="Times New Roman" w:cs="Times New Roman" w:eastAsia="Times New Roman" w:hAnsi="Times New Roman"/>
          <w:sz w:val="18"/>
          <w:szCs w:val="18"/>
          <w:color w:val="auto"/>
        </w:rPr>
        <w:t>.” As part of that effort and from time to time, we rely on temporary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programs to scale our operations 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w:t>
      </w:r>
    </w:p>
    <w:p>
      <w:pPr>
        <w:spacing w:after="0" w:line="2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and incidents compromising borrowers’ confidential information that we store may harm our reputation, adversely affect our results of operations and expose us to liability.</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are increasingly dependent on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as more of our employees are accessing our servers remotely through home or other networks, reducing physical and social security controls on employee monitoring. Significant disruptions to information technology systems or other security incidents within our company, our lending partners and third-party vendors and/or other business partners could adversely affect our business operations and result in the loss, misappropriation, or unauthorized access, use or disclosure of, or the prevention of access to, sensitive information, which could result in financial, legal, regulatory, business and reputational harm to us.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or incident, whether actual or perceived, would harm our reputation and ability to attract new borrowers to our marketplace.</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geopolitical conflicts, or telecommunication or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have been accessed by a third party. We promptly deployed an update to our software to address such vulnerability and conducted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platform, and we expect to continue investing substantially to protect against security vulnerabilities and incidents.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lending partners, we receive licenses to use data collected from loan applicants and borrowers. The CFPB has proposed rules on “open banking” that would give consumers certain rights in deciding how companies like us can use their personal financial data, and also proposed additional restrictions and requirements on companies that use such data.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marketplace.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regulatory protections are in place to afford consumers the right to dispute inaccuracies and despite the fact that we use numerous third-party data sources and multiple credit factors within our proprietary models, which helps mitigate this risk, it does not eliminate the risk of an inaccurate individual report.</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asset-backed securitizations, pass-through certificate transactions, warehouse credit facilities and whole loan sale arrangements,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arrangements or transactions and could require us to indemnify certain financing parties. Through December 31, 2023, the number of repurchased Upstart-powered loans as a result of inaccurate representations and warranties represents less than 1%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 In addition, a high volume of repurchases due to a breach of such representations and warranties could have an adverse impact on our reputation as a loan seller and servicer.</w:t>
      </w:r>
    </w:p>
    <w:p>
      <w:pPr>
        <w:spacing w:after="0" w:line="2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would be adversely affected and our ability to attract new lending partners and institutional investors would be negatively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our lending partners and potential borrowers on the Upstart marketplace,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litigation, claims, examinations, investigations, enforcement actions,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and the risk factor titled “—</w:t>
      </w:r>
      <w:r>
        <w:rPr>
          <w:rFonts w:ascii="Times New Roman" w:cs="Times New Roman" w:eastAsia="Times New Roman" w:hAnsi="Times New Roman"/>
          <w:sz w:val="18"/>
          <w:szCs w:val="18"/>
          <w:i w:val="1"/>
          <w:iCs w:val="1"/>
          <w:color w:val="auto"/>
        </w:rPr>
        <w:t>The trading price of our common stock may be volatile,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you could lose all or part of your investment</w:t>
      </w:r>
      <w:r>
        <w:rPr>
          <w:rFonts w:ascii="Times New Roman" w:cs="Times New Roman" w:eastAsia="Times New Roman" w:hAnsi="Times New Roman"/>
          <w:sz w:val="18"/>
          <w:szCs w:val="18"/>
          <w:color w:val="auto"/>
        </w:rPr>
        <w:t>” for more information.</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“rent-a-bank” or “true lender” theories, particularly where such programs involve the subsequent sale of such loans or interests therein through the lending marketplace. See the risk factor titled “—</w:t>
      </w:r>
      <w:r>
        <w:rPr>
          <w:rFonts w:ascii="Times New Roman" w:cs="Times New Roman" w:eastAsia="Times New Roman" w:hAnsi="Times New Roman"/>
          <w:sz w:val="18"/>
          <w:szCs w:val="18"/>
          <w:i w:val="1"/>
          <w:iCs w:val="1"/>
          <w:color w:val="auto"/>
        </w:rPr>
        <w:t>If loans facilitated through our marketplace for one or more lending partners were subject to successful challenge that the lending partner was not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“true lender,” such loans may be unenforceable, subject to rescission or otherwise impaired, we or other program participants may be subject to penalties, and/or our commercial relationships may suffer, each which would adversely affect our business and results of operations</w:t>
      </w:r>
      <w:r>
        <w:rPr>
          <w:rFonts w:ascii="Times New Roman" w:cs="Times New Roman" w:eastAsia="Times New Roman" w:hAnsi="Times New Roman"/>
          <w:sz w:val="18"/>
          <w:szCs w:val="18"/>
          <w:color w:val="auto"/>
        </w:rPr>
        <w:t>” for more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loans originated by lending partners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 the risk factors titled “—</w:t>
      </w:r>
      <w:r>
        <w:rPr>
          <w:rFonts w:ascii="Times New Roman" w:cs="Times New Roman" w:eastAsia="Times New Roman" w:hAnsi="Times New Roman"/>
          <w:sz w:val="18"/>
          <w:szCs w:val="18"/>
          <w:i w:val="1"/>
          <w:iCs w:val="1"/>
          <w:color w:val="auto"/>
        </w:rPr>
        <w:t>If loans originated by our lending partners were found to violate the laws of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more states, whether at origination or after sale by the lending partner, loans facilitated through our marketplace may be unenforceable or otherwise impaired, we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other program participants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been in the past and may in the future be subject to federal and state regulatory inquiries regarding our business</w:t>
      </w:r>
      <w:r>
        <w:rPr>
          <w:rFonts w:ascii="Times New Roman" w:cs="Times New Roman" w:eastAsia="Times New Roman" w:hAnsi="Times New Roman"/>
          <w:sz w:val="18"/>
          <w:szCs w:val="18"/>
          <w:color w:val="auto"/>
        </w:rPr>
        <w:t>” for more information. If we were subject to such litigation or enforcement, then any unfavorable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future legal proceedings may result in contractual damages, usury related claims, fines, penalties, injunctions, the unenforceability, rescission or other impairment of loans originated on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limited history of operating with a Digital First workforce, and the long-term impact on our business, financial condition and results of operations is uncertain.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announcement of a Digital First work model in June 2021, remote work with less time in the office has been the primary experience for most of our employees. Our workforce is currently distributed across the U.S., and we expect this to continue. We have a limited history of operating with a Digital First workforce.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7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our financial resources for acquisitions or investments that may fail to realize the anticipated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development and sales and marketing functions and integration of administrative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borrowers to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financing;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loans or intangibles or other assets acquired in such transactions that may have an adverse effect on our results of operations in a given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or increase our risk for liability;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extreme winter weather, including blizzards. Although we maintain a disaster response plan and insurance, such events could disrupt our business, the business of our lending partners or third-party suppliers, and may cause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PLATFORM DEVELOPMENT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patents issued and three patent applications pending, we have limited patent protection and our patent application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uphold its contractual obligations. In other cases, our insurance may not cover potential claims of this type adequately or at all, and we may be required to pay monetary damages, which may be significant.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in our AI lending platform could prevent us from processing loan applicants and servicing loans, reduce the effectiveness of our AI models and result in a loss of lending partners, institutional investors, applicants or borrowers.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of a system outage or other event resulting in data loss or corruption, our ability to process loan applications, service loans or otherwise facilitate loans on our marketplace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aspects of our business processes include open source software, and any failure to comply with the terms of one or more of these open source licenses could negatively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source code available at no cost for modifications or derivative works we create based upon the type of open source software we use.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AI technologies by our employees or contractors could expose us to unexpected liability.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We face the risk of security threats from employee or contractor errors (such as unauthorized use of third 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 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policies governing our personnel’s use of third 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or if loan aggregators begin offering competing products, our business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Upstart.com learn about and access Upstart.com through the website of a loan aggregator, typically with a hyperlink from such loan aggregator’s website to a landing page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Upstart.com nor are they prohibited from working with our competitors or adding our competitors to their platforms. If traffic from Credit Karma or other loan aggregators decreases in the future for any reason,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CFPB and each of the prudential bank regulators that supervise our lending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Such guidance increases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marketplace, our lending partners rely on certain authority under federal law to export the interest rate requirements of the state where each lending partner is located to borrowers in all other states. Further, we, our securitization vehicles and our institutional investors that purchase Upstart-powered loans originated by our lending partners rely on the ability, as subsequent holders of the loans, to continue charging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interest rates and fee structures and enforce other contractual terms agreed to between the lending partners and the borrowers, as permitted under federal banking laws. The current maximum annual percentage rate of the loans facilitated through our marketplace is 35.99%. In some states, the interest rates of certain Upstart-powered loans exceed the maximum interest rate permitted for consumer loans applicable to non-bank lenders to borrowers residing in, or that have nexus to, such states. In addition, the rate structures for Upstart-powered loans may not be permissible in all states for non-bank purchasers and/or the amount or structures of certain fees charged in connection with Upstart-powered loans may not be permissible in all states for non-bank purchasers. Furthermore, other states have proposed or enacted additional limitations on interest rates and fees, such as laws in Illinois, Maine and New Mexico that cap interest rates on certain loans at an “all-in” 36% APR.</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lending partners originating loans and non-bank purchasers of such loans. The complaints included, among other claims, allegations, grounded in the Second Circuit’s Madden decision, that the rates and fees for certain loans could not be enforced lawfully by non-bank purchasers of bank-originated loans. Under the settlement, the banks and non-bank purchasers committed to, among other things, limit the annual percentage rates, or APR,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opted out of the federal law that allows state-chartered banks to export their rates, with such law becoming effective July 1, 2024 and putting the settlement model in jeopardy. Regardless, the settlement may also invite other states to initiate their own actions, and set their own regulatory standards through enforcement.</w:t>
      </w: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 June 2019, private plaintiffs filed class action complaints against multiple traditional credit card securitization programs, including, Petersen, et al. v. Chase Card Funding, LLC, et al., (No. 1:19-cv-00741-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another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our lending partners or our institutional investors.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Connecticut and Minnesota codified a “true lender” test into their laws in 2023, which similarly focus on the totality of the circumstances or who has the “predominant economic interest” in the loans. More states may also institute similar statutory “true lender” tests. The statutory “true lender” tests may increase the risk of true lender litigation in certain jurisdictions and impact how the tests are applied by courts and regulators in determining the true lender. They may also result in increased usury and licensing risk. Other states may take different paths to promulgate similar “true lender” restrictions, and if not through a legislative path, impacted parties may have little to no advance notice of new restrictions and compliance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Upstart-powered loans are originated in reliance on the fact that our lending partners are the “true lenders” for such loans. That true lender status determines various Upstart-powered loan program details,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marketplace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was therefore in violation of the state’s usury laws. This case ultimately settled, with Elevate agreeing to charge rates only up to 24% and to refund consumers who were charged rates over what is allowed under Washington, DC law. A similar complaint against an online lender, Opportunity Financial, LLC, was filed in early 2021, alleging that it rather than a bank originated these loans and the loans were therefore in violation of Washington, DC usury laws. The parties settled this case in November 2021. Also in April 2021, the Maryland Office of the Commissioner of Financial Regulation also alleged in the context of a civil suit that a state-chartered bank and its fintech partners engaged in a bank partnership program that violated various state licensing and credit statutes. The case is pending before the Office of the Commissioner of Financial Regulation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Cross River Bank (Case No. 21-CV-985). Furthermore, in April 2022, the California Department of Financial Protection and Innovation filed a complaint in Los Angeles Superior Court alleging that Opportunity Financial, LLC is the “true lender” of several loans to California residents that exceeded the applicable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usury limit for small dollar loans. While Opportunity Financial received a favorable decision in October 2023 that denied California’s motion for preliminary injunction, in California and other states, there is an ongoing risk that government agencies and private plaintiffs will seek to challenge these types of relationships that are similar to our business model.</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by the Colorado settlement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also possible that other state agencies or regulators could make similar assertions. If a court, or a state or federal enforcement agency, were to deem Upstart, rather than our lending partners, the “true lender” for loans originated on our marketplace,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or cash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marketplace;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or facilitate compliance with a variety of federal, state, and local laws, including those related to consumer protection and loan financings.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activities and the purchase and sale of whole loans and other related transactions. The current presidential administration has brought an increased focus on enforcement of federal consumer protection laws, notably those related to artificial intelligence, and has appointed consumer-oriented regulators at federal agencies such as the CFPB and the OCC. It is possible that regulators in the current or future presidential administration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state laws generally regulate interest rates and other charges and require certain disclosures. In addition, other federal and state laws may apply to the origination, servicing and collection of loans originated on our marketplace, and the purchase and sale of whole loans or asset-backed securitizations. In particular, certain laws, regulations and rules we or our lending partners are subject to include:</w:t>
      </w:r>
    </w:p>
    <w:p>
      <w:pPr>
        <w:spacing w:after="0" w:line="68"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Times New Roman" w:cs="Times New Roman" w:eastAsia="Times New Roman" w:hAnsi="Times New Roman"/>
          <w:sz w:val="18"/>
          <w:szCs w:val="18"/>
          <w:color w:val="auto"/>
        </w:rPr>
      </w:pPr>
    </w:p>
    <w:p>
      <w:pPr>
        <w:ind w:left="660" w:right="160" w:hanging="328"/>
        <w:spacing w:after="0" w:line="24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or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to information sharing with affiliated and unaffiliated entities as well as to safeguard personal borrower information, and other state privacy laws and regulations;</w:t>
      </w:r>
    </w:p>
    <w:p>
      <w:pPr>
        <w:spacing w:after="0" w:line="54"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and similar state laws enacted to provide the financial records of financial institution customers a reasonable amount of privacy from government scrutiny;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 and the USA PATRIOT Act, which relate to compliance with anti-money laundering, borrower due diligence and record-keeping policies and procedures;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state-specific and local laws and regulations.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 difficult or costly for us to offer our AI lending marketplace and related services or facilitate the origination of loans for our lending partners. These laws also are often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For example, Illinois, Maine and New Mexico enacted laws that cap interest rates on certain loans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Internet-based loan origination processes may give rise to greater risks than paper-based processes and may not always be allowed under state law.</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highly manual and outside of our usual practices and titling rules can vary by state, we may be prone to errors and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non-bank mortgage originators and servicers,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loan products offered on our marketplace.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0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April 2022, the CFPB announced that it intends to examine non-bank financial companies that pose risks to consumers. If the CFPB decides to subject us to its supervisory process, it could significantly increase the level of regulatory scrutiny of our business practices. See the risk factor titled “—</w:t>
      </w:r>
      <w:r>
        <w:rPr>
          <w:rFonts w:ascii="Times New Roman" w:cs="Times New Roman" w:eastAsia="Times New Roman" w:hAnsi="Times New Roman"/>
          <w:sz w:val="18"/>
          <w:szCs w:val="18"/>
          <w:i w:val="1"/>
          <w:iCs w:val="1"/>
          <w:color w:val="auto"/>
        </w:rPr>
        <w:t>Our business is subject to a wide range of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regulations, many of which are evolving, and failure or perceived failure to comply with such laws and regulations could harm our business, financial condition and results of operation</w:t>
      </w:r>
      <w:r>
        <w:rPr>
          <w:rFonts w:ascii="Times New Roman" w:cs="Times New Roman" w:eastAsia="Times New Roman" w:hAnsi="Times New Roman"/>
          <w:sz w:val="18"/>
          <w:szCs w:val="18"/>
          <w:color w:val="auto"/>
        </w:rPr>
        <w:t>s” for more information.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evolving views regarding the use of alternative variables and machine learning in assessing credit risk could result in the CFPB taking</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actions that result in requirements to alter or cease offering affected financial products and services, making them less attractive and restricting our ability to offer them. See the risk factor titled “—</w:t>
      </w:r>
      <w:r>
        <w:rPr>
          <w:rFonts w:ascii="Times New Roman" w:cs="Times New Roman" w:eastAsia="Times New Roman" w:hAnsi="Times New Roman"/>
          <w:sz w:val="18"/>
          <w:szCs w:val="18"/>
          <w:i w:val="1"/>
          <w:iCs w:val="1"/>
          <w:color w:val="auto"/>
        </w:rPr>
        <w:t>Our reputation and brand are important to our success, and if we are unable to continue developing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brand, our ability to retain existing and attract new bank partners, our ability to attract borrowers to our marketplace, our ability to maintain diverse and resilient loan funding and our ability to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and improve our relationship with regulators of our industry could be adversely affected” </w:t>
      </w:r>
      <w:r>
        <w:rPr>
          <w:rFonts w:ascii="Times New Roman" w:cs="Times New Roman" w:eastAsia="Times New Roman" w:hAnsi="Times New Roman"/>
          <w:sz w:val="18"/>
          <w:szCs w:val="18"/>
          <w:color w:val="auto"/>
        </w:rPr>
        <w:t>for more information. The CFPB could also implement rules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 our effectiveness in servicing our financial products and services.</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current presidential administration has appointed and is expected to continue to appoint consumer-oriented regulators at federal agencies such as the CFPB, the FTC,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in the past and may in the future be subject to federal and state regulatory inquiries regarding our business.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 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certain states, including but not limited to Texas, Virginia, Colorado and Utah,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may not provide for such exemptions, and such exemptions may not fully exempt us from compliance with state laws.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privacy and data security laws, such as the CCPA, apply to biometric data. However, some states have passed or are considering legislation that are biometric specific. For instance, in Illinois, the Biometric Information Privacy Act, or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regulatory framework for artificial intelligence and machine learning technology is evolving and remains uncertain. For example, in April 2023, the FTC, DOJ, EEOC and CFPB released a joint statement on potential “threats” posed by artificial intelligence, such as contributing to discriminatory outcomes. Additionally, the CFPB published statements in May 2022 and September 2023 on the applicability of ECOA to artificial intelligence and machine learning underwriting models when generating adverse action notices. However, the language of ECOA remains unaltered. Therefore, it is possible that new laws and regulations will be adopted in the United States, or existing laws and regulations may be interpreted in new ways, that would affect the operation of our marketplace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Company Act, our ability to conduct business could be materially adversely affected.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Advisers Act, our ability to conduct business could be materially adversely affected.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transactions involving institutional investors or related to acquisitions may rely or have relied on exemptions from the registration requirements of the Securities Act provided for in Regulation D or Section 4(a)(2)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required to register with the SEC or under state securities laws as a broker-dealer, our ability to conduct business could be materially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anti-terrorism financing, anti-corruption and economic sanctions laws could have adverse consequences for us.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securitizations are subject to regulation under federal law, and failure to comply with those laws could adversely affect our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through our warehouse trust special purpose entities, have entered into warehouse credit facilities to partially finance the purchase of loans from certain lending partners that originate loans through our marketplace, which credit facilities are secured by the purchased loans.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warehouse credit facility for unsecured personal loans (the “ULT Warehouse Credit Facility”), we may borrow from an aggregate of $250.0 million financing capacity, $75.0 million of which is available to us at the discretion of the lender, until the earlier of June 2025 and an accelerated amortization event. Any outstanding principal, together with any accrued and unpaid interest, are due and payable by the warehouse trust special purpose entity in June 2026. As of December 31, 2023, the amount borrowed under the ULT Warehouse Credit Facility was $247.9 million, and $350.4 million of aggregated fair value of loans purchased were pledged as collateral. Under our warehouse facility for auto loans (the “UAWT Warehouse Credit Facility”), we may borrow up to $200 million until June 14, 2024, and any outstanding principal, together with any accrued and unpaid interest, are due and payable by the warehouse trust special purpose entity twelve months after the determined amortization date. As of December 31, 2023, the amount borrowed under the UAWT Warehouse Credit Facility was $139.5 million, and $277.6 million of aggregated fair value of loans purchased were pledged as collateral.</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could have an adverse effect on our lending partners’ ability or willingness to originate new loans or our ability to use leverage for the loans we hold, which in turn would have an adverse effect on our business, results of operations and financial condition.</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investors. Our lack of parent debt rating and any further downgrades to the ratings of our asset-backed securities could negatively impact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August 2021, we issued $661.3 million aggregate principal amount of 0.25% convertible senior notes due 2026, or Notes (including the exercise in full of the initial purchasers’ option to purchase an additional $86.3 million aggregate principal of additional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the indenture for the Notes may deter or prevent a business combination that may be favorable to you.</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and local law.</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1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financial technology stocks;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rising interest and inflation rates,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availability of loan funding and liquidity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demand for the loans we facilitate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financial technology companies and technology companies that offer services to financial institutions;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including sales to cover tax withholding obligations upon vesting of RSUs issued to our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upon conversion of some or all of the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policies 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cease-and-desist orders from regulatory agencies that we are subject 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accuracy of our AI models;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security breaches or other data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political unrest, natural disasters, pandemics or responses to these events.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capped call transactions may affect the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intended to offset the potential dilution and/or offset any cash payments we make in excess of the aggregate principal amount of converted Notes, as the case may be, as a result of conversion of 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or following any repurchase of the Notes). This activity could also cause or prevent an increase or a decrease in the market price of our common stock.</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for public sale or subject to rights requiring us to register them for public sale could depress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613,669,697 shares of authorized but unissued common stock and rights relating to common stock for the consideration and on the terms and conditions established by our Board of Directors in its sole discretion, whether in connection with acquisitions or otherwise. We have reserved 6,420,703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identifying, assessing,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risk assessments to identify cybersecurity threats annually as well as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mitigate identified risks; reasonably address any identified gaps in existing safeguards; and monitor the effectiveness of our safeguards. We devote resources and designate high-level personnel, including our Chief Information Security Officer who reports to our Chief Risk Officer, to manage the risk assessment and mitigation process. Our Chief Information Security Officer works closely with a team of cybersecurity professionals with extensive experience and expertise in cybersecurity threat assessments and detection, incident response and mitigation.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overall risk management system, we assess our safeguards in collaboration with various functional teams, including Information Security, Information Technology, Risk and Legal, and train our employees on these safeguards. Personnel at all levels and teams are required to receive periodic security awareness training to ensure that they understand our cybersecurity policies and their roles in protecting our information systems or any information residing therein.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set of company-wide policies and procedures concerning cybersecurity matters that include security risk assessment, identity and access control, vendor security and network security. There are other policies related to cybersecurity involving employees' use of company equipment and resources, generative AI, remote work and workplace security and safety. These policies are reviewed periodically and approved by appropriate members of management.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engage assessors, consultants, auditors, or other third parties in connection with our risk assessment processes. These service providers assist us to design and implement our cybersecurity policies and procedures, as well as to monitor and test our safeguards. These services include Web Application Penetration Testing, Infrastructure security testing, NIST assessments, third party partner due diligence audits, consultant engagements, incident response preparedness, and vendor security review. We require each third-party service provider to certify that it has the ability to implement and maintain appropriate security measures, consistent with all applicable laws, in connection with the services they provide to us, and to promptly report any suspected breach of its security measures that may affect us.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including the risk factors titled “</w:t>
      </w:r>
      <w:r>
        <w:rPr>
          <w:rFonts w:ascii="Times New Roman" w:cs="Times New Roman" w:eastAsia="Times New Roman" w:hAnsi="Times New Roman"/>
          <w:sz w:val="18"/>
          <w:szCs w:val="18"/>
          <w:i w:val="1"/>
          <w:iCs w:val="1"/>
          <w:color w:val="auto"/>
        </w:rPr>
        <w:t>—Security breaches and incidents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compromising borrowers’ confidential information that we store may harm our reputation, adversely affect our results of operations and expose us to liability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oversight of our risk management framework, which is designed to monitor and manage strategic and operational risks. Management is responsible for the day-to-day identification, assessment and management of risks in our operations, including cybersecurity risks. Our Board of Directors administers its cybersecurity risk oversight function directly as a whole, as well as through the audit committee.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has more than 20 years of information security expertise and is primarily responsible to identify, assess and manage our material risks from cybersecurity threats. Our Chief Information Security Officer started his career as a security engineer and has held various leadership positions in the security function at Microsoft, Netflix, Bridgewater Associates and, most recently, Robinhood. He received a bachelor degree in management information systems and holds an industry certification.</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Chief Information Security Officer oversees our cybersecurity policies and processes, including those described in “</w:t>
      </w:r>
      <w:r>
        <w:rPr>
          <w:rFonts w:ascii="Times New Roman" w:cs="Times New Roman" w:eastAsia="Times New Roman" w:hAnsi="Times New Roman"/>
          <w:sz w:val="18"/>
          <w:szCs w:val="18"/>
          <w:i w:val="1"/>
          <w:iCs w:val="1"/>
          <w:color w:val="auto"/>
        </w:rPr>
        <w:t>Risk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above. The processes by which our Chief Information Security Officer is informed about and monitors the prevention, detection, mitigation,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remediation of cybersecurity incidents include the following: tabletop exercises, vulnerability management programs, internal &amp; external security risk assessments, threat modeling processes of new services, third party security risk functions, incident response processes, phishing awareness programs, and additional control validation services.</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Chief Risk Officer reports to our CEO, and our Chief Risk Officer and/or Chief Information Security Officer provide quarterly briefings to the audit committee regarding our company’s cybersecurity risks and activities, including any recent cybersecurity incidents and related responses, cybersecurity systems testing and activities of third parties. Our audit committee provides updates to the Board of Directors on such reports. We also have an established incident response plan led by our Chief Information Security Officer that lays out the process for the assessment, response and notifications internally and externally upon the occurrence of a cybersecurity incident. Depending on the nature and severity of an incident, our process, including those set forth in the incident response plan, provides for escalation and notification to management, the audit committee and the Board of Directors and/or external parties,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San Mateo, California and Columbus, Ohio and consist of 108,015 square feet and 54,870 square feet of space, respectively, under leases that expire in February 2028 and June 2027, respectively. In addition to our headquarters, we lease 146,024 square feet of office space for origination and servicing operations in Columbus, Ohio expiring in August 2029 and we lease 12,493 square feet of office space in Austin, Texas expiring in February 2028.</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2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13. Commitments and Contingencies</w:t>
      </w:r>
      <w:r>
        <w:rPr>
          <w:rFonts w:ascii="Times New Roman" w:cs="Times New Roman" w:eastAsia="Times New Roman" w:hAnsi="Times New Roman"/>
          <w:sz w:val="18"/>
          <w:szCs w:val="18"/>
          <w:color w:val="auto"/>
        </w:rPr>
        <w:t>” in Part II, Item 8 of this Annual Report on Form 10-K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1A of this Annual Report on Form 10-K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6" w:lineRule="exact"/>
        <w:rPr>
          <w:sz w:val="20"/>
          <w:szCs w:val="20"/>
          <w:color w:val="auto"/>
        </w:rPr>
      </w:pPr>
    </w:p>
    <w:p>
      <w:pPr>
        <w:ind w:right="840"/>
        <w:spacing w:after="0" w:line="273"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ticker symbol “UPST” since December 16, 2020. Prior to that date, there was no public trading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February 8, 2024, we had 160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and we do not expect to declare or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repurchases of the Company’s common stock during the three months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our equity compensation plans is incorporated by reference to our Proxy Statement for the 2024 Meeting of Stockholders to be filed with the SEC within 120 days of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our common stock relative to the cumulative total returns of the Nasdaq Global Select Index and the S&amp;P Information Technology Index. An investment of $100 (with reinvestment of all dividends) is assumed to have been made in our common stock and in each index on December 16, 2020, the date our common stock began trading on the Nasdaq Global Select Market, and its relative performance is tracked through December 31, 2023. 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600075</wp:posOffset>
            </wp:positionV>
            <wp:extent cx="5349240" cy="4440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Upstart Holdings, Inc. under the Securities Act of 1933, as amended, or the Exchange Act.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parts of this Annual Report on Form 10-K.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applies artificial intelligence models and cloud applications to the process of underwriting consumer credit. Our AI marketplace connects consumers with our lending partners. Consumers can access Upstart-powered loans via Upstart.com, through a lender-branded product on our lending partners’ own websites, and through auto dealerships that use our Upstart Auto Retail software. We enable our lending partners to provide an exceptional digital-first experience to consumers and originate valuable credit products. As our technology continues to improve and additional lending partners adopt our platform, consumers benefit from improved access to affordable and frictionless credit.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and credit unions and provide them with access to an AI lending marketplace that they can configure as they originate consumer loans under their own brand, according to their own business and regulatory requirements.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Upstart-powered loans through our pass-through and securitization programs.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out of the total principal of loans transacted on our marketplace in 2023, 48% were purchased by institutional investors, 32% were retained by our lending partners, 16% were held on our balance sheet, and the remaining 4% were contributed as collateral to the securitization transaction we completed in July 2023, which we have consolidated in our financial statements. Starting in 2022, we increased the utilization of our balance sheet to fund loans to fill gaps in investor demand, to aid in price discovery, and to hold loans on our balance sheet for research and development purposes (“R&amp;D Loans”), including to test and evaluate our AI models for these loans. R&amp;D Loans are primarily our auto refinance and auto retail loan products, personal loan products issued to new categories of borrowers, and other new loan products. R&amp;D Loans are not yet part of our established capital markets programs or other loan funding programs with institutional investors. The remainder of loans on our balance sheet represent core personal loans, which Upstart would sell to institutional investors.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improve the loan funding capacity for our marketplace across business and macroeconomic cycles, we secured multiple committed capital arrangements with institutional investors in 2023, which delivered a significant amount of loan funding to the Upstart marketplace. We continue our work on expanding committed capital arrangements for our marketplace.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Economic Model</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originations by our lending partners using our platform and referral services result in a referral of a borrower obtaining a loan from our lending partners. These fees are combined for accounting purposes as they represent a single performance obligation. We do not charge the borrowers on our platform any referral, platform or other similar fees for our loan matching services.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charge the holder of the loan (either a lending partner or institutional investor) a servicing fee based on the outstanding principal over the lifetime of the loan for ongoing servicing of the loan. In addition, we earn a smaller portion of our revenue from interest income for loans held on our balance sheet and gain or (loss) generated through our capital markets programs.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credit performance of Upstart-powered loans can be impacted by a variety of macroeconomic and other factors, we consider credit performance to be one of the most important measures of the effectiveness of our AI models. We evaluate the credit performance of core personal loans by comparing the target returns expected at the time of origination to the returns received by our lending partners and institutional investors.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Lending is a cyclical industry, and we believe it is important to take a long-term view of credit performance. An equal investment in all vintages of Upstart-powered core personal loans that originated in the first quarter of 2018 through the third quarter of 2023 is currently expected to deliver returns in line with a blended target of 9.0%. At a more granular level, all quarterly vintages of core personal loans that originated in 2018 through the fourth quarter of 2020 are currently forecasted to meet or exceed the target returns set at the time of loan origination. The quarterly vintages of core personal loans that originated in the first quarter 2021 through the second quarter 2023 are currently forecasted to underperform relative to their target returns. The core personal loans that originated in the third quarter of 2023 or later are currently forecasted to deliver returns in line with target yields. This reversion in performance was driven by a combination of factors including increased conservatism in underwriting and the relative stabilization of macroeconomic conditions, as reflected in UMI. Refer to section “</w:t>
      </w:r>
      <w:r>
        <w:rPr>
          <w:rFonts w:ascii="Times New Roman" w:cs="Times New Roman" w:eastAsia="Times New Roman" w:hAnsi="Times New Roman"/>
          <w:sz w:val="18"/>
          <w:szCs w:val="18"/>
          <w:i w:val="1"/>
          <w:iCs w:val="1"/>
          <w:color w:val="auto"/>
        </w:rPr>
        <w:t>Factors Affecting Our Performance - Impact of Macroeconomic Environmen</w:t>
      </w:r>
      <w:r>
        <w:rPr>
          <w:rFonts w:ascii="Times New Roman" w:cs="Times New Roman" w:eastAsia="Times New Roman" w:hAnsi="Times New Roman"/>
          <w:sz w:val="18"/>
          <w:szCs w:val="18"/>
          <w:color w:val="auto"/>
        </w:rPr>
        <w:t>t” for additional details.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included similar disclosures in our Annual Report on Form 10-K for the year ended December 31, 2022, and in our Quarterly Reports on Form 10-Q starting from the quarter that ended June 30, 2022. We recently identified an error in the calculations that supported some of these statements. This resulted in an overstatement of the expected return of an equal investment in all vintages of Upstart-powered core personal loans that originated in the first quarter of 2018 through the third quarter of 2023 by 0.9 - 1.3% for each disclosure. The error also impacted our forecasts of the performance of certain quarterly loan vintages relative to target returns in the aforementioned reports. After correcting for the error, vintages retained by the hypothetical lending partner that we forecasted to meet or exceed target returns still include those originated from mid-2018 through mid-2021, but no longer include vintages from mid-2021 through mid-2022. Loans purchased by the hypothetical institutional investor would have been expected to experience underperformance relative to target returns through mid-2023 vintages, not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mid-2022 vintages. Importantly, the error did not impact any of our financial statements, any forecasts prepared for our actual lending partners or institutional investors, or the overall expected performance trend.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core personal loans held on our balance sheet, target returns are set similar to those of our institutional investors. We purchase core personal loans to address fluctuations of supply and demand in our marketplace and periodically sell these loans to institutional investors prior to their maturity. Demonstrated credit performance significantly influences sale prices in these transactions and impacts our overall financial results.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measure credit performance of R&amp;D loans, which are a substantial part of the loan portfolio held on our balance sheet (refer to section “</w:t>
      </w:r>
      <w:r>
        <w:rPr>
          <w:rFonts w:ascii="Times New Roman" w:cs="Times New Roman" w:eastAsia="Times New Roman" w:hAnsi="Times New Roman"/>
          <w:sz w:val="18"/>
          <w:szCs w:val="18"/>
          <w:i w:val="1"/>
          <w:iCs w:val="1"/>
          <w:color w:val="auto"/>
        </w:rPr>
        <w:t>Liquidity and Capital Resources - Composition of Retained Loan Portfolio</w:t>
      </w:r>
      <w:r>
        <w:rPr>
          <w:rFonts w:ascii="Times New Roman" w:cs="Times New Roman" w:eastAsia="Times New Roman" w:hAnsi="Times New Roman"/>
          <w:sz w:val="18"/>
          <w:szCs w:val="18"/>
          <w:color w:val="auto"/>
        </w:rPr>
        <w:t>”), using an approach similar to the core personal loans held on our balance sheet. Variances between targeted and actual returns for these loans are expected to be higher, as the underlying risk models are in the early phases of their development cycle. The initial target returns for these products are also generally lower than comparative market benchmarks. The combination of these factors decreases the value of R&amp;D loans on our balance sheet, which negatively impacts our overall financial results. However, this is a required part of our product development cycle, and should be considered alongside other product development costs, such as data science and engineering. These costs collectively are managed as part of overall investment in product development. As our R&amp;D models improve, we expect the difference between target and delivered returns will decrease and converge to market returns. This will allow us to launch these products for our lending partners and institutional investors, at which point they become part of our core product offerings.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Improvements to Our AI Models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generally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Environment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funding provided by institutional investors started to become constrained in the second quarter of 2022 and has remained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response to this challenging macroeconomic environment where many lenders and credit investors have significantly reduced or paused investments in Upstart-powered loans, we announced reductions in workforce in November 2022 (“November 2022 Plan”) and January 2023 (“January 2023 Plan”) that resulted in the termination of approximately 7% and 20% of our workforce, respectively. These steps were designed to reduce operating costs, streamline operations and return Upstart to profitability in the future. As of December 31, 2023, we have completed both the November 2022 Plan and January 2023 Plan. Refer to </w:t>
      </w:r>
      <w:r>
        <w:rPr>
          <w:rFonts w:ascii="Times New Roman" w:cs="Times New Roman" w:eastAsia="Times New Roman" w:hAnsi="Times New Roman"/>
          <w:sz w:val="18"/>
          <w:szCs w:val="18"/>
          <w:i w:val="1"/>
          <w:iCs w:val="1"/>
          <w:color w:val="auto"/>
        </w:rPr>
        <w:t>“Note 16. Reorganization Expenses”</w:t>
      </w:r>
      <w:r>
        <w:rPr>
          <w:rFonts w:ascii="Times New Roman" w:cs="Times New Roman" w:eastAsia="Times New Roman" w:hAnsi="Times New Roman"/>
          <w:sz w:val="18"/>
          <w:szCs w:val="18"/>
          <w:color w:val="auto"/>
        </w:rPr>
        <w:t xml:space="preserve"> for more information.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several of our lending partners have paused or reduced loan originations in order to limit their exposure in the current macroeconomic environment. Further disruption in financial markets could impair our lending partners and result in further constrained funding, which would adversely impact our business, financial condition and operating results. In order to create greater stability for our business, in 2023 we secured several committed capital arrangements with institutional investors that contribute loan funding over longer durations. We continue our work on expanding committed capital arrangements and in the interim period, we have utilized and may continue to utilize our balance sheet to support loan funding. While our goal remains to operate as a capital-light marketplace for credit, we will continue to leverage our balance sheet in the short term as we evaluate opportunities to implement a committed capital structure.</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decisioning process takes into account macroeconomic conditions, such as unemployment levels and personal savings rates, that we receive from third party sources. To respond to macroeconomic changes and provide relevant and up-to-date information to our lending partners, we introduced a new metric, UMI, in 2023. UMI is designed to quantify the level of underlying macroeconomic risk, specific to our borrower base, relative to a benign credit environment. A UMI of 1.0 reflects loan losses at this baseline rate. We subsequently launched an update to UMI which removes seasonal patterns to better describe the underlying macroeconomic effects. As of December 31, 2023, UMI was measured at approximately 1.65, meaning that current macroeconomic conditions contributed an incremental risk of approximately 65% to the repayment performance of an Upstart-powered loan, compared to the baseline.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UMI impacts interest rates for loans offered on our marketplace and, as a result, affects the pool of qualified potential borrowers and consumer demand for the loans. The elevated level of UMI resulted in higher interest rates for the loans offered on our marketplace and in turn, decreased the size of the pool of qualified potential borrowers and the borrower acceptance rates of such loans. With our investment in UMI, we focus on our ability to better separate risk among borrowers in our credit decisioning process in changing macroeconomic conditions.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continuously monitor the direct and indirect impacts of the current macroeconomic conditions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 and Market Adoption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Lending partners play two key roles in Upstart’s ecosystem: funding loans and acquiring new customers. Traditional lenders, such as banks, tend to enjoy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disruptions in the banking sector may limit our ability to attract new lending partners and may cause existing lending partners to reduce loan originations on our platform. In order to address recent funding constraints for our personal loans, Upstart has utilized its balance sheet to support short-term funding requirements of loans that would otherwise be purchased and held by institutional investors or securitized. In 2023, we secured several committed capital arrangements with institutional investors, which have delivered, and are expected to deliver, a significant amount of loan funding to the Upstart marketplace.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Expansion and Innovation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significant growth opportunities exist to apply our evolving AI technology to additional segments of credit, and we continue to invest in research and development of our products. In 2022, we introduced a new offering of personal loans for borrowers interested in small dollar loans, and in the third quarter of 2023, we launched a HELOC product on our platform.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2020, we announced our entry into the auto lending market and in April 2021, we acquired Prodigy Software, Inc. (“Prodigy”), a leader in automotive commerce software solutions. Prodigy provided a modern multi-channel car buying experience, helping dealerships serve consumers with a holistic software solution that integrates legacy systems. The acquisition enabled the launch of Upstart Auto Retail software, a cloud-based solution that enables dealerships across the country, where the vast majority of auto loans are transacted, to provide consumers with access to Upstart-powered auto loans.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part of the January 2023 Plan, we suspended development work for small business loans to focus our resources on acceleration of further development of our personal loan, auto loan, and HELOC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40" w:type="dxa"/>
            <w:vAlign w:val="bottom"/>
            <w:tcBorders>
              <w:bottom w:val="single" w:sz="8" w:color="auto"/>
            </w:tcBorders>
          </w:tcPr>
          <w:p>
            <w:pPr>
              <w:spacing w:after="0"/>
              <w:rPr>
                <w:sz w:val="20"/>
                <w:szCs w:val="20"/>
                <w:color w:val="auto"/>
              </w:rPr>
            </w:pPr>
          </w:p>
        </w:tc>
      </w:tr>
      <w:tr>
        <w:trPr>
          <w:trHeight w:val="237"/>
        </w:trPr>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Volume, Dollars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11,751,762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11,204,274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4,645,669</w:t>
            </w:r>
          </w:p>
        </w:tc>
      </w:tr>
      <w:tr>
        <w:trPr>
          <w:trHeight w:val="230"/>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Volume, Number of Loans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1,129,672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437,659</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397,880</w:t>
            </w:r>
          </w:p>
        </w:tc>
        <w:tc>
          <w:tcPr>
            <w:tcW w:w="5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446,751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353,294</w:t>
            </w:r>
          </w:p>
        </w:tc>
      </w:tr>
      <w:tr>
        <w:trPr>
          <w:trHeight w:val="229"/>
        </w:trPr>
        <w:tc>
          <w:tcPr>
            <w:tcW w:w="60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0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231,946</w:t>
            </w:r>
          </w:p>
        </w:tc>
        <w:tc>
          <w:tcPr>
            <w:tcW w:w="5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(17,217)</w:t>
            </w:r>
          </w:p>
        </w:tc>
      </w:tr>
      <w:tr>
        <w:trPr>
          <w:trHeight w:val="229"/>
        </w:trPr>
        <w:tc>
          <w:tcPr>
            <w:tcW w:w="6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224,141</w:t>
            </w:r>
          </w:p>
        </w:tc>
        <w:tc>
          <w:tcPr>
            <w:tcW w:w="5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(46,933)</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0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5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30"/>
        </w:trPr>
        <w:tc>
          <w:tcPr>
            <w:tcW w:w="60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7"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Number of Loans is shown in ones for the years presented.</w:t>
      </w:r>
    </w:p>
    <w:p>
      <w:pPr>
        <w:spacing w:after="0" w:line="1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Volume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Transaction Volume, Dollars as the total principal of loan originations facilitated on our marketplace during the years presented. We define Transaction Volume, Number of Loans as the number of loan originations facilitated on our marketplace during the years presented.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is driven by improvements in our AI models and technology, including our ability to streamline and automate the loan application and origination process. Transaction Volume can also be driven by borrower acceptance rates and their sensitivity to the interest rates offered through our platform. We believe these metrics are good proxies for our overall scale and reach as a marketplace. Transaction Volume, Dollars decreased by 59% in the year ended December 31, 2023 compared to the prior year and Transaction Volume, Number of Loans decreased by 61% over the same year. This contraction was driven by a reduction in funding availability caused by macroeconomic uncertainty and by elevated consumer risk and cost of funds. These changing macroeconomic conditions required adjustments to our models which resulted in our loans becoming more expensive and decreasing both the pool of qualified potential borrowers and overall consumer demand.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the rate of returns we target for our lending partners and institutional investors. External factors, including shifts in macroeconomic conditions, also impact our Conversion Rate. For example,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 Our Conversion Rate decreased to 9.7% in the year ended December 31, 2023 from 14.1% in the year ended December 31, 2022 primarily driven by lower approval rates following the significant increase in interest rates, which were in turn driven by elevated risk and cost of capital. The impact of these factors was partially offset by an increased portion of repeat borrowers on our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the expansion of our loan offerings may cause it to fluctuate from period to period depending on the loan offering mix and other external factors. Our Percentage of Loans Fully Automated increased to 87% in the year ended December 31, 2023 from 75% in the year ended December 31, 2022 , driven primarily by increasing the accuracy of our models, by eliminating previously manual processes, and by an increased portion of repeat borrowers on our platform.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801,275</w:t>
            </w: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907,272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560,431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(302,713)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(90,517)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(95,782)</w:t>
            </w: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(157,808)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(116,620)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(403,395)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(460,521)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(207,137)</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397,880</w:t>
            </w: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446,751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353,294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9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3"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jc w:val="both"/>
        <w:ind w:left="500" w:hanging="492"/>
        <w:spacing w:after="0" w:line="272"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income from operations to Contribution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stock-based compensation expense and certain payroll tax expenses, depreciation and amortization, expense on convertible notes, net gain on a lease modification, provision for income taxes,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EBITDA and Adjusted EBITDA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exclusive of stock-based compensation expense and certain payroll tax expenses as well as certain items that are not related to core business and ongoing operations, such as reorganization expenses and net gain on a lease modification. Adjusted Net Income (Loss) Per Share is calculated by dividing Adjusted Net Income (Loss) Per Share by the weighted-average common shares outstanding.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Net Income (Loss) and Adjusted Net Income (Loss) per Share.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lending partners monthly loan trailing fees based on the amount and timing of principal and interest payments made by borrowers of the underlying loans.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recognizes fees in relation to contracts with auto dealers for the use of Upstart Auto Retail software, a cloud-based solution that facilitates dealership operations and enables them to provide consumers with access to Upstart-powered auto loans.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to our consolidated financial statements in Part II, Item 8 of this Annual Report on Form 10-K for more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 servicer for substantially all outstanding loans facilitated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on our consolidated balance sheets as part of our ongoing operating activities, excluding loan servicing assets and liabilities. Interest income, interest expense, and fair value adjustments, net also includes realized gain (loss) on the sale of loans. Interest income, interest expense,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other income (expense), net primarily consists of our voluntarily repayment of proceeds received in the previous year under the Paycheck Protection Program plus related accrued interest. In the year ended December 31, 2022 and 2023, other income (expense), net primarily consists of dividend income earned by the Company on its unrestricted cash balances.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on Convertible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Expense on convertible notes is comprised of coupon interest expense and amortization of the debt discount on our convertible notes.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964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historical consolidated statements of operations and comprehensive income (loss):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2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560,431</w:t>
            </w:r>
          </w:p>
        </w:tc>
      </w:tr>
      <w:tr>
        <w:trPr>
          <w:trHeight w:val="229"/>
        </w:trPr>
        <w:tc>
          <w:tcPr>
            <w:tcW w:w="6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r>
      <w:tr>
        <w:trPr>
          <w:trHeight w:val="230"/>
        </w:trPr>
        <w:tc>
          <w:tcPr>
            <w:tcW w:w="4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r>
      <w:tr>
        <w:trPr>
          <w:trHeight w:val="230"/>
        </w:trPr>
        <w:tc>
          <w:tcPr>
            <w:tcW w:w="46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Fair value and other adjustments</w:t>
            </w: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r>
      <w:tr>
        <w:trPr>
          <w:trHeight w:val="223"/>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and fair value adjustments, net</w:t>
            </w:r>
          </w:p>
        </w:tc>
        <w:tc>
          <w:tcPr>
            <w:tcW w:w="1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r>
      <w:tr>
        <w:trPr>
          <w:trHeight w:val="223"/>
        </w:trPr>
        <w:tc>
          <w:tcPr>
            <w:tcW w:w="46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513,562</w:t>
            </w:r>
          </w:p>
        </w:tc>
      </w:tr>
      <w:tr>
        <w:trPr>
          <w:trHeight w:val="209"/>
        </w:trPr>
        <w:tc>
          <w:tcPr>
            <w:tcW w:w="46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127,143</w:t>
            </w: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280,138</w:t>
            </w: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212,388</w:t>
            </w:r>
          </w:p>
        </w:tc>
      </w:tr>
      <w:tr>
        <w:trPr>
          <w:trHeight w:val="223"/>
        </w:trPr>
        <w:tc>
          <w:tcPr>
            <w:tcW w:w="46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770,087</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(256,525)</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1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(240,025)</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(240,132)</w:t>
            </w: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110,381</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w:t>
            </w:r>
          </w:p>
        </w:tc>
      </w:tr>
      <w:tr>
        <w:trPr>
          <w:trHeight w:val="27"/>
        </w:trPr>
        <w:tc>
          <w:tcPr>
            <w:tcW w:w="6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 from fees, net in the years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23"/>
                <w:szCs w:val="23"/>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(318,117)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175,035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center"/>
              <w:ind w:right="170"/>
              <w:spacing w:after="0"/>
              <w:rPr>
                <w:sz w:val="20"/>
                <w:szCs w:val="20"/>
                <w:color w:val="auto"/>
              </w:rPr>
            </w:pPr>
            <w:r>
              <w:rPr>
                <w:rFonts w:ascii="Times New Roman" w:cs="Times New Roman" w:eastAsia="Times New Roman" w:hAnsi="Times New Roman"/>
                <w:sz w:val="18"/>
                <w:szCs w:val="18"/>
                <w:color w:val="auto"/>
              </w:rPr>
              <w:t>(28,724)</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(346,841)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fees, net decreased $346.8 million, or 38%, in the year ended December 31, 2023, compared to the prior year, due to a $318.1 million decrease in revenue from platform and referral fees, net and a $28.7 million decrease in servicing and other fees, net. The decrease of the platform and referral fees, net was primarily driven by a 61% decrease in the Transaction Volume, Number of Loans from 1,129,672 in the year ended December 31, 2022 to 437,659 in the year ended December 31, 2023, which was partially offset by increases in prices of our services. The decrease in servicing fees was primarily due to a decrease in the outstanding principal of serviced loans, as well as a decrease in net gain related to loan servicing rights upon loan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5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3"/>
        </w:trPr>
        <w:tc>
          <w:tcPr>
            <w:tcW w:w="5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2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 entities: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balances recognized by entities participating in ongoing operating activities of the Company, excluding entities associated with the UPST 2023-2 consolidated securitization.</w:t>
      </w:r>
    </w:p>
    <w:p>
      <w:pPr>
        <w:spacing w:after="0" w:line="2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$18.0 million, or 28%, in the year ended December 31, 2023, compared to the prior year. The increase was primarily driven by a $63.4 million increase in interest income, including a $19.7 million increase in interest income recognized by consolidated securitization entities, due to an increase in unpaid principal balance of loans held on the consolidated balance sheets. The increase was partially offset by a $24.1 million increase in interest expense due to an increase in borrowings compared to the prior year, including $6.7 million of interest expense recognized by consolidated securitization entities. The increase in unfavorable fair value adjustments, net is primarily attributable to a $29.0 million net impact of increased loan charge-offs and the impact of mark-to-market fair value adjustments, including $5.5 million recognized by consolidated securitization entities, and fair value adjustments related to the beneficial interests of $26.5 million. This net impact was partially offset by a $34.1 million decrease in realized loss on loan sales during the year ended December 31, 2023 compared to the prior year.</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(218,633)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$218.6 million, or 63%, in the year ended December 31, 2023 compared to the prior year. The decrease was primarily due to a $212.2 million decrease in advertising and other traffic acquisition cost. As a percentage of total revenue, sales and marketing expenses decreased from 41% to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150,418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85"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8"/>
          <w:szCs w:val="18"/>
          <w:color w:val="auto"/>
        </w:rPr>
        <w:t>Customer operations expenses decreased by $37.6 million, or 20%, in the year ended December 31, 2023, compared to the prior year. The decrease was primarily due to a $35.6 million decrease in payroll and other personnel-related expenses due to a decrease in headcount and Transaction Volume. As a percentage of total revenue, customer operations expenses increased from 22% to 29%.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$42.9 million, or 18%, for the year ended December 31, 2023, compared to the prior year. The increase was primarily due to a $45.8 million increase in payroll and other personnel-related expenses, primarily driven by a $39.0 million expense related to the one time cancellation of PRSUs for our CTO. The increase was offset by a $2.9 million decrease on engineering infrastructure, support services, and consultants. As a percentage of total revenue, engineering and product development expenses increased from 28% to 55%.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increased by $27.1 million, or 15%, for the year ended December 31, 2023, compared to the prior year. The increase was primarily due to an increase of $22.9 million in payroll and personnel-related costs as a result of increased stock-based compensation expense and severance payments under the January 2023 Plan and an increase of $11.4 million in depreciation and amortization expense. The increase was partially offset by a decrease of $6.0 million in other personnel-related expenses driven by a decrease in headcount and a $3.1 million decrease in insurance expense. As a percentage of total revenue, general, administrative, and other expenses increased from 22% to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13"/>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8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r>
      <w:tr>
        <w:trPr>
          <w:trHeight w:val="263"/>
        </w:trPr>
        <w:tc>
          <w:tcPr>
            <w:tcW w:w="5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other income (expense), net increased by $11.7 million, or 124%, compared to the prior year. The increase was primarily due to an increase of $11.7 million in dividend income as yields on sweep investments have increased due to rising interest rates.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on Convertible Notes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3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2023 the expense on convertible notes remained relatively consistent compared to the prior year.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Adjusted EBITDA Margin, and Adjusted Net Income (Loss) and Adjusted Net Income (Loss) Per Share to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801,275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560,431</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140,881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(256,525)</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25,840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43,063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36,626</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operations, net of borrower verification and servicing costs</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33,798</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133,999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280,138</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122,677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212,388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(47,314)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46,869</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353,294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9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right="20" w:hanging="492"/>
        <w:spacing w:after="0" w:line="253"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$307.6 million, $302.7 million, and $90.5 million for the year ended December 31, 2021, 2022 and 2023,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jc w:val="both"/>
        <w:ind w:left="500" w:hanging="492"/>
        <w:spacing w:after="0" w:line="262"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$95.8 million, $157.8 million, and $116.6 million for the year ended December 31, 2021, 2022 and 2023,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80" w:hanging="324"/>
        <w:spacing w:after="0" w:line="258"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acquisition-related costs, reorganization expenses, and net gain on lease modification that may obscure trends in the underlying performance of our business; and</w:t>
      </w:r>
    </w:p>
    <w:p>
      <w:pPr>
        <w:spacing w:after="0" w:line="6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54" w:lineRule="exact"/>
        <w:rPr>
          <w:sz w:val="20"/>
          <w:szCs w:val="20"/>
          <w:color w:val="auto"/>
        </w:rPr>
      </w:pPr>
    </w:p>
    <w:p>
      <w:pPr>
        <w:jc w:val="both"/>
        <w:ind w:left="98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96" w:lineRule="exact"/>
        <w:rPr>
          <w:sz w:val="20"/>
          <w:szCs w:val="20"/>
          <w:color w:val="auto"/>
        </w:rPr>
      </w:pPr>
    </w:p>
    <w:p>
      <w:pPr>
        <w:jc w:val="both"/>
        <w:ind w:right="20" w:firstLine="567"/>
        <w:spacing w:after="0" w:line="258" w:lineRule="auto"/>
        <w:rPr>
          <w:sz w:val="20"/>
          <w:szCs w:val="20"/>
          <w:color w:val="auto"/>
        </w:rPr>
      </w:pPr>
      <w:r>
        <w:rPr>
          <w:rFonts w:ascii="Times New Roman" w:cs="Times New Roman" w:eastAsia="Times New Roman" w:hAnsi="Times New Roman"/>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income (loss) and Net Income (Loss) Margin to Adjusted EBITDA Margin. We define Net Income (Loss) Margin as net income (loss) divided by total revenue.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00" w:type="dxa"/>
            <w:vAlign w:val="bottom"/>
            <w:gridSpan w:val="6"/>
          </w:tcPr>
          <w:p>
            <w:pPr>
              <w:ind w:left="13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848,589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842,444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513,562</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(240,132)</w:t>
            </w: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Income (Loss)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and certain payroll tax expenses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87,461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128,038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178,400</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24,903</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expenses</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15,536</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4,706</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lease modification</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(737)</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0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231,946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37,161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(17,217)</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4" w:lineRule="exact"/>
        <w:rPr>
          <w:sz w:val="20"/>
          <w:szCs w:val="20"/>
          <w:color w:val="auto"/>
        </w:rPr>
      </w:pPr>
    </w:p>
    <w:p>
      <w:pPr>
        <w:ind w:left="500" w:hanging="492"/>
        <w:spacing w:after="0" w:line="302"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exclusive of stock-based compensation expense and certain payroll tax expense, reorganization expenses, and net gain on lease modification.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years, and provide comparability of our performance with the performance of other companies.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Stock-based compensation and certain payroll tax expenses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178,400</w:t>
            </w:r>
          </w:p>
        </w:tc>
      </w:tr>
      <w:tr>
        <w:trPr>
          <w:trHeight w:val="22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Reorganization expenses</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r>
      <w:tr>
        <w:trPr>
          <w:trHeight w:val="23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on lease modification</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(46,933)</w:t>
            </w: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Share: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3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78,106,359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r>
      <w:tr>
        <w:trPr>
          <w:trHeight w:val="234"/>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94,772,641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92,023,924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83,765,896</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8" w:lineRule="auto"/>
        <w:tabs>
          <w:tab w:leader="none" w:pos="4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amount of employer payroll tax-related expense on employee stock transactions, as the amount is dependent on our stock price and other factors that are beyond our control and do not correlate to the operation of our business.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our primary source of liquidity was cash of $368.4 million. We also held $5.0 million of investments in certificates of deposit with maturities greater than three months as of December 31, 2023. Certificates of deposit provide a secondary source of liquidity since they can be converted into cash in a timely manner.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convertible senior notes have a principal balance of $661.3 million and bear interest at a rate of 0.25% per year, payable semiannually in arrears on February 15 and August 15 of each year. The Notes mature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August 15, 2026 unless earlier converted, redeemed, or repurchased in accordance with their terms. Refer to “</w:t>
      </w:r>
      <w:r>
        <w:rPr>
          <w:rFonts w:ascii="Times New Roman" w:cs="Times New Roman" w:eastAsia="Times New Roman" w:hAnsi="Times New Roman"/>
          <w:sz w:val="18"/>
          <w:szCs w:val="18"/>
          <w:i w:val="1"/>
          <w:iCs w:val="1"/>
          <w:color w:val="auto"/>
        </w:rPr>
        <w:t>Note 10. Borrowings</w:t>
      </w:r>
      <w:r>
        <w:rPr>
          <w:rFonts w:ascii="Times New Roman" w:cs="Times New Roman" w:eastAsia="Times New Roman" w:hAnsi="Times New Roman"/>
          <w:sz w:val="18"/>
          <w:szCs w:val="18"/>
          <w:color w:val="auto"/>
        </w:rPr>
        <w:t>” in Part II, Item 8 of this Annual Report on Form 10-K for further details on our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ULT Warehouse Credit Facility, which matures in June 2026, allows us to borrow up to $250.0 million to purchase unsecured personal loans. Our UAWT Warehouse Credit Facility, which matures in June 2025, allows us to borrow up to $200.0 million to purchase secured auto loans. As of December 31, 2023, we have drawn an aggregate of $387.4 million on our warehouse credit facilities. Refer to “</w:t>
      </w:r>
      <w:r>
        <w:rPr>
          <w:rFonts w:ascii="Times New Roman" w:cs="Times New Roman" w:eastAsia="Times New Roman" w:hAnsi="Times New Roman"/>
          <w:sz w:val="18"/>
          <w:szCs w:val="18"/>
          <w:i w:val="1"/>
          <w:iCs w:val="1"/>
          <w:color w:val="auto"/>
        </w:rPr>
        <w:t>Note 10. Borrowings</w:t>
      </w:r>
      <w:r>
        <w:rPr>
          <w:rFonts w:ascii="Times New Roman" w:cs="Times New Roman" w:eastAsia="Times New Roman" w:hAnsi="Times New Roman"/>
          <w:sz w:val="18"/>
          <w:szCs w:val="18"/>
          <w:color w:val="auto"/>
        </w:rPr>
        <w:t>” in Part II, Item 8 of this Form 10-K for further details on our warehouse credit facilities.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which expire between 2027 and 2029. Our cash requirements related to these lease agreements are $70.8 million, of which $15.0 million is expected to be paid within the next 12 months. Refer to “</w:t>
      </w:r>
      <w:r>
        <w:rPr>
          <w:rFonts w:ascii="Times New Roman" w:cs="Times New Roman" w:eastAsia="Times New Roman" w:hAnsi="Times New Roman"/>
          <w:sz w:val="18"/>
          <w:szCs w:val="18"/>
          <w:i w:val="1"/>
          <w:iCs w:val="1"/>
          <w:color w:val="auto"/>
        </w:rPr>
        <w:t>Note 12. Leases</w:t>
      </w:r>
      <w:r>
        <w:rPr>
          <w:rFonts w:ascii="Times New Roman" w:cs="Times New Roman" w:eastAsia="Times New Roman" w:hAnsi="Times New Roman"/>
          <w:sz w:val="18"/>
          <w:szCs w:val="18"/>
          <w:color w:val="auto"/>
        </w:rPr>
        <w:t>” in Part II, Item 8 of this Annual Report on Form 10-K for further details on our operating lease obligations.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equal to three business days. As of December 31, 2023, the total loan purchase commitment was $36.6 million. See “</w:t>
      </w:r>
      <w:r>
        <w:rPr>
          <w:rFonts w:ascii="Times New Roman" w:cs="Times New Roman" w:eastAsia="Times New Roman" w:hAnsi="Times New Roman"/>
          <w:sz w:val="18"/>
          <w:szCs w:val="18"/>
          <w:i w:val="1"/>
          <w:iCs w:val="1"/>
          <w:color w:val="auto"/>
        </w:rPr>
        <w:t>Note 13. Commitments and Contingencies</w:t>
      </w:r>
      <w:r>
        <w:rPr>
          <w:rFonts w:ascii="Times New Roman" w:cs="Times New Roman" w:eastAsia="Times New Roman" w:hAnsi="Times New Roman"/>
          <w:sz w:val="18"/>
          <w:szCs w:val="18"/>
          <w:color w:val="auto"/>
        </w:rPr>
        <w:t>” in Part II, Item 8 of this Annual Report on Form 10-K for further details on our loan purchase obligations.</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committed capital arrangements, we have agreed to risk sharing arrangements whereby we are obligated to put a certain amount of our capital at risk in relation to the credit performance of the loans. As of December 31, 2023, the amount of our capital at risk is $98.5 million. Refer to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additional information.</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of December 31, 2023, the potential value of these risk sharing arrangements, to be realized over time, ranges between $0 to $205.2 million, depending on the actual future performance of the loans sold under these arrangements. The estimated value of our risk sharing arrangements is $95.0 million, which represents the undiscounted value of the capital at risk and is based on the actual and expected future performance of the underlying loans.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our cash requirements for the next 12 months for the committed capital arrangements are expected to be $21.5 million.</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our cash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years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(674,681)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(160,493)</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(114,125)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(118,455)</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130,032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214,268</w:t>
            </w:r>
          </w:p>
        </w:tc>
      </w:tr>
      <w:tr>
        <w:trPr>
          <w:trHeight w:val="223"/>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(658,774)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(64,680)</w:t>
            </w:r>
          </w:p>
        </w:tc>
      </w:tr>
      <w:tr>
        <w:trPr>
          <w:trHeight w:val="21"/>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$160.5 million for the year ended December 31, 2023, which primarily consisted of adjustments for non-cash items of $420.2 million, net loss of $240.1 million, and $340.6 million in net changes in operating assets and liabilities. The increase in non-cash adjustments was primarily related to $234.8 million of changes in fair value of financial instruments held on the Company’s balance sheet, $175.0 million of stock-based compensation, and $24.9 million of depreciation and amortization, partially offset by $13.7 million gain on loan servicing rights. The decrease in net changes in operating assets and liabilities was primarily related to $491.9 million in net purchases of loans held-for-sale, a $43.0 million decrease in amounts payable to investors, a $8.9 million increase in other assets, a $6.8 million decrease in operating lease liabilities and right-of-use assets, and a $6.1 million decrease in accounts payable partially offset by $189.7 million in principal payments received for loans held-for-sale, $24.8 million in principal payments received for loans held in consolidated securitization and a $2.2 million increase in accrued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$118.5 million for the year ended December 31, 2023 as a result of $157.2 million purchases and originations of loans held-for-investment, $56.9 million acquisition of beneficial interest assets, $10.6 million of capitalized software costs, partially offset by $102.4 million in principal payments received for loans held-for-investment and $4.3 million of principal payments received for notes receivable and repayments of residual certificates.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$214.3 million for the year ended December 31, 2023 as a result of $626.9 million proceeds from borrowings, $165.3 million proceeds from the issuance of securitization notes, $8.4 million in proceeds from issuance of common stock under ESPP, and $12.9 million proceeds from exercise of stock options, partially offset by $575.9 million repayments of borrowings and $23.3 million in principal payments made on securitization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held $1,156.4 million of loans on our consolidated balance sheet. $411.1 million of these loans were originated for research and development purposes, primarily in support of our auto lending products and expansion of our unsecured personal loan product to new categories of borrowers. We also held $566.2 million of core personal loans which would otherwise be immediately purchased by institutional investors and $179.1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consolidated balance sheets, generally referred to as off-balance sheet arrangements. These activities involve transactions with unconsolidated VIEs, including sale of whole loans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in Part II, Item 8 of this Annual Report on Form 10-K.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Our significant accounting policies are described in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in Part II, Item 8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measured at fair value on a recurring basis include, loans, beneficial interest assets and liabilities, notes receivable and residual certificates, and payable to securitization note holders.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also elected the fair value option for servicing assets and liabilities. We record servicing assets and liabilities at estimated fair value when we transfer loans which qualify as sales under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We use a discounted cash flow model to estimate the fair value of loan servicing assets and liabilities. The cash flows in the valuation model represent the difference between the servicing fees charged to institutional investors and an estimated market servicing fee. Since servicing fees are generally based on the monthly unpaid principal balance of the underlying loans, the expected cash flows in the model incorporate estimated credit risk and expected prepayments on the loans. For further information on fair value measurement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institutional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 demand for loans facilitated through our marketplace, and availability of funding under our current credit facilities and term loans. Our inability or failure to manage market risks could harm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2022 and 2023, we were exposed to market discount rate risk on $1,010.4 million and $977.3 million, respectively, of loans held on our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$12.0 million and $23.7 million decrease, respectively, in the fair value of loans held on our consolidated balance sheet as of December 31, 2022 and a $11.7 million and $23.1 million decrease, respectively, as of December 31, 2023.</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Loans held in the consolidated securitization are included in loans, at fair value on the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would result in a $2.4 million and $4.8 million decrease, respectively, in the fair value of loans held in the consolidated securitization on the consolidated balance sheet as of December 31, 2023.</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were also exposed to market discount rate risk on payable to securitization note holders of $141.4 million. A hypothetical 100 basis point and 200 basis point increase in the discount rate would result in a $1.9 million and $3.7 million decrease, respectively, in the fair value of payable to securitization note holders on the consolidated balance sheet as of December 31, 2023.</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were also exposed to market discount rate risk on other financial instruments, including $41.0 million of beneficial interest assets.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$1.2 million and $2.4 million decrease, respectively, in the fair value of beneficial interest assets held on our consolidated balance sheet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the loans on our consolidated balance sheets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these loans, beneficial interests, securitization notes and residual certificates, and payable to securitization note holders are estimated based on a discounted cash flow model which involves the use of significant unobservable inputs and assumptions. These instruments are sensitive to changes in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and 2023, we were exposed to credit risk on $1,010.4 million and $977.3 million, respectively, of loans held on our consolidated balance sheet excluding loans held in consolidated securitization. Loans bear fixed interest rates and are carried on our consolidated balance sheets at fair value. As of December 31, 2022, a hypothetical 10% and 20% increase in credit risk would result in a $11.9 million and $23.9 million decrease, and as of December 31, 2023, a hypothetical 10% and 20% increase in credit risk would result in a $12.5 million and $25.0 million decrease in the fair value of loans held on our consolidated balance sheets, respectively.</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Loans held in the consolidated securitization are included in loans, at fair value on the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100 and 200 basis point increase in the credit risk would result in a $2.7 million and $5.2 million decrease, respectively, in the fair value of loans held in consolidated securitization on the consolidated balance sheet as of December 31, 2023.</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exposed to credit risk on $41.0 million of beneficial interest assets and $4.2 million of beneficial interest liabilities held on the consolidated balance sheet as of December 31, 2023. A hypothetical 10% and 20% increase in credit risk spread would result in a $9.1 million and $16.7 million decrease, respectively, in the fair value of beneficial interest assets held on our consolidated balance sheet, and would result in a $5.6 million and $11.2 million increase in the fair value of beneficial interest liabilities on our consolidated balance sheet, respectively,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 that arises from our derivative financial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and 2023, we held $532.5 million and $467.8 million, respectively, related to cash and restricted cash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increase or decrease in interest rates may also impact our exposure to interest rate risk on our warehouse credit facilities. As of December 31, 2022 and 2023, we were exposed to interest rate risk on $336.5 million and $387.4 million, respectively, under our warehouse credit facilities, which bear floating interest rates. Changes in interest rates may impact our cost of borrowing. During the year ended December 31, 2023 we entered into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rate cap agreements in connection with our warehouse credit facilities with an aggregate notional amount of $299.6 million. The interest rate caps provide protection to the credit facilities against exposure to changes in cash flows to the extent the 1-month SOFR exceeds the strike rate. The UAWT interest rate cap matures in April 2029 and the ULT interest rate cap matures June 2025. Refer to </w:t>
      </w:r>
      <w:r>
        <w:rPr>
          <w:rFonts w:ascii="Times New Roman" w:cs="Times New Roman" w:eastAsia="Times New Roman" w:hAnsi="Times New Roman"/>
          <w:sz w:val="18"/>
          <w:szCs w:val="18"/>
          <w:i w:val="1"/>
          <w:iCs w:val="1"/>
          <w:color w:val="auto"/>
        </w:rPr>
        <w:t>“Note 4. Derivative Financial Instruments”</w:t>
      </w:r>
      <w:r>
        <w:rPr>
          <w:rFonts w:ascii="Times New Roman" w:cs="Times New Roman" w:eastAsia="Times New Roman" w:hAnsi="Times New Roman"/>
          <w:sz w:val="18"/>
          <w:szCs w:val="18"/>
          <w:color w:val="auto"/>
        </w:rPr>
        <w:t xml:space="preserve">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consolidated statements of operations and comprehensive income (loss) upon recognition of such adjustments or impairments. As of December 31, 2022 and 2023, the carrying value of our non-marketable equity securities, which do not have readily determinable fair values, totaled $41.3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2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40" w:type="dxa"/>
            <w:vAlign w:val="bottom"/>
            <w:gridSpan w:val="5"/>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9"/>
        </w:trPr>
        <w:tc>
          <w:tcPr>
            <w:tcW w:w="10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113</w:t>
            </w:r>
          </w:p>
        </w:tc>
      </w:tr>
      <w:tr>
        <w:trPr>
          <w:trHeight w:val="245"/>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2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8520" w:type="dxa"/>
            <w:vAlign w:val="bottom"/>
            <w:gridSpan w:val="6"/>
          </w:tcPr>
          <w:p>
            <w:pPr>
              <w:spacing w:after="0"/>
              <w:rPr>
                <w:sz w:val="16"/>
                <w:szCs w:val="16"/>
                <w:color w:val="auto"/>
              </w:rPr>
            </w:pP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115</w:t>
            </w: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117</w:t>
            </w: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118</w:t>
            </w:r>
          </w:p>
        </w:tc>
      </w:tr>
      <w:tr>
        <w:trPr>
          <w:trHeight w:val="20"/>
        </w:trPr>
        <w:tc>
          <w:tcPr>
            <w:tcW w:w="2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gridSpan w:val="2"/>
          </w:tcPr>
          <w:p>
            <w:pPr>
              <w:spacing w:after="0"/>
              <w:rPr>
                <w:sz w:val="18"/>
                <w:szCs w:val="18"/>
                <w:color w:val="auto"/>
              </w:rPr>
            </w:pPr>
          </w:p>
        </w:tc>
        <w:tc>
          <w:tcPr>
            <w:tcW w:w="7080" w:type="dxa"/>
            <w:vAlign w:val="bottom"/>
            <w:gridSpan w:val="3"/>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119</w:t>
            </w:r>
          </w:p>
        </w:tc>
      </w:tr>
      <w:tr>
        <w:trPr>
          <w:trHeight w:val="20"/>
        </w:trPr>
        <w:tc>
          <w:tcPr>
            <w:tcW w:w="2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60" w:type="dxa"/>
            <w:vAlign w:val="bottom"/>
            <w:gridSpan w:val="4"/>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121</w:t>
            </w: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Upstart Holdings, Inc.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Upstart Holdings, Inc. and subsidiaries (the “Company”) as of December 31, 2023 and 2022, the related consolidated statements of operations and comprehensive income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15, 2024, expressed an unqualified opinion on the Company’s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Level 3 Financial Assets and Liabilities (“level 3 financial instruments”) and Unobservable Inputs Therein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Loans at Fair Value – See Notes 1 and 6</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Loan Servicing Assets and Liabilities at Fair Value – See Notes 1 and 6</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Beneficial Interest Assets at Fair Value – See Notes 1, 5 and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has elected the fair value option for loans, which are valued using unobservable inputs significant to the fair value measurement. The Company estimates the fair value of these loans using a discounted cash flow model based on the present value of estimated future cash flows. This model uses both observable and unobservable inputs and reflects the Company’s best estimates of the assumptions a market participant would use to calculate the fair value. The fair value methodology considers historical defaults, losses and recoveries to project future losses and net cash flows on loans that are discounted using an estimate of market rates of return. Primary inputs that require significant judgment include discount rates and credit risk rates. These inputs are based on historical performance of loans facilitated through the Company’s platform, as well as management’s consideration of assumptions a market participant would use.</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has elected the fair value option for loan servicing assets and liabilities, which are valued using unobservable inputs significant to the fair value measurement. The Company estimates the fair value of its loan servicing assets and liabilities using a discounted cash flow model based on the difference between the servicing fees charged to institutional investors and an estimated market servicing fee on the monthly unpaid principal balance of the underlying loans.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the fair value option for beneficial interest assets, and estimates the fair value of its beneficial interest assets using a</w:t>
      </w:r>
    </w:p>
    <w:p>
      <w:pPr>
        <w:spacing w:after="0" w:line="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discounted cash flow model based on projected defaults, losses and recoveries to project future losses and net cash flows on the underlying loans. Net cash flows are discounted using an estimate of market rates of return that reflect the risk premium related to those cash flows. The model uses discount rates that are inherently judgmental and reflect the Company’s best estimates of the assumptions a market participant would use to determine fair value of its beneficial interest assets.</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Given the significant judgments made by management in selecting the unobservable inputs used in estimating the fair value of these level 3 financial instruments, performing audit procedures to evaluate the reasonableness of management’s judgments related to the selection of the discount rates and credit risk rates for loans, market servicing fee for loan servicing assets and liabilities, and discount rates for beneficial interest assets required a high degree of auditor judgment and an increased extent of effort, including the need to involve our fair value specialists.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unobservable inputs used by management to estimate the fair value of these level 3 financial instruments, included the following, among others:</w:t>
      </w:r>
    </w:p>
    <w:p>
      <w:pPr>
        <w:spacing w:after="0" w:line="189" w:lineRule="exact"/>
        <w:rPr>
          <w:sz w:val="20"/>
          <w:szCs w:val="20"/>
          <w:color w:val="auto"/>
        </w:rPr>
      </w:pPr>
    </w:p>
    <w:p>
      <w:pPr>
        <w:jc w:val="both"/>
        <w:ind w:left="660" w:hanging="328"/>
        <w:spacing w:after="0" w:line="231" w:lineRule="auto"/>
        <w:tabs>
          <w:tab w:leader="none" w:pos="655"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effectiveness of management’s internal controls relating to estimation of the fair value of these level 3 financial instruments, including controls related to management’s selection of the discount rates and credit risk rates for loans, market servicing fee for loan servicing assets and liabilities, and discount rates for beneficial interest assets.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accuracy and completeness of the data used in estimation of the fair value of these level 3 financial instruments.</w:t>
      </w:r>
    </w:p>
    <w:p>
      <w:pPr>
        <w:spacing w:after="0" w:line="210"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With the assistance of our fair value specialists, we developed independent estimates of the fair value of these level 3 financial instruments, and compared our estimates to the Company’s estimates.</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/s/ Deloitte &amp; Touche LLP</w:t>
      </w:r>
    </w:p>
    <w:p>
      <w:pPr>
        <w:spacing w:after="0" w:line="252" w:lineRule="exact"/>
        <w:rPr>
          <w:rFonts w:ascii="Arial" w:cs="Arial" w:eastAsia="Arial" w:hAnsi="Arial"/>
          <w:sz w:val="18"/>
          <w:szCs w:val="18"/>
          <w:color w:val="auto"/>
        </w:rPr>
      </w:pPr>
    </w:p>
    <w:p>
      <w:pPr>
        <w:ind w:left="660" w:right="8760"/>
        <w:spacing w:after="0" w:line="312" w:lineRule="auto"/>
        <w:rPr>
          <w:rFonts w:ascii="Arial" w:cs="Arial" w:eastAsia="Arial" w:hAnsi="Arial"/>
          <w:sz w:val="18"/>
          <w:szCs w:val="18"/>
          <w:color w:val="auto"/>
        </w:rPr>
      </w:pPr>
      <w:r>
        <w:rPr>
          <w:rFonts w:ascii="Times New Roman" w:cs="Times New Roman" w:eastAsia="Times New Roman" w:hAnsi="Times New Roman"/>
          <w:sz w:val="17"/>
          <w:szCs w:val="17"/>
          <w:color w:val="auto"/>
        </w:rPr>
        <w:t>San Francisco, California February 15, 2024</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$42,648 and $48,897 at fair value as of December 31, 2022 and December 31, 2023,</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0" w:type="dxa"/>
            <w:vAlign w:val="bottom"/>
          </w:tcPr>
          <w:p>
            <w:pPr>
              <w:spacing w:after="0"/>
              <w:rPr>
                <w:sz w:val="1"/>
                <w:szCs w:val="1"/>
                <w:color w:val="auto"/>
              </w:rPr>
            </w:pPr>
          </w:p>
        </w:tc>
      </w:tr>
      <w:tr>
        <w:trPr>
          <w:trHeight w:val="176"/>
        </w:trPr>
        <w:tc>
          <w:tcPr>
            <w:tcW w:w="78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$8,820 and $10,510 at fair value as of December 31,</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 and December 31, 2023, respectively)</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1,381,795</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81,259,676 and 86,330,303 shares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2022 and December 31, 2023, respectively</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917,872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635,305</w:t>
            </w:r>
          </w:p>
        </w:tc>
        <w:tc>
          <w:tcPr>
            <w:tcW w:w="0" w:type="dxa"/>
            <w:vAlign w:val="bottom"/>
          </w:tcPr>
          <w:p>
            <w:pPr>
              <w:spacing w:after="0"/>
              <w:rPr>
                <w:sz w:val="1"/>
                <w:szCs w:val="1"/>
                <w:color w:val="auto"/>
              </w:rPr>
            </w:pP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8" w:lineRule="exact"/>
        <w:rPr>
          <w:sz w:val="20"/>
          <w:szCs w:val="20"/>
          <w:color w:val="auto"/>
        </w:rPr>
      </w:pPr>
    </w:p>
    <w:p>
      <w:pPr>
        <w:ind w:left="500" w:hanging="492"/>
        <w:spacing w:after="0" w:line="282"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includes $179.1 million of loans, at fair value, contributed as collateral for the consolidated securitization. No such loans were held as of December 31, 2022. Refer to “</w:t>
      </w:r>
      <w:r>
        <w:rPr>
          <w:rFonts w:ascii="Times New Roman" w:cs="Times New Roman" w:eastAsia="Times New Roman" w:hAnsi="Times New Roman"/>
          <w:sz w:val="14"/>
          <w:szCs w:val="14"/>
          <w:i w:val="1"/>
          <w:iCs w:val="1"/>
          <w:color w:val="auto"/>
        </w:rPr>
        <w:t>Note 6. Fair Value Measurement</w:t>
      </w:r>
      <w:r>
        <w:rPr>
          <w:rFonts w:ascii="Times New Roman" w:cs="Times New Roman" w:eastAsia="Times New Roman" w:hAnsi="Times New Roman"/>
          <w:sz w:val="14"/>
          <w:szCs w:val="14"/>
          <w:color w:val="auto"/>
        </w:rPr>
        <w:t>” for details.</w:t>
      </w:r>
    </w:p>
    <w:p>
      <w:pPr>
        <w:spacing w:after="0" w:line="202"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2022 and December 31, 2023. The assets in the table below may only be used to settle obligations of consolidated VIEs and are in excess of those obligations. The liabilities in the table below include liabilities for which creditors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1,147,423</w:t>
            </w:r>
          </w:p>
        </w:tc>
      </w:tr>
      <w:tr>
        <w:trPr>
          <w:trHeight w:val="175"/>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$2,244 and $5,958 at fair value as of December 31, 2022 and December 31, 2023,</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560,431</w:t>
            </w:r>
          </w:p>
        </w:tc>
      </w:tr>
      <w:tr>
        <w:trPr>
          <w:trHeight w:val="23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24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r>
      <w:tr>
        <w:trPr>
          <w:trHeight w:val="229"/>
        </w:trPr>
        <w:tc>
          <w:tcPr>
            <w:tcW w:w="624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r>
      <w:tr>
        <w:trPr>
          <w:trHeight w:val="230"/>
        </w:trPr>
        <w:tc>
          <w:tcPr>
            <w:tcW w:w="624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r>
      <w:tr>
        <w:trPr>
          <w:trHeight w:val="22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513,562</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127,143</w:t>
            </w: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r>
      <w:tr>
        <w:trPr>
          <w:trHeight w:val="230"/>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280,138</w:t>
            </w: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212,388</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770,087</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(256,525)</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(240,025)</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196"/>
        </w:trPr>
        <w:tc>
          <w:tcPr>
            <w:tcW w:w="6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135,443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(108,665)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(240,132)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175"/>
        </w:trPr>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 computing net income (loss)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basic</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78,106,359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83,765,896</w:t>
            </w:r>
          </w:p>
        </w:tc>
      </w:tr>
      <w:tr>
        <w:trPr>
          <w:trHeight w:val="175"/>
        </w:trPr>
        <w:tc>
          <w:tcPr>
            <w:tcW w:w="6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 computing net income (loss)</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diluted</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94,772,641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9"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for year ended December 31, 2023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238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Retained Earnings</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Total Stockholders’</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1"/>
                <w:szCs w:val="11"/>
                <w:color w:val="auto"/>
              </w:rPr>
            </w:pPr>
          </w:p>
        </w:tc>
        <w:tc>
          <w:tcPr>
            <w:tcW w:w="23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Deficit)</w:t>
            </w:r>
          </w:p>
        </w:tc>
        <w:tc>
          <w:tcPr>
            <w:tcW w:w="3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73,314,026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300,252</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76,327</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acquisition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71,003</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follow-on</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offering, net of underwriting discounts, commissions, and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263,931</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capped calls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83,659,665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807,078</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and retirement of restricted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131,905</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81,259,676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714,871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672,435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3,170,158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181,705</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86,330,303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917,872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(282,576)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635,305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(240,132)</w:t>
            </w:r>
          </w:p>
        </w:tc>
      </w:tr>
      <w:tr>
        <w:trPr>
          <w:trHeight w:val="22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234,822</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73,186</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175,039</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loans held-for-sale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(8,932,604)</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(7,807,429)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(3,006,510)</w:t>
            </w: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8,826,045</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6,828,617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2,514,627</w:t>
            </w: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189,746</w:t>
            </w: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r>
      <w:tr>
        <w:trPr>
          <w:trHeight w:val="22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 of beneficial interest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(62,042)</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 to investors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62,097</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(42,989)</w:t>
            </w:r>
          </w:p>
        </w:tc>
      </w:tr>
      <w:tr>
        <w:trPr>
          <w:trHeight w:val="229"/>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59,576</w:t>
            </w: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23"/>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168,353</w:t>
            </w:r>
          </w:p>
        </w:tc>
        <w:tc>
          <w:tcPr>
            <w:tcW w:w="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(160,493)</w:t>
            </w:r>
          </w:p>
        </w:tc>
      </w:tr>
      <w:tr>
        <w:trPr>
          <w:trHeight w:val="250"/>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(159,398)</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(157,223)</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loans held-for-investment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51,403</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102,446</w:t>
            </w:r>
          </w:p>
        </w:tc>
      </w:tr>
      <w:tr>
        <w:trPr>
          <w:trHeight w:val="176"/>
        </w:trPr>
        <w:tc>
          <w:tcPr>
            <w:tcW w:w="60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of beneficial interest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(56,892)</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non-marketable equity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certificates of deposit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(143,877)</w:t>
            </w:r>
          </w:p>
        </w:tc>
        <w:tc>
          <w:tcPr>
            <w:tcW w:w="4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(114,125)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(118,455)</w:t>
            </w:r>
          </w:p>
        </w:tc>
      </w:tr>
      <w:tr>
        <w:trPr>
          <w:trHeight w:val="250"/>
        </w:trPr>
        <w:tc>
          <w:tcPr>
            <w:tcW w:w="6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718,422</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626,910</w:t>
            </w:r>
          </w:p>
        </w:tc>
      </w:tr>
      <w:tr>
        <w:trPr>
          <w:trHeight w:val="234"/>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(71,316)</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(400,898)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r>
      <w:tr>
        <w:trPr>
          <w:trHeight w:val="23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securitization notes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165,318</w:t>
            </w:r>
          </w:p>
        </w:tc>
      </w:tr>
      <w:tr>
        <w:trPr>
          <w:trHeight w:val="175"/>
        </w:trPr>
        <w:tc>
          <w:tcPr>
            <w:tcW w:w="6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secondary offering, net of underwriting discounts, commissions, and</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 costs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capped calls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29"/>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r>
      <w:tr>
        <w:trPr>
          <w:trHeight w:val="23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855,432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214,268</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(64,680)</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532,467</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467,787</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36,547</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70"/>
        </w:trPr>
        <w:tc>
          <w:tcPr>
            <w:tcW w:w="6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retained under consolidated securitization transaction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44,763</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certificates retained under unconsolidated securitization</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included in payable to investors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acquisition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cash and restricted cash by category within the consolidated balance sheets: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99,382</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“management”, “we”, or “our”) apply modern data science and technology to the process of originating consumer credit. The Company helps originate credit, including personal and auto loans,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The Company’s chief operating decision maker, the Chief Executive Officer, reviews financial information presented on a consolidated basis for purposes of allocating resources and evaluating financial performance. The accompanying consolidated financial statements have been prepared in conformity with accounting principles generally accepted in the United States of America (“GAAP”) and include the accounts of the Company, its wholly-owned subsidiaries, and consolidated VIEs. All intercompany accounts and transactions have been eliminated. The Company’s functional and reporting currency is the U.S. dollar.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13, 2021, the Company completed a follow-on offering, in which 2,300,000 shares of common stock (including the exercise in full of the underwriters’ option to purchase 300,000 additional shares) were issued and sold at $120.00 per share. The Company received net proceeds of $263.9 million after deducting underwriting discounts and commissions of $11.0 million and offering expenses of $1.0 million. Offering expenses consisted of incremental accounting, legal, and other fees incurred related to the follow-on offering.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years.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consists of bank deposits held in business checking and interest-bearing deposit accounts. As of December 31, 2022 and 2023, the Company did not have any cash equivalent balances, defined as highly liquid financial instruments purchased with original maturities of three months or less.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deposit accounts that are held in our custody but restricted for regulatory or legal purposes. This balance includes amounts that are: (i) received from borrowers for interest and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principal applied to loans as part of loan servicing, but not yet distributed to institutional investors; (ii) provided by institutional investors in relation to loan purchases; (iii) collateral for letters of credit the Company as required to maintain under its operating lease agreements; (iv) received from borrowers for interest and principal applied to loans pledged as part of our Company’s warehouse credit facilities, but not yet distributed to the Company, and (v) cash balances restricted in connection with the Company’s risk sharing arrangements.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authoritative guidance on fair value measurements establishes a three-tier fair value hierarchy for disclosure of fair value measurements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market prices in active markets for identical assets or liabilities;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include loans, notes receivable and residual certificates, loan servicing assets and liabilities, derivatives, beneficial interests, payable to securitization note holders, and trailing fee liabilities. When developing fair value measurements, the Company maximizes the use of observable inputs and minimizes the use of unobservable inputs.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consist primarily of cash, restricted cash, and other assets (excluding certain financial instruments, which are measured at fair value, such as loan servicing assets, interest rate caps, notes receivable and residual certificates), accounts payable, payable to investors, and other liabilities (excluding certain financial instruments, such as loan servicing liabilities, beneficial interest liabilities, and trailing fee liabilities which are measured at fair value). Payable to investors includes amounts of loan repayments not yet distributed to institutional investors, as well as amounts received from institutional investors but not yet invested directly in whole loans. The carrying values of these financial instruments are approximates of their respective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Borrowings are presented at par, net of debt issuance costs and amortized over the contractual term using the effective interest method, with accrued interest included as part of accrued expenses and other liabilities on the consolidated balance sheets. The carrying value of borrowings associated with the warehouse credit facilities approximates the fair value due to their relatively short maturities.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Securitization</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a consolidated securitization entity. Under the measurement alternative, the Company determined that the fair value of the liabilities, which consists of securitization notes and residual certificates issued by the entity, is based on more observable inputs than inputs used to determine the fair value of the assets, which consists of held-for-sale loans. Thus, the fair value of these loans is determined by the sum of the fair value of the related securitization notes and residual certificates. Changes in the fair value of these assets and liabilities are included in the consolidated statements of operations and comprehensive income (loss).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of Financial Assets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Upstart-powered loans originated by lending partners are either retained by the lending partners, purchased by the Company and immediately sold to institutional investors under loan sale agreements, or purchased and held by the Company for a period of time before being sold to third-party investors, or held to maturity by the Company for the primary purpose of product research and development. Loans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lending partner and the Company’s subsequent acquisition of the loans from the originating lending partner. Loans sold to institutional investors are derecognized from the Company’s consolidated balance sheets at the time of sale in accordance with the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The Company records an asset or a liability at fair value for its estimated post-sale servicing arrangements. The Company also records liabilities net of fair value for contingent obligations to repurchase loans that do not conform to the representations and warranties made to the loan purchaser at the time of sale. These liabilities are included within other liabilities on the Company’s consolidated balance sheets.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recognized at fair value when the Company transfers loans, which qualify as sales under ASC 860 with servicing rights retained or when the Company enters into servicing agreements with lending partners who retain Upstart-powered loans. A loan servicing asset or liability exists depending on whether the revenue from servicing is expected to more than adequately compensate the Company for carrying out its servicing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 servicing assets and liabilities are recorded in other assets and accrued expenses and other liabilities, respectively, in the consolidated balance sheets, with changes in fair value recorded in servicing revenue, net, which is part of revenue from fees, net in the consolidated statements of operations and comprehensive income (loss).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for further details.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and networking equipment, and furniture and fixtures. Leasehold improvements are depreciated over the shorter of the remaining lease term or the estimated useful life.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its long-lived assets for potential impairment when events or changes in circumstances indicate that the carrying amount of the assets may not be recoverable. When such an event occurs the carrying amount of the asset is reduced to its estimated fair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on the consolidated balance sheets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for any leases within its existing classes of assets and, as a result, accounts for any lease and non-lease components as a single lease component. The Company has immaterial leases with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its contracts and financial instruments to determine if these contracts and instruments or their parts meet the definition of derivatives in accordance with the requirements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Derivatives are recorded on the consolidated balance sheets at fair value with changes in the value recorded in earnings on the consolidated statements of operations and comprehensive income (loss), and are reported within the net cash used in operating activities in the consolidated statements of cash flows. The Company uses derivative financial instruments to manage risks related to our ongoing business operations, including managing interest rates on our warehouse facilities. The Company does not employ derivatives for trading or speculative purposes and has no derivatives classified as accounting hedges.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interests represent the Company’s right to receive or an obligation to make cash payments to certain loan buyers based on the credit performance of the underlying loan portfolios. The Company evaluates these arrangements to determine if they or their components meet the characteristics of derivative financial instruments. Beneficial interests that meet such characteristics are reported in accordance with the derivative financial instruments policy. For other beneficial interests that meet the criteria of a debt security, the Company has elected to record the arrangement at fair value and recognize the changes in fair value and other adjustments on the consolidated statements of operations and comprehensive income (loss). Refer to “</w:t>
      </w:r>
      <w:r>
        <w:rPr>
          <w:rFonts w:ascii="Times New Roman" w:cs="Times New Roman" w:eastAsia="Times New Roman" w:hAnsi="Times New Roman"/>
          <w:sz w:val="18"/>
          <w:szCs w:val="18"/>
          <w:i w:val="1"/>
          <w:iCs w:val="1"/>
          <w:color w:val="auto"/>
        </w:rPr>
        <w:t>Note 5.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strategic investments consists of non-marketable equity securities on the consolidated balance sheets which are investments in privately held companies. Non-marketable equity securities do not have a readily determinable fair value and are measured by the Company at cost less impairment, if any, and adjusted for changes resulting from observable price changes in orderly transactions for an identical or similar investment in the same issuer (the “measurement alternative”). Gains and losses on the investment, realized and unrealized, are recognized in other income (expense), net on our consolidated statements of operations and comprehensive income (loss) and a new carrying value is established for the investment upon such recognition of the gains and losses. There have been no unrealized or realized gains and losses or impairments related to the non-marketable equity securities accounted for under the measurement alternative for the years presented. As of December 31, 2022 and 2023, the carrying value of our non-marketable equity securities was $41.3 million.</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determination of whether an orderly transaction is for an identical or similar investment requires significant management judgment. In its evaluation, the Company considers factors such as differences in the rights and preferences of the investment and the extent to which those differences would affect the fair value of the investment. In the event the Company identifies an observable price change from an orderly transaction for an identical or similar investment of the same issuer, the Company must estimate the fair value of its strategic investments using the most recent data available. The Company’s impairment analysis encompasses an assessment of both qualitative and quantitative factors.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the fair values of assets acquired and liabilities assumed to be recognized in the consolidated financial statements. 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Acquisition-related costs, such as legal and consulting fees, are recognized separately from the business combination and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Goodwill is reviewed for impairment annually, or more frequently if an event or a change in circumstances indicates that goodwill may be impaired. We first assess qualitative factors to determine if it is more likely than not that the fair value of the reporting unit is less than its carrying value. Examples of qualitative factors include, but are not limited to, a significant adverse change in legal factors or in the business climate, a significant decline in our stock price, a significant decline in our projected revenue or cash flows, or the presence of other indicators that would indicate a reduction in the fair value of a reporting unit. If the Company concludes that it is more likely than not that the fair value of the reporting unit is less than its carrying value, a quantitative test is performed.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Acquired intangible assets are recorded at fair value on the date of acquisition and amortized on a straight-line basis over their estimated useful lives. Acquired intangible assets are presented net of accumulated amortization on the consolidated balance sheets. The Company reviews the carrying amounts of intangible assets for impairment whenever an event or change in circumstances indicates that the carrying amount of the assets may not be recoverable. We measure the recoverability of intangible assets by comparing the carrying amount of each asset to the future undiscounted cash flows we expect the asset to generate. Impairment is measured by the amount in which the carrying value of the asset exceeds its fair value. In addition, we periodically evaluate the estimated remaining useful lives of long-lived intangible assets to determine whether events or changes in circumstances warrant a revision to the remaining period of amortization.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revenue consists of two components: revenue from fees, net and interest income, interest expense, and fair value adjustments, net. The revenue from fees, net line item on the consolidated statements of operations and comprehensive income (loss) is primarily comprised of platform and referral fees, net, which are recognized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servicing and other fees, net, which are accounted for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for further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Operations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Engineering and Product Development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employee-related expenses, including stock-based compensation expenses, for the engineering and product development teams as well as the costs of systems and tools used by these teams. These costs are recognized in the period incurred.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Administrative, and Other</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issues stock options, restricted stock units (“RSUs”), performance-based restricted stock units (“PRSUs”),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PRSUs are initially measured at fair value using a Monte Carlo simulation model. Stock-based compensation expenses are recognized based on their respective grant-date fair values. Forfeitures are estimated at the time of grant and revised, as necessary, in subsequent periods if actual forfeitures differ from initial estimates. Stock-based compensation expense is recorded net of estimated forfeitures, such that the expense is recorded only for those awards that are expected to vest.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2021, the Company voluntarily repaid proceeds received under the Paycheck Protection Program plus accrued interest totaling $5.3 million. The Company recognized the loan principal repayment as an other expense. In the year ended December 31, 2022 and 2023, other income (expense), net primarily consists of dividend income earned by the Company on its unrestricted cash balance which is recognized in the period earned.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carryback or carryforward periods.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common share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income available to common stockholders for the year to be allocated between common stock and participating securities based upon their respective rights to receive dividends as if all income for the year had been distributed.</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attributable to common stockholders by the weighted-average number of common shares outstanding for the year.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(loss) per share is the amount of net income (loss) available to each share of common stock outstanding during the reporting year, adjusted to include the effect of potentially dilutive common shares. Potentially dilutive common shares include incremental shares issued for stock options, unvested RSUs, purchase rights committed under the ESPP, and convertible debt. The calculation of diluted net income (loss) per share excludes all anti-dilutive common shares. For years in which the Company reports net losses, basic and diluted net loss per share are the same because potentially dilutive common shares are not assumed to have been issued if their effect is anti-dilutive.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2023, the Company adopted Accounting Standards Update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which was issued by the FASB in October 2021. The new guidance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and contract liabilities acquired in a business combination to be recognized and measured by the acquirer on the acquisition date in accordance with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as if it had originated the contracts. Under the previous business combinations guidance, such assets and liabilities are recognized by the acquirer at fair value on the acquisition date. The ASU will be applied prospectively to business combinations occurring after the adoption date. The adoption of this new standard did not have an impact on the Company's consolidated financial statements or related disclosures.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update improve reportable segment disclosure requirements, primarily through enhanced disclosures about significant segment expenses. Specifically,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clarify circumstances in which an entity can disclose multiple segment measures of profit or loss, and provide new segment disclosure requirements for entities with a single reportable segment. This ASU is effective for fiscal years beginning after December 15, 2023, and interim periods within fiscal years beginning after December 15, 2024, with early adoption permitted. The Company is currently evaluating the impact of the amendments to its consolidated financial statements and related disclosures.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Crypto Assets. </w:t>
      </w:r>
      <w:r>
        <w:rPr>
          <w:rFonts w:ascii="Times New Roman" w:cs="Times New Roman" w:eastAsia="Times New Roman" w:hAnsi="Times New Roman"/>
          <w:sz w:val="18"/>
          <w:szCs w:val="18"/>
          <w:color w:val="auto"/>
        </w:rPr>
        <w:t>The amendments in this update require entities that hold certain crypto assets to subsequently measure them at fair value,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fair value recorded in net income. In addition, entities are required to provide additional disclosures about the holdings of certain crypto assets. This ASU is effective for fiscal years beginning after December 15, 2024, including interim periods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fiscal years, with early adoption permitted. The Company does not expect the adoption of this guidance to have a material impact on its consolidated financial statements or related disclosures.</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on its consolidated financial statements and related disclosures.</w:t>
      </w:r>
    </w:p>
    <w:p>
      <w:pPr>
        <w:spacing w:after="0" w:line="207"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years presented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726,161</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732,237</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414,120</w:t>
            </w: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560,431</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lending partners to provide access to a cloud-based artificial intelligence lending 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purchased by the Company, Upstart pays lending partners a one-time loan premium fee upon completion of the minimum contractual holding period. Upstart also pays lending partners monthly loan trailing fees based on the amount and timing of principal and interest payments made by borrowers of the underlying loans. Both the loan premium fees and loan trailing fees are consideration payable to customers, which are our lending partners, and are recorded as a reduction to platform and referral fees, net, which is part of revenue from fees, net, in the consolidated statements of operations and comprehensive income (loss). The Company recognized $23.6 million, $27.7 million, and $8.1 million of loan premium fees and loan trailing fees as contra-revenue within platform and referral fees, net during the year ended December 31, 2021, 2022, and 2023, respectively.</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the Company recognized $4.9 million and $4.3 million of loan trailing fee liability, respectively, which is recorded at fair value and included within accrued expenses and other liabilities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the Company’s consolidated balance sheets.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 on changes in fair value associated with trailing fee liabilities.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enters into subscription agreements with auto dealerships to access Upstart Auto Retail software, a cloud-based solution that facilitates dealership operations and enables them to provide consumers with access to Upstart-powered auto loans. Subscription agreements generally have a contractual term of one to six months with evergreen monthly renewals. The Company bills customers on a monthly basis. Subscription fees are recognized over the contract term as the performance obligation is satisfied, and is included within platform and referral fees, net in the consolidated statements of operations and comprehensive income (loss). During the year ended December 31, 2021 and 2022 the Company recognized immaterial amounts of subscription fee revenue and recognized $3.8 million during the year ended December 31, 2023.</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$31.1 million and $19.5 million of accounts receivable that are included in other assets on the consolidated balance sheets related to contracts with customers as of December 31, 2022 and 2023, respectively. The standard payment terms on accounts receivable are 30 days. The Company’s allowance for bad debt and bad debt expense were immaterial for the years presented.</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2022 and 2023, the Company had $2.6 million and $2.7 million of contract costs, respectively, capitalized within other assets on the consolidated balance sheets. During the years ended December 31, 2021, 2022 and 2023, the Company amortized an immaterial amount, $2.8 million, and $3.2 million, respectively, of capitalized contracts costs to sales and marketing in the consolidated statements of operations and comprehensive income (loss) for the years presented.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total revenue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44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6"/>
              </w:rPr>
              <w:t>56%</w:t>
            </w:r>
          </w:p>
        </w:tc>
        <w:tc>
          <w:tcPr>
            <w:tcW w:w="198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6"/>
              </w:rPr>
              <w:t>45%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4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6"/>
              </w:rPr>
              <w:t>27%</w:t>
            </w:r>
          </w:p>
        </w:tc>
        <w:tc>
          <w:tcPr>
            <w:tcW w:w="198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6"/>
              </w:rPr>
              <w:t>28%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44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r>
    </w:tbl>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accounts receivable were as follows: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7680" w:type="dxa"/>
            <w:vAlign w:val="bottom"/>
          </w:tcPr>
          <w:p>
            <w:pPr>
              <w:spacing w:after="0"/>
              <w:rPr>
                <w:sz w:val="21"/>
                <w:szCs w:val="21"/>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bl>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Less than 10%</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are accounted for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consolidated statements of operations and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servicing rights and fair value adjustments</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146,311</w:t>
            </w:r>
          </w:p>
        </w:tc>
      </w:tr>
      <w:tr>
        <w:trPr>
          <w:trHeight w:val="20"/>
        </w:trPr>
        <w:tc>
          <w:tcPr>
            <w:tcW w:w="6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and payable to securitization note holders.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consolidated statements of operations and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w:t>
            </w: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 loans, loan charge-offs, and other fair value adjustments,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gain (loss) on sale of loans,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losses on beneficial interests</w:t>
            </w:r>
          </w:p>
        </w:tc>
        <w:tc>
          <w:tcPr>
            <w:tcW w:w="10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fair value and other adjustments, net</w:t>
            </w:r>
            <w:r>
              <w:rPr>
                <w:rFonts w:ascii="Times New Roman" w:cs="Times New Roman" w:eastAsia="Times New Roman" w:hAnsi="Times New Roman"/>
                <w:sz w:val="23"/>
                <w:szCs w:val="23"/>
                <w:color w:val="auto"/>
                <w:vertAlign w:val="superscript"/>
              </w:rPr>
              <w:t>(1)</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(1) Includes interest income, interest expense and fair value and other adjustments, net related to the consolidated securitization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62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Interest income, interest expense, and fair value adjustments, net related to</w:t>
            </w: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1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 value adjustments, net</w:t>
            </w:r>
          </w:p>
        </w:tc>
        <w:tc>
          <w:tcPr>
            <w:tcW w:w="118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70"/>
        </w:trPr>
        <w:tc>
          <w:tcPr>
            <w:tcW w:w="624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w:t>
            </w:r>
          </w:p>
        </w:tc>
      </w:tr>
      <w:tr>
        <w:trPr>
          <w:trHeight w:val="20"/>
        </w:trPr>
        <w:tc>
          <w:tcPr>
            <w:tcW w:w="6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for loans held on the Company’s consolidated balance sheets and is earned over the life of a loan.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2022 and 2023, the Company has recorded $12.8 million and $14.2 million of accrued interest income in loans on the consolidated balance sheets,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Accrued interest expenses were immaterial as of December 31, 2022 and 2023. Interest expense also includes changes in fair value of the interest rate cap. Refer to “</w:t>
      </w:r>
      <w:r>
        <w:rPr>
          <w:rFonts w:ascii="Times New Roman" w:cs="Times New Roman" w:eastAsia="Times New Roman" w:hAnsi="Times New Roman"/>
          <w:sz w:val="18"/>
          <w:szCs w:val="18"/>
          <w:i w:val="1"/>
          <w:iCs w:val="1"/>
          <w:color w:val="auto"/>
        </w:rPr>
        <w:t>Note 4. 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for additional information.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the interest rate cap. These adjustments are recorded in the Company’s consolidated statements of operations and comprehensive income (loss)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consolidated balance sheets. These amounts are recognized in the period when amounts are received. Amounts received from borrowers for previously charged-off loans were immaterial for the year ended December 31, 2021 and 2022, and $7.2 million for the year ended December 31, 2023.</w:t>
      </w:r>
    </w:p>
    <w:p>
      <w:pPr>
        <w:spacing w:after="0" w:line="199"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151,068</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495,583</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646,651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187,258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256,774</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361,829</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664,441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July 6, 2023, the Company completed a private securitization securities offering (“UPST 2023-2”). As a retaining sponsor of the transaction, under risk retention requirements in Title 17 U.S. </w:t>
      </w:r>
      <w:r>
        <w:rPr>
          <w:rFonts w:ascii="Times New Roman" w:cs="Times New Roman" w:eastAsia="Times New Roman" w:hAnsi="Times New Roman"/>
          <w:sz w:val="18"/>
          <w:szCs w:val="18"/>
          <w:i w:val="1"/>
          <w:iCs w:val="1"/>
          <w:color w:val="auto"/>
        </w:rPr>
        <w:t>Code of Federal Regulations</w:t>
      </w:r>
      <w:r>
        <w:rPr>
          <w:rFonts w:ascii="Times New Roman" w:cs="Times New Roman" w:eastAsia="Times New Roman" w:hAnsi="Times New Roman"/>
          <w:sz w:val="18"/>
          <w:szCs w:val="18"/>
          <w:color w:val="auto"/>
        </w:rPr>
        <w:t xml:space="preserve"> Part 246, Credit Risk Retention, promulgated by the Securities and Exchange Commission,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unpaid principal balance of Upstart-powered loans held by the Company. The weighted-average coupon of the securitization notes issued was approximately 9.2%, and their sale generated approximately $165.3 million in gross cash proceeds. These proceeds and payments made on securitization notes are classified as financing activities in the statement of cash flows.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closing of UPST 2023-2, the Company determined that servicing fees represent a variable interest due to the retained interests held by the Company. The retained interests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consolidated balance sheets. Refer to “</w:t>
      </w:r>
      <w:r>
        <w:rPr>
          <w:rFonts w:ascii="Times New Roman" w:cs="Times New Roman" w:eastAsia="Times New Roman" w:hAnsi="Times New Roman"/>
          <w:sz w:val="18"/>
          <w:szCs w:val="18"/>
          <w:i w:val="1"/>
          <w:iCs w:val="1"/>
          <w:color w:val="auto"/>
        </w:rPr>
        <w:t>Note 6.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securitization and retained by the Company was eliminated as part of the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Upstart Loan Trust (“ULT”) and Upstart Auto Warehouse Trust (“UAWT”)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10.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securitization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exercised a clean up call related to two unconsolidated VIEs and subsequently liquidated the associated entities. A clean up call option allows the Company, as servicer, to repurchase the remaining transferred financial asset once the collateral falls below a predefined level, which represents the point where servicing becomes administratively burdensome. The clean up calls had no material impact on the consolidated financial statements of the Company.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in which the Company holds a variable interest but is not the primary beneficiary: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8"/>
                <w:szCs w:val="18"/>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Securitizations and other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364,013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265,040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98,973</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0" w:type="dxa"/>
            <w:vAlign w:val="bottom"/>
          </w:tcPr>
          <w:p>
            <w:pPr>
              <w:spacing w:after="0"/>
              <w:rPr>
                <w:sz w:val="1"/>
                <w:szCs w:val="1"/>
                <w:color w:val="auto"/>
              </w:rPr>
            </w:pPr>
          </w:p>
        </w:tc>
      </w:tr>
      <w:tr>
        <w:trPr>
          <w:trHeight w:val="535"/>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4"/>
                <w:szCs w:val="2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4"/>
                <w:szCs w:val="24"/>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Securitizations and other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445,929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319,357</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The carrying value of assets that relate to variable interests in unconsolidated VIEs consists of $6.2 million and $14.8 million of securitization notes and residual certificates which are included in other assets on the consolidated balance sheets as of December 31, 2022 and 2023, respectively. The Company also had $7.1 million and $6.0 million of cash deposits held as reserve accounts for related securitizations, included in other assets on the consolidated balance sheets as of December 31, 2022 and 2023.</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such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13.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5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February 2023 and June 2023, UAWT and ULT entered into interest rate cap agreements with a strike rate of 3.0% and 3.25%, respectively. The agreements were entered into in relation to the warehouse credit facilities which bear floating interest rates, refer to </w:t>
      </w:r>
      <w:r>
        <w:rPr>
          <w:rFonts w:ascii="Times New Roman" w:cs="Times New Roman" w:eastAsia="Times New Roman" w:hAnsi="Times New Roman"/>
          <w:sz w:val="17"/>
          <w:szCs w:val="17"/>
          <w:i w:val="1"/>
          <w:iCs w:val="1"/>
          <w:color w:val="auto"/>
        </w:rPr>
        <w:t>“Note 10. Borrowings”</w:t>
      </w:r>
      <w:r>
        <w:rPr>
          <w:rFonts w:ascii="Times New Roman" w:cs="Times New Roman" w:eastAsia="Times New Roman" w:hAnsi="Times New Roman"/>
          <w:sz w:val="17"/>
          <w:szCs w:val="17"/>
          <w:color w:val="auto"/>
        </w:rPr>
        <w:t xml:space="preserve"> for further information. The interest rate caps provide protection to the credit facilities against exposure to changes in cash flows to the extent the underlying interest rate on the facility exceeds the strike rate. The UAWT interest rate cap matures in April 2029 and the ULT interest rate cap matures June 2025. The interest rate cap agreements meet the definition of a derivative and are reported at fair value. Refer to “</w:t>
      </w:r>
      <w:r>
        <w:rPr>
          <w:rFonts w:ascii="Times New Roman" w:cs="Times New Roman" w:eastAsia="Times New Roman" w:hAnsi="Times New Roman"/>
          <w:sz w:val="17"/>
          <w:szCs w:val="17"/>
          <w:i w:val="1"/>
          <w:iCs w:val="1"/>
          <w:color w:val="auto"/>
        </w:rPr>
        <w:t>Note 6. Fair Value Measurement</w:t>
      </w:r>
      <w:r>
        <w:rPr>
          <w:rFonts w:ascii="Times New Roman" w:cs="Times New Roman" w:eastAsia="Times New Roman" w:hAnsi="Times New Roman"/>
          <w:sz w:val="17"/>
          <w:szCs w:val="17"/>
          <w:color w:val="auto"/>
        </w:rPr>
        <w:t>” for additional information.</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as well as the fair value of interest rate caps, which is reported as part of other assets on the consolidated balance sheets. There were no material derivative financial instruments held by the Company as of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560" w:type="dxa"/>
            <w:vAlign w:val="bottom"/>
            <w:tcBorders>
              <w:bottom w:val="single" w:sz="8" w:color="auto"/>
            </w:tcBorders>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700" w:type="dxa"/>
            <w:vAlign w:val="bottom"/>
          </w:tcPr>
          <w:p>
            <w:pPr>
              <w:spacing w:after="0"/>
              <w:rPr>
                <w:sz w:val="19"/>
                <w:szCs w:val="19"/>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299,578</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fair value of these instruments in earnings and reports them as part of the interest expense on the consolidated statements of operations and comprehensive income (loss). The Company recognized no gains or losses on interest rate caps during the year ended December 31, 2021 and 2022. The Company recognized an immaterial amount of fair value gains, net on interest rate caps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w:t>
        <w:tab/>
        <w:t>Beneficial Interests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certain committed capital agreements, the Company has risk sharing arrangements in which it is obligated to make payments to the loan buyer or is entitled to receive payments from the loan buyer if credit performance on the underlying loans subject to the arrangements deviates from initial expectations, subject to a dollar cap. The Company has beneficial interests in these arrangements which either meet the definition of a derivative or that meet the criteria of a debt security. As of December 31, 2023 the Company’s capital at risk, which represents the maximum exposure to losses, under these arrangements was $98.5 million. The Company had no risk sharing arrangements as of December 31, 2022.</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aggregate unpaid principal balance of the underlying portfolio as well as the fair value of beneficial interest assets, which are presented as a separate asset line item on the consolidated balance sheets and beneficial interest liabilities which are included in other liabilities on the consolidated balance sheets. There were no beneficial interest assets or liabilities held by the Company as of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80" w:type="dxa"/>
            <w:vAlign w:val="bottom"/>
            <w:tcBorders>
              <w:bottom w:val="single" w:sz="8" w:color="auto"/>
            </w:tcBorders>
          </w:tcPr>
          <w:p>
            <w:pPr>
              <w:spacing w:after="0"/>
              <w:rPr>
                <w:sz w:val="20"/>
                <w:szCs w:val="20"/>
                <w:color w:val="auto"/>
              </w:rPr>
            </w:pPr>
          </w:p>
        </w:tc>
      </w:tr>
      <w:tr>
        <w:trPr>
          <w:trHeight w:val="223"/>
        </w:trPr>
        <w:tc>
          <w:tcPr>
            <w:tcW w:w="4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Unpaid Principal Balance</w:t>
            </w:r>
          </w:p>
        </w:tc>
        <w:tc>
          <w:tcPr>
            <w:tcW w:w="840" w:type="dxa"/>
            <w:vAlign w:val="bottom"/>
          </w:tcPr>
          <w:p>
            <w:pPr>
              <w:spacing w:after="0"/>
              <w:rPr>
                <w:sz w:val="19"/>
                <w:szCs w:val="19"/>
                <w:color w:val="auto"/>
              </w:rPr>
            </w:pPr>
          </w:p>
        </w:tc>
        <w:tc>
          <w:tcPr>
            <w:tcW w:w="228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2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958,870</w:t>
            </w: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769,102</w:t>
            </w:r>
          </w:p>
        </w:tc>
        <w:tc>
          <w:tcPr>
            <w:tcW w:w="10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consolidated statements of operations and comprehensive income (loss)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losses recognized on beneficial interests during the year ended December 31, 2023 The Company recognized no gains or losses on beneficial interest during the year ended December 31, 2021 and 2022.</w:t>
      </w:r>
    </w:p>
    <w:p>
      <w:pPr>
        <w:spacing w:after="0" w:line="23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82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23" w:lineRule="exact"/>
        <w:rPr>
          <w:sz w:val="20"/>
          <w:szCs w:val="20"/>
          <w:color w:val="auto"/>
        </w:rPr>
      </w:pPr>
    </w:p>
    <w:p>
      <w:pPr>
        <w:ind w:left="20"/>
        <w:spacing w:after="0"/>
        <w:tabs>
          <w:tab w:leader="none" w:pos="7860" w:val="left"/>
          <w:tab w:leader="none" w:pos="10580" w:val="left"/>
        </w:tabs>
        <w:rPr>
          <w:sz w:val="20"/>
          <w:szCs w:val="20"/>
          <w:color w:val="auto"/>
        </w:rPr>
      </w:pPr>
      <w:r>
        <w:rPr>
          <w:rFonts w:ascii="Times New Roman" w:cs="Times New Roman" w:eastAsia="Times New Roman" w:hAnsi="Times New Roman"/>
          <w:sz w:val="18"/>
          <w:szCs w:val="18"/>
          <w:color w:val="auto"/>
        </w:rPr>
        <w:t>Fair value losses on beneficial interests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(26,489)</w:t>
      </w: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40" w:hanging="360"/>
        <w:spacing w:after="0"/>
        <w:tabs>
          <w:tab w:leader="none" w:pos="1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presents assets and liabilities measured at fair value and categorized in accordance with the fair value hierarchy: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w:t>
            </w:r>
            <w:r>
              <w:rPr>
                <w:rFonts w:ascii="Times New Roman" w:cs="Times New Roman" w:eastAsia="Times New Roman" w:hAnsi="Times New Roman"/>
                <w:sz w:val="23"/>
                <w:szCs w:val="23"/>
                <w:color w:val="auto"/>
                <w:vertAlign w:val="superscript"/>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1,246,322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firstLine="8"/>
        <w:spacing w:after="0" w:line="258" w:lineRule="auto"/>
        <w:tabs>
          <w:tab w:leader="none" w:pos="20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prices. The Company uses significant unobservable inputs to measure the fair value of these assets and liabilities.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presented.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 following their classification upon the contribution.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fair value of classes of loans included in the Company’s consolidated balance sheets as of December 31, 2022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146,768</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1,156,413</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3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UPST 2023-2. Under the measurement alternative, the Company determined that inputs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consolidated statements of operations and comprehensive income (loss).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w:t>
      </w:r>
    </w:p>
    <w:p>
      <w:pPr>
        <w:sectPr>
          <w:pgSz w:w="11900" w:h="16838" w:orient="portrait"/>
          <w:cols w:equalWidth="0" w:num="1">
            <w:col w:w="11240"/>
          </w:cols>
          <w:pgMar w:left="320" w:top="175" w:right="339" w:bottom="1440" w:gutter="0" w:footer="0" w:header="0"/>
        </w:sectPr>
      </w:pP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6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22.28 %</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11.87 %</w:t>
            </w:r>
          </w:p>
        </w:tc>
        <w:tc>
          <w:tcPr>
            <w:tcW w:w="0" w:type="dxa"/>
            <w:vAlign w:val="bottom"/>
          </w:tcPr>
          <w:p>
            <w:pPr>
              <w:spacing w:after="0"/>
              <w:rPr>
                <w:sz w:val="1"/>
                <w:szCs w:val="1"/>
                <w:color w:val="auto"/>
              </w:rPr>
            </w:pPr>
          </w:p>
        </w:tc>
      </w:tr>
      <w:tr>
        <w:trPr>
          <w:trHeight w:val="230"/>
        </w:trPr>
        <w:tc>
          <w:tcPr>
            <w:tcW w:w="21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Credit risk rate </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16.93 %</w:t>
            </w:r>
          </w:p>
        </w:tc>
        <w:tc>
          <w:tcPr>
            <w:tcW w:w="0" w:type="dxa"/>
            <w:vAlign w:val="bottom"/>
          </w:tcPr>
          <w:p>
            <w:pPr>
              <w:spacing w:after="0"/>
              <w:rPr>
                <w:sz w:val="1"/>
                <w:szCs w:val="1"/>
                <w:color w:val="auto"/>
              </w:rPr>
            </w:pPr>
          </w:p>
        </w:tc>
      </w:tr>
      <w:tr>
        <w:trPr>
          <w:trHeight w:val="31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Prepayment rate </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93.43 %</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-497205</wp:posOffset>
            </wp:positionV>
            <wp:extent cx="707199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-197485</wp:posOffset>
            </wp:positionV>
            <wp:extent cx="7071995"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5" w:lineRule="exact"/>
        <w:rPr>
          <w:sz w:val="20"/>
          <w:szCs w:val="20"/>
          <w:color w:val="auto"/>
        </w:rPr>
      </w:pPr>
    </w:p>
    <w:p>
      <w:pPr>
        <w:ind w:left="220" w:hanging="212"/>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0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14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8"/>
        </w:trPr>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0" w:type="dxa"/>
            <w:vAlign w:val="bottom"/>
          </w:tcPr>
          <w:p>
            <w:pPr>
              <w:spacing w:after="0"/>
              <w:rPr>
                <w:sz w:val="1"/>
                <w:szCs w:val="1"/>
                <w:color w:val="auto"/>
              </w:rPr>
            </w:pPr>
          </w:p>
        </w:tc>
      </w:tr>
      <w:tr>
        <w:trPr>
          <w:trHeight w:val="230"/>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17.66 %</w:t>
            </w:r>
          </w:p>
        </w:tc>
        <w:tc>
          <w:tcPr>
            <w:tcW w:w="0" w:type="dxa"/>
            <w:vAlign w:val="bottom"/>
          </w:tcPr>
          <w:p>
            <w:pPr>
              <w:spacing w:after="0"/>
              <w:rPr>
                <w:sz w:val="1"/>
                <w:szCs w:val="1"/>
                <w:color w:val="auto"/>
              </w:rPr>
            </w:pPr>
          </w:p>
        </w:tc>
      </w:tr>
      <w:tr>
        <w:trPr>
          <w:trHeight w:val="234"/>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36.52 %</w:t>
            </w:r>
          </w:p>
        </w:tc>
        <w:tc>
          <w:tcPr>
            <w:tcW w:w="0" w:type="dxa"/>
            <w:vAlign w:val="bottom"/>
          </w:tcPr>
          <w:p>
            <w:pPr>
              <w:spacing w:after="0"/>
              <w:rPr>
                <w:sz w:val="1"/>
                <w:szCs w:val="1"/>
                <w:color w:val="auto"/>
              </w:rPr>
            </w:pPr>
          </w:p>
        </w:tc>
      </w:tr>
    </w:tbl>
    <w:p>
      <w:pPr>
        <w:spacing w:after="0" w:line="836" w:lineRule="exact"/>
        <w:rPr>
          <w:sz w:val="20"/>
          <w:szCs w:val="20"/>
          <w:color w:val="auto"/>
        </w:rPr>
      </w:pPr>
    </w:p>
    <w:p>
      <w:pPr>
        <w:sectPr>
          <w:pgSz w:w="11900" w:h="16838" w:orient="portrait"/>
          <w:cols w:equalWidth="0" w:num="2">
            <w:col w:w="6660" w:space="100"/>
            <w:col w:w="4480"/>
          </w:cols>
          <w:pgMar w:left="320" w:top="175" w:right="339" w:bottom="1440" w:gutter="0" w:footer="0" w:header="0"/>
          <w:type w:val="continuous"/>
        </w:sectPr>
      </w:pPr>
    </w:p>
    <w:p>
      <w:pPr>
        <w:spacing w:after="0" w:line="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20"/>
                <w:szCs w:val="20"/>
                <w:color w:val="auto"/>
              </w:rPr>
            </w:pPr>
          </w:p>
        </w:tc>
        <w:tc>
          <w:tcPr>
            <w:tcW w:w="15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0"/>
                <w:szCs w:val="20"/>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Average </w:t>
            </w:r>
            <w:r>
              <w:rPr>
                <w:rFonts w:ascii="Times New Roman" w:cs="Times New Roman" w:eastAsia="Times New Roman" w:hAnsi="Times New Roman"/>
                <w:sz w:val="20"/>
                <w:szCs w:val="20"/>
                <w:b w:val="1"/>
                <w:bCs w:val="1"/>
                <w:color w:val="auto"/>
                <w:vertAlign w:val="superscript"/>
              </w:rPr>
              <w:t>(2)</w:t>
            </w:r>
          </w:p>
        </w:tc>
        <w:tc>
          <w:tcPr>
            <w:tcW w:w="15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20" w:type="dxa"/>
            <w:vAlign w:val="bottom"/>
          </w:tcPr>
          <w:p>
            <w:pPr>
              <w:jc w:val="right"/>
              <w:ind w:right="61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Credit risk rate </w:t>
            </w:r>
            <w:r>
              <w:rPr>
                <w:rFonts w:ascii="Times New Roman" w:cs="Times New Roman" w:eastAsia="Times New Roman" w:hAnsi="Times New Roman"/>
                <w:sz w:val="23"/>
                <w:szCs w:val="23"/>
                <w:color w:val="auto"/>
                <w:vertAlign w:val="superscript"/>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Prepayment rate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applicable</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to adverse changes in key assumptions used in the valuation model as of December 31, 2022 and 2023,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977,342</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bl>
    <w:p>
      <w:pPr>
        <w:spacing w:after="0" w:line="200" w:lineRule="exact"/>
        <w:rPr>
          <w:sz w:val="20"/>
          <w:szCs w:val="20"/>
          <w:color w:val="auto"/>
        </w:rPr>
      </w:pPr>
    </w:p>
    <w:p>
      <w:pPr>
        <w:spacing w:after="0" w:line="3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in consolidated securitization to adverse changes in key assumptions used in the valuation model as of December 31, 2023. No loans were held in consolidated securitization as of December 31, 2022.</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loans held in consolidated securitization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prepayment rates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40" w:type="dxa"/>
            <w:vAlign w:val="bottom"/>
          </w:tcPr>
          <w:p>
            <w:pPr>
              <w:spacing w:after="0"/>
              <w:rPr>
                <w:sz w:val="24"/>
                <w:szCs w:val="24"/>
                <w:color w:val="auto"/>
              </w:rPr>
            </w:pPr>
          </w:p>
        </w:tc>
        <w:tc>
          <w:tcPr>
            <w:tcW w:w="436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9540" w:type="dxa"/>
            <w:vAlign w:val="bottom"/>
            <w:gridSpan w:val="10"/>
          </w:tcPr>
          <w:p>
            <w:pPr>
              <w:ind w:left="620"/>
              <w:spacing w:after="0"/>
              <w:rPr>
                <w:sz w:val="20"/>
                <w:szCs w:val="20"/>
                <w:color w:val="auto"/>
              </w:rPr>
            </w:pPr>
            <w:r>
              <w:rPr>
                <w:rFonts w:ascii="Times New Roman" w:cs="Times New Roman" w:eastAsia="Times New Roman" w:hAnsi="Times New Roman"/>
                <w:sz w:val="18"/>
                <w:szCs w:val="18"/>
                <w:color w:val="auto"/>
              </w:rPr>
              <w:t>The following tables include a rollforward of the loans classified within Level 3 of the fair value hierarchy: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24"/>
                <w:szCs w:val="24"/>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252,477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5,992,148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127,611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Transfer of loans to consolidated securitization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1"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of loans to consolidated securitization at fair value.</w:t>
      </w:r>
    </w:p>
    <w:p>
      <w:pPr>
        <w:spacing w:after="0" w:line="14"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year ended December 31, 2023.</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9,006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37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$397.7 million and $343.1 million of auto loans at fair value as of December 31, 2022 and 2023, respectively, of which an immaterial amount and $2.8 million is 90 days or more past due as of December 31, 2022 and 2023, respectively.</w:t>
      </w: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and 2023, the Company held notes receivable and residual certificates with an aggregate fair value of $6.2 million and $14.8 million, respectively, within other assets on the Company’s consolidated balance sheets. The balances consist of securitization notes and residual certificates retained from securitization transactions.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recognized payables to securitization note holders of $141.4 million at fair value. The balance represents the value of the securitization notes issued and owned by third-party investors in connection with UPST 2023-2. Accrued interest on these financial instruments is immaterial as of December 31, 2023. The value of the UPST 2023-2 securitization notes and residual certificates retained by the Company is eliminated in the consolidation process. As of December 31, 2022, the Company did not hold liabilities related to the consolidated securitization transaction.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calculate fair value.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 receivable, residual certificates, and payable to securitization note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2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8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400" w:type="dxa"/>
            <w:vAlign w:val="bottom"/>
            <w:gridSpan w:val="2"/>
          </w:tcPr>
          <w:p>
            <w:pPr>
              <w:jc w:val="right"/>
              <w:ind w:right="36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(2)</w:t>
            </w: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300" w:type="dxa"/>
            <w:vAlign w:val="bottom"/>
          </w:tcPr>
          <w:p>
            <w:pPr>
              <w:jc w:val="right"/>
              <w:ind w:right="17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Credit risk rate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16.32 %</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Prepayment rate </w:t>
            </w:r>
            <w:r>
              <w:rPr>
                <w:rFonts w:ascii="Times New Roman" w:cs="Times New Roman" w:eastAsia="Times New Roman" w:hAnsi="Times New Roman"/>
                <w:sz w:val="23"/>
                <w:szCs w:val="23"/>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Payable to securitization note holders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Credit risk rate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0" w:type="dxa"/>
            <w:vAlign w:val="bottom"/>
          </w:tcPr>
          <w:p>
            <w:pPr>
              <w:spacing w:after="0"/>
              <w:rPr>
                <w:sz w:val="1"/>
                <w:szCs w:val="1"/>
                <w:color w:val="auto"/>
              </w:rPr>
            </w:pPr>
          </w:p>
        </w:tc>
      </w:tr>
      <w:tr>
        <w:trPr>
          <w:trHeight w:val="30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Prepayment rate </w:t>
            </w:r>
            <w:r>
              <w:rPr>
                <w:rFonts w:ascii="Times New Roman" w:cs="Times New Roman" w:eastAsia="Times New Roman" w:hAnsi="Times New Roman"/>
                <w:sz w:val="23"/>
                <w:szCs w:val="23"/>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p>
    <w:p>
      <w:pPr>
        <w:ind w:left="520" w:hanging="472"/>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 underlying the financial instruments.</w:t>
      </w:r>
    </w:p>
    <w:p>
      <w:pPr>
        <w:spacing w:after="0" w:line="1" w:lineRule="exact"/>
        <w:rPr>
          <w:rFonts w:ascii="Times New Roman" w:cs="Times New Roman" w:eastAsia="Times New Roman" w:hAnsi="Times New Roman"/>
          <w:sz w:val="14"/>
          <w:szCs w:val="14"/>
          <w:color w:val="auto"/>
        </w:rPr>
      </w:pPr>
    </w:p>
    <w:p>
      <w:pPr>
        <w:ind w:left="520" w:hanging="472"/>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jc w:val="both"/>
        <w:ind w:left="40"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or prepayment rates do not result in a material impact to the fair value of notes receivable and residual certificates as of December 31, 2022 and 2023.</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pacing w:after="0" w:line="254" w:lineRule="exact"/>
        <w:rPr>
          <w:sz w:val="20"/>
          <w:szCs w:val="20"/>
          <w:color w:val="auto"/>
        </w:rPr>
      </w:pPr>
    </w:p>
    <w:p>
      <w:pPr>
        <w:jc w:val="both"/>
        <w:ind w:left="4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payable to securitization note holders is sensitive to adverse changes in discount rates, which represent estimates of the rates of return that institutional investors would require when investing in financial instruments with similar risk and return characteristics. On average, a hypothetical 100 and 200 basis point increase in discount rates results in a decrease in fair value of payable to securitization note holders of $1.9 million and $3.7 million, respectively, as of December 31, 2023. Adverse changes in credit risk rates and expected prepayment rates do not result in a material impact to the fair value of payable to securitization note holders as of December 31, 2023. The Company held no payable to securitization note holders as of December 31, 2022.</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left="40"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include a rollforward of the notes receivable and residual certificates and payables to securitization note holders related to securitization transactions classified by the Company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and 2023, the Company’s loan servicing assets had a fair value of $36.5 million and $28.1 million, respectively, recorded within other assets on the consolidated balance sheets. As of December 31, 2022 and 2023, the Company’s loan servicing liabilities had a fair value of $4.0 million and $2.0 million, respectively, recorded within other accrued expenses and other liabilities on the consolidated balance sheets.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right"/>
              <w:ind w:right="1295"/>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Credit risk rate </w:t>
            </w:r>
            <w:r>
              <w:rPr>
                <w:rFonts w:ascii="Times New Roman" w:cs="Times New Roman" w:eastAsia="Times New Roman" w:hAnsi="Times New Roman"/>
                <w:sz w:val="23"/>
                <w:szCs w:val="23"/>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Market-servicing rate </w:t>
            </w:r>
            <w:r>
              <w:rPr>
                <w:rFonts w:ascii="Times New Roman" w:cs="Times New Roman" w:eastAsia="Times New Roman" w:hAnsi="Times New Roman"/>
                <w:sz w:val="23"/>
                <w:szCs w:val="23"/>
                <w:color w:val="auto"/>
                <w:vertAlign w:val="superscript"/>
              </w:rPr>
              <w:t>(3)(4)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30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Prepayment rate </w:t>
            </w:r>
            <w:r>
              <w:rPr>
                <w:rFonts w:ascii="Times New Roman" w:cs="Times New Roman" w:eastAsia="Times New Roman" w:hAnsi="Times New Roman"/>
                <w:sz w:val="23"/>
                <w:szCs w:val="23"/>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 underlying the servicing arrangement.</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of personal loans and auto loans, of 0.62% and 3.72%,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and prepayments rates as such changes would not result in a significant impact on the fair value as of December 31, 2022 and 2023,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30"/>
        </w:trPr>
        <w:tc>
          <w:tcPr>
            <w:tcW w:w="78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4"/>
        </w:trPr>
        <w:tc>
          <w:tcPr>
            <w:tcW w:w="7860" w:type="dxa"/>
            <w:vAlign w:val="bottom"/>
          </w:tcPr>
          <w:p>
            <w:pPr>
              <w:jc w:val="right"/>
              <w:ind w:right="491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18,388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31,041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(12,962)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6"/>
              </w:rPr>
              <w:t>36,467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13,796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(22,171)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28,092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certain loan sale agreements, the Company is obligated to make payments to the loan buyer or is entitled to receive payments from the buyer if credit performance on personal loans subject to the arrangement deviate from initial expectations, subject to a dollar cap. As of December 31, 2023, the Company held beneficial interest assets related to these arrangements of $41.0 million and beneficial interest liabilities of $4.2 million. The Company held no beneficial interests as of December 31, 2022.</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discounted cash flow model. The fair valuation methodology considers projected defaults, losses and recoveries to project future losses and net cash flows on the underlying loans. Net cash flows are discounted using an estimate of market rates of return that reflect the risk premium related to those cash flows. The models use inputs that are inherently judgmental and reflect the Company’s best estimates of the assumptions a market participant would use to determine fair value.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2023:</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560" w:type="dxa"/>
            <w:vAlign w:val="bottom"/>
          </w:tcPr>
          <w:p>
            <w:pPr>
              <w:spacing w:after="0"/>
              <w:rPr>
                <w:sz w:val="23"/>
                <w:szCs w:val="23"/>
                <w:color w:val="auto"/>
              </w:rPr>
            </w:pPr>
          </w:p>
        </w:tc>
        <w:tc>
          <w:tcPr>
            <w:tcW w:w="15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Weighted-Average</w:t>
            </w:r>
            <w:r>
              <w:rPr>
                <w:rFonts w:ascii="Times New Roman" w:cs="Times New Roman" w:eastAsia="Times New Roman" w:hAnsi="Times New Roman"/>
                <w:sz w:val="23"/>
                <w:szCs w:val="23"/>
                <w:b w:val="1"/>
                <w:bCs w:val="1"/>
                <w:color w:val="auto"/>
                <w:vertAlign w:val="superscript"/>
              </w:rPr>
              <w:t>(1)</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5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13.63 %</w:t>
            </w:r>
          </w:p>
        </w:tc>
      </w:tr>
      <w:tr>
        <w:trPr>
          <w:trHeight w:val="230"/>
        </w:trPr>
        <w:tc>
          <w:tcPr>
            <w:tcW w:w="60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Credit risk rate spread </w:t>
            </w:r>
            <w:r>
              <w:rPr>
                <w:rFonts w:ascii="Times New Roman" w:cs="Times New Roman" w:eastAsia="Times New Roman" w:hAnsi="Times New Roman"/>
                <w:sz w:val="23"/>
                <w:szCs w:val="23"/>
                <w:color w:val="auto"/>
                <w:vertAlign w:val="superscript"/>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r>
      <w:tr>
        <w:trPr>
          <w:trHeight w:val="306"/>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Credit risk rate spread </w:t>
            </w:r>
            <w:r>
              <w:rPr>
                <w:rFonts w:ascii="Times New Roman" w:cs="Times New Roman" w:eastAsia="Times New Roman" w:hAnsi="Times New Roman"/>
                <w:sz w:val="23"/>
                <w:szCs w:val="23"/>
                <w:color w:val="auto"/>
                <w:vertAlign w:val="superscript"/>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6" w:lineRule="exact"/>
        <w:rPr>
          <w:sz w:val="20"/>
          <w:szCs w:val="20"/>
          <w:color w:val="auto"/>
        </w:rPr>
      </w:pPr>
    </w:p>
    <w:p>
      <w:pPr>
        <w:ind w:left="220" w:hanging="212"/>
        <w:spacing w:after="0"/>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loss expectations as of the valuation date compared to the origination date.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rates for beneficial interests are determined the same way as for underlying loan portfolios. Credit risk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an estimate of cumulative losses, net of average recoveries, of the underlying portfolio, which represent the amount of principal that will not be repaid over the entire life of a financial instrument. The credit risk rate spreads are the relative difference, expressed as a percentage, between the expected credit risk rate on origination date and the estimated credit risk rate as of a valuation date.</w:t>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key assumptions used in the valuation model as of December 31, 2023. Adverse changes in discount rates do not result in a material impact to the fair value of beneficial interest liabilities as of December 31, 2023.</w:t>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922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72"/>
        </w:trPr>
        <w:tc>
          <w:tcPr>
            <w:tcW w:w="9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r>
      <w:tr>
        <w:trPr>
          <w:trHeight w:val="21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9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30"/>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 adverse change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r>
      <w:tr>
        <w:trPr>
          <w:trHeight w:val="230"/>
        </w:trPr>
        <w:tc>
          <w:tcPr>
            <w:tcW w:w="9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 adverse change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r>
      <w:tr>
        <w:trPr>
          <w:trHeight w:val="256"/>
        </w:trPr>
        <w:tc>
          <w:tcPr>
            <w:tcW w:w="9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0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9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 adverse change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34"/>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 adverse change</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tables present a rollforward of beneficial interest assets and liabilities: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Trailing Fee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7"/>
                <w:szCs w:val="17"/>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r>
    </w:tbl>
    <w:p>
      <w:pPr>
        <w:spacing w:after="0" w:line="681"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line="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pays certain bank partners monthly trailing fees based on the amount and timing of principal and interest payments made by borrowers of the underlying loans. As of December 31, 2022 and 2023, the Company held trailing fee liabilities of $4.9 million and $4.3 million, respectively.</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trailing fee liabilities:</w:t>
      </w:r>
    </w:p>
    <w:p>
      <w:pPr>
        <w:sectPr>
          <w:pgSz w:w="11900" w:h="16838" w:orient="portrait"/>
          <w:cols w:equalWidth="0" w:num="1">
            <w:col w:w="11240"/>
          </w:cols>
          <w:pgMar w:left="320" w:top="175" w:right="339" w:bottom="1440" w:gutter="0" w:footer="0" w:header="0"/>
          <w:type w:val="continuous"/>
        </w:sect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60" w:type="dxa"/>
            <w:vAlign w:val="bottom"/>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22.28 %</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12.80 %</w:t>
            </w:r>
          </w:p>
        </w:tc>
        <w:tc>
          <w:tcPr>
            <w:tcW w:w="0" w:type="dxa"/>
            <w:vAlign w:val="bottom"/>
          </w:tcPr>
          <w:p>
            <w:pPr>
              <w:spacing w:after="0"/>
              <w:rPr>
                <w:sz w:val="1"/>
                <w:szCs w:val="1"/>
                <w:color w:val="auto"/>
              </w:rPr>
            </w:pPr>
          </w:p>
        </w:tc>
      </w:tr>
      <w:tr>
        <w:trPr>
          <w:trHeight w:val="230"/>
        </w:trPr>
        <w:tc>
          <w:tcPr>
            <w:tcW w:w="22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Credit risk rate </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18.43 %</w:t>
            </w:r>
          </w:p>
        </w:tc>
        <w:tc>
          <w:tcPr>
            <w:tcW w:w="0" w:type="dxa"/>
            <w:vAlign w:val="bottom"/>
          </w:tcPr>
          <w:p>
            <w:pPr>
              <w:spacing w:after="0"/>
              <w:rPr>
                <w:sz w:val="1"/>
                <w:szCs w:val="1"/>
                <w:color w:val="auto"/>
              </w:rPr>
            </w:pPr>
          </w:p>
        </w:tc>
      </w:tr>
      <w:tr>
        <w:trPr>
          <w:trHeight w:val="30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Prepayment rate </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93.43 %</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0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14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8"/>
        </w:trPr>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12.88 %</w:t>
            </w:r>
          </w:p>
        </w:tc>
        <w:tc>
          <w:tcPr>
            <w:tcW w:w="0" w:type="dxa"/>
            <w:vAlign w:val="bottom"/>
          </w:tcPr>
          <w:p>
            <w:pPr>
              <w:spacing w:after="0"/>
              <w:rPr>
                <w:sz w:val="1"/>
                <w:szCs w:val="1"/>
                <w:color w:val="auto"/>
              </w:rPr>
            </w:pPr>
          </w:p>
        </w:tc>
      </w:tr>
      <w:tr>
        <w:trPr>
          <w:trHeight w:val="230"/>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17.61 %</w:t>
            </w:r>
          </w:p>
        </w:tc>
        <w:tc>
          <w:tcPr>
            <w:tcW w:w="0" w:type="dxa"/>
            <w:vAlign w:val="bottom"/>
          </w:tcPr>
          <w:p>
            <w:pPr>
              <w:spacing w:after="0"/>
              <w:rPr>
                <w:sz w:val="1"/>
                <w:szCs w:val="1"/>
                <w:color w:val="auto"/>
              </w:rPr>
            </w:pPr>
          </w:p>
        </w:tc>
      </w:tr>
      <w:tr>
        <w:trPr>
          <w:trHeight w:val="234"/>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0" w:type="dxa"/>
            <w:vAlign w:val="bottom"/>
          </w:tcPr>
          <w:p>
            <w:pPr>
              <w:spacing w:after="0"/>
              <w:rPr>
                <w:sz w:val="1"/>
                <w:szCs w:val="1"/>
                <w:color w:val="auto"/>
              </w:rPr>
            </w:pPr>
          </w:p>
        </w:tc>
      </w:tr>
    </w:tbl>
    <w:p>
      <w:pPr>
        <w:spacing w:after="0" w:line="1277" w:lineRule="exact"/>
        <w:rPr>
          <w:sz w:val="20"/>
          <w:szCs w:val="20"/>
          <w:color w:val="auto"/>
        </w:rPr>
      </w:pPr>
    </w:p>
    <w:p>
      <w:pPr>
        <w:sectPr>
          <w:pgSz w:w="11900" w:h="16838" w:orient="portrait"/>
          <w:cols w:equalWidth="0" w:num="2">
            <w:col w:w="6700" w:space="100"/>
            <w:col w:w="4440"/>
          </w:cols>
          <w:pgMar w:left="320" w:top="175" w:right="339" w:bottom="1440" w:gutter="0" w:footer="0" w:header="0"/>
          <w:type w:val="continuous"/>
        </w:sectPr>
      </w:pP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trailing fee liabilities to adverse changes in key assumptions would not result in a material impact on the Company’s financial position or results of operations.</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trailing fee liabilities classified by the Company within Level 3 of the fair value hierarchy: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Trailing Fee</w:t>
            </w:r>
          </w:p>
        </w:tc>
      </w:tr>
      <w:tr>
        <w:trPr>
          <w:trHeight w:val="241"/>
        </w:trPr>
        <w:tc>
          <w:tcPr>
            <w:tcW w:w="9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2021, the Company completed its acquisition of Prodigy Software, Inc. (“Prodigy”). Prodigy provided a modern multi-channel car buying experience, helping dealerships serve consumers with a holistic software solution that integrates legacy systems. The acquisition enabled the launch of Upstart Auto Retail software, a cloud-based solution that enables dealerships to provide consumers with access to Upstart-powered auto loans by combining Prodigy Software and Upstart intellectual property.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total consideration the Company provided for Prodigy was $89.0 million, comprised of the following:</w:t>
            </w: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9"/>
        </w:trPr>
        <w:tc>
          <w:tcPr>
            <w:tcW w:w="88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April 8, 2021</w:t>
            </w:r>
          </w:p>
        </w:tc>
      </w:tr>
      <w:tr>
        <w:trPr>
          <w:trHeight w:val="223"/>
        </w:trPr>
        <w:tc>
          <w:tcPr>
            <w:tcW w:w="8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 of Upstart common stock issued to Prodigy stockholders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70,121</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to common and preferred stockholders, warrant holders, and vested option holders</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assumed Prodigy options attributable to pre-combination service period</w:t>
            </w: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Transactions costs paid by Upstart on behalf of Prodigy</w:t>
            </w: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8" w:lineRule="auto"/>
        <w:tabs>
          <w:tab w:leader="none" w:pos="35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based on 568,539 shares of Company common stock at $123.33 per share, the closing stock price on April 8, 2021, and 87,339 shares are held in escrow as security for certain indemnification obligations of former Prodigy stockholders.</w:t>
      </w:r>
    </w:p>
    <w:p>
      <w:pPr>
        <w:spacing w:after="0" w:line="20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Excluded from the total purchase consideration above are 82,201 shares of the Company’s restricted common stock (“restricted stock”) with a fair value of $10.1 million issued to certain Prodigy employees. As of the year ended December 31, 2023, all restricted stock was fully lapsed. Refer to “</w:t>
      </w:r>
      <w:r>
        <w:rPr>
          <w:rFonts w:ascii="Times New Roman" w:cs="Times New Roman" w:eastAsia="Times New Roman" w:hAnsi="Times New Roman"/>
          <w:sz w:val="18"/>
          <w:szCs w:val="18"/>
          <w:i w:val="1"/>
          <w:iCs w:val="1"/>
          <w:color w:val="auto"/>
        </w:rPr>
        <w:t>Note</w:t>
      </w:r>
    </w:p>
    <w:p>
      <w:pPr>
        <w:ind w:left="260" w:hanging="252"/>
        <w:spacing w:after="0"/>
        <w:tabs>
          <w:tab w:leader="none" w:pos="26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further information.</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The purchase consideration was allocated to the tangible and intangible assets and liabilities acquired as of the acquisition date, with the excess recorded to goodwill. The values assigned to the assets acquired and liabilities assumed were based on estimates of fair value available to us as of the date of acquisition, and adjusted during the measurement period, which ended on January 1,</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2022. No material adjustments to the fair value of assets and liabilities were made during the measurement period. Refer to “</w:t>
      </w:r>
      <w:r>
        <w:rPr>
          <w:rFonts w:ascii="Times New Roman" w:cs="Times New Roman" w:eastAsia="Times New Roman" w:hAnsi="Times New Roman"/>
          <w:sz w:val="18"/>
          <w:szCs w:val="18"/>
          <w:i w:val="1"/>
          <w:iCs w:val="1"/>
          <w:color w:val="auto"/>
        </w:rPr>
        <w:t>Note 8.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for further information.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acquisition-related costs of $1.2 million in the year ended December 31, 2021, which are included in the general and administrative expense in the consolidated statement of operations and comprehensive income (loss). No acquisition-related costs were incurred during the year ended December 31, 2022 and 2023.</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included the financial results of the acquired business in our consolidated financial statements from the date of acquisition. These revenues and expenses were immaterial for the year ended December 31, 2021. Pro forma results of operations have not been presented because the effects of this acquisition were not material to our financial results.</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w:t>
        <w:tab/>
        <w:t>Goodwill and Intangible Assets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and 2023, there were no changes in the carrying amount of goodwill of $67.1 million on the Company’s consolidated balance sheets.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developed technology and customer relationships, and are recorded net of amortization and included within other assets on the consolidated balance sheets. The gross and net carrying values and accumulated amortization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$3.2 million, $4.3 million and $4.3 million for the year ended December 31, 2021, 2022, and 2023,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December 31, 2023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r>
      <w:tr>
        <w:trPr>
          <w:trHeight w:val="248"/>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8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9.  Balance Sheet Components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4"/>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 and other receivables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4. Derivative Financial Instruments”</w:t>
      </w:r>
      <w:r>
        <w:rPr>
          <w:rFonts w:ascii="Times New Roman" w:cs="Times New Roman" w:eastAsia="Times New Roman" w:hAnsi="Times New Roman"/>
          <w:sz w:val="14"/>
          <w:szCs w:val="14"/>
          <w:color w:val="auto"/>
        </w:rPr>
        <w:t xml:space="preserve"> for further information.</w:t>
      </w:r>
    </w:p>
    <w:p>
      <w:pPr>
        <w:spacing w:after="0" w:line="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8. Goodwill and Intangible Assets</w:t>
      </w:r>
      <w:r>
        <w:rPr>
          <w:rFonts w:ascii="Times New Roman" w:cs="Times New Roman" w:eastAsia="Times New Roman" w:hAnsi="Times New Roman"/>
          <w:sz w:val="14"/>
          <w:szCs w:val="14"/>
          <w:color w:val="auto"/>
        </w:rPr>
        <w:t>” for further information.</w:t>
      </w:r>
    </w:p>
    <w:p>
      <w:pPr>
        <w:spacing w:after="0" w:line="246"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Servicing fees and other receivables represent amounts recognized as revenue but not yet collected in relation to servicing and other agreements with institutional investors and lending partners.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4"/>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80,104</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(37,449)</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2022 and 2023, depreciation and amortization expense on property, equipment, and software was $4.2 million, $13.5 million, and $20.6 million, respectively. Capitalized internally developed software balances, net of accumulated amortization, were $27.4 million and $31.3 million as of December 31, 2022 and 2023, respectively. The Company also recognized impairment charges to internally developed software of $2.6 million during the year ended December 31, 2023 as a result of the January 2023 Plan. Refer to “</w:t>
      </w:r>
      <w:r>
        <w:rPr>
          <w:rFonts w:ascii="Times New Roman" w:cs="Times New Roman" w:eastAsia="Times New Roman" w:hAnsi="Times New Roman"/>
          <w:sz w:val="18"/>
          <w:szCs w:val="18"/>
          <w:i w:val="1"/>
          <w:iCs w:val="1"/>
          <w:color w:val="auto"/>
        </w:rPr>
        <w:t>Note 16. Reorganization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for more information. There were no impairments of long-lived assets during the year ended December 31, 2022.</w:t>
      </w: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4"/>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28,099</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liability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(at fair value)</w:t>
            </w: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servicing liabilities (at fair value)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w:t>
        <w:tab/>
        <w:t>Borrowings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debt mentioned in this note that are included in the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Borrowings</w:t>
            </w:r>
          </w:p>
        </w:tc>
      </w:tr>
      <w:tr>
        <w:trPr>
          <w:trHeight w:val="214"/>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336,452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661,250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997,702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1,048,675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(11,308)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986,394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Upstart Loan Trust Warehouse Credit Facility</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2015, the Company’s consolidated VIE,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the ULT Warehouse Credit Facility provides an aggregate of $250.0 million financing capacity of which $175.0 million is committed and $75.0 million is uncommitted. ULT may borrow up to this capacity until the earlier of June 15, 2025 or the occurrence of an accelerated amortization event. Accelerated amortization events include, but are not limited to, failure to satisfy certain loan performance metrics or the occurrence of an event of default. The proceeds may only be used to purchase unsecured personal loans and to pay fees and expenses related to the credit facility. The ULT Warehouse Credit Facility matures on the earlier of June 15, 2026 or acceleration of the facility following an event of default, upon which date 100% of the outstanding principal amount, together with any accrued and unpaid interest, becomes due and payable. The ULT Warehouse Credit Facility bears a floating interest rate of Compounded Secured Overnight Financing Rate (“SOFR”) plus a spread ranging from 2.75% to 4.13% per annum, due and payable monthly in arrears. The Company is also subject to a monthly unused fee ranging from 0.15% to 1.00% per annum</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undrawn balance. The maximum advance rate under the ULT Warehouse Credit Facility on outstanding principal of loans held by ULT was 72.5% as of December 31, 2022 and 2023.</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2023, ULT entered into an interest rate cap agreement intended to protect against exposure to changes in cash flows attributable to interest rate risk on the warehouse facility. Refer to “</w:t>
      </w:r>
      <w:r>
        <w:rPr>
          <w:rFonts w:ascii="Times New Roman" w:cs="Times New Roman" w:eastAsia="Times New Roman" w:hAnsi="Times New Roman"/>
          <w:sz w:val="18"/>
          <w:szCs w:val="18"/>
          <w:i w:val="1"/>
          <w:iCs w:val="1"/>
          <w:color w:val="auto"/>
        </w:rPr>
        <w:t>Note 4. Derivative Financial Instruments</w:t>
      </w:r>
      <w:r>
        <w:rPr>
          <w:rFonts w:ascii="Times New Roman" w:cs="Times New Roman" w:eastAsia="Times New Roman" w:hAnsi="Times New Roman"/>
          <w:sz w:val="18"/>
          <w:szCs w:val="18"/>
          <w:color w:val="auto"/>
        </w:rPr>
        <w:t>” for further details related to the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ULT Warehouse Credit Facility contains certain financial covenants. As of December 31, 2022 and 2023,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aggregate balances held by ULT that were pledged as collateral for the ULT Warehouse Credit Facility and included in loans at fair value and restricted cash in the 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ULT Warehouse Credit Facility</w:t>
            </w:r>
          </w:p>
        </w:tc>
      </w:tr>
      <w:tr>
        <w:trPr>
          <w:trHeight w:val="230"/>
        </w:trPr>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19"/>
                <w:szCs w:val="19"/>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247,942</w:t>
            </w:r>
          </w:p>
        </w:tc>
      </w:tr>
      <w:tr>
        <w:trPr>
          <w:trHeight w:val="25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outstanding principal of loans pledged as collateral</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350,396</w:t>
            </w: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fair value of loans purchased and held by ULT</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356,109</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pledged as collateral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Upstart Auto Warehouse Trust Credit Facility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2021, the Company’s consolidated VIE, UAWT, entered into a revolving credit and security agreement with a third-party lender (the “UAWT Warehouse Credit Facility”). The credit and security agreement for the UAWT Warehouse Credit Facility was amended and restated in its entirety in August 2022 and has been further amended from time to time.</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31, 2023, UAWT entered into the Omnibus Amendment to the Credit Agreement with the existing third-party lender which extended the last date by which UAWT may make a drawdown from its existing $200 million UAWT Warehouse Credit Facility until the earlier of June 2024 or an accelerated amortization event. An accelerated amortization event includes, but is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June 2025, at which time all outstanding amounts owed must be repaid. As of December 31, 2023 the UAWT Warehouse Credit Facility bears interest per annum at a rate equivalent to the weighted-average cost of commercial paper notes issued by the lender (the “UAWT Benchmark Rate”), plus a spread ranging from 3.0% to 4.0%, and the maximum advance rate under the credit facility on outstanding principal of loans held by UAWT was 82.5% as of December 31, 2022 and 72.5% as of December 31, 2023. All other key terms of the Omnibus Amendment to the Credit Agreement were the same as those as of December 31, 2022.</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2023, UAWT entered into an interest rate cap agreement intended to protect against exposure to changes in cash flows attributable to interest rate risk on the warehouse facility. Refer to “</w:t>
      </w:r>
      <w:r>
        <w:rPr>
          <w:rFonts w:ascii="Times New Roman" w:cs="Times New Roman" w:eastAsia="Times New Roman" w:hAnsi="Times New Roman"/>
          <w:sz w:val="18"/>
          <w:szCs w:val="18"/>
          <w:i w:val="1"/>
          <w:iCs w:val="1"/>
          <w:color w:val="auto"/>
        </w:rPr>
        <w:t>Note 4. Derivative Financial Instruments</w:t>
      </w:r>
      <w:r>
        <w:rPr>
          <w:rFonts w:ascii="Times New Roman" w:cs="Times New Roman" w:eastAsia="Times New Roman" w:hAnsi="Times New Roman"/>
          <w:sz w:val="18"/>
          <w:szCs w:val="18"/>
          <w:color w:val="auto"/>
        </w:rPr>
        <w:t>” for further details related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UAWT Warehouse Credit Facility contains certain financial covenants. As of December 31, 2022 and 2023, UAWT was in compliance with all applicable covenants under the UAWT Warehouse Credit Facility. The creditors of UAWT have no recourse to the general credit of the Company, except for certain limited obligations of UAWT to its creditors that are guaranteed by the Company.</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aggregate balances held by UAWT that were pledged as collateral for the UAWT Warehouse Credit Facility and included in loans at fair value and restricted cash in the consolidated balance sheets as of December 31, 2022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UAWT Warehouse Credit Facility</w:t>
            </w:r>
          </w:p>
        </w:tc>
      </w:tr>
      <w:tr>
        <w:trPr>
          <w:trHeight w:val="230"/>
        </w:trPr>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19"/>
                <w:szCs w:val="19"/>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139,483</w:t>
            </w:r>
          </w:p>
        </w:tc>
      </w:tr>
      <w:tr>
        <w:trPr>
          <w:trHeight w:val="25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outstanding principal of loans pledged as collateral</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277,576</w:t>
            </w: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fair value of loans purchased and held by UAWT</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258,374</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pledged as collateral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any time prior to the close of business on the business day immediately preceding May 15, 2026 only under the following circumstances:</w:t>
      </w:r>
    </w:p>
    <w:p>
      <w:pPr>
        <w:spacing w:after="0" w:line="189" w:lineRule="exact"/>
        <w:rPr>
          <w:sz w:val="20"/>
          <w:szCs w:val="20"/>
          <w:color w:val="auto"/>
        </w:rPr>
      </w:pPr>
    </w:p>
    <w:p>
      <w:pPr>
        <w:jc w:val="both"/>
        <w:ind w:firstLine="656"/>
        <w:spacing w:after="0" w:line="266" w:lineRule="auto"/>
        <w:tabs>
          <w:tab w:leader="none" w:pos="9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Notes for each trading day of such five consecutive trading-day period was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98% of the product of the last reported sale price of the Common Stock and the conversion rate on each such trading day;</w:t>
      </w:r>
    </w:p>
    <w:p>
      <w:pPr>
        <w:spacing w:after="0" w:line="252" w:lineRule="exact"/>
        <w:rPr>
          <w:sz w:val="20"/>
          <w:szCs w:val="20"/>
          <w:color w:val="auto"/>
        </w:rPr>
      </w:pPr>
    </w:p>
    <w:p>
      <w:pPr>
        <w:ind w:firstLine="656"/>
        <w:spacing w:after="0" w:line="282" w:lineRule="auto"/>
        <w:tabs>
          <w:tab w:leader="none" w:pos="9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Notes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The Company recorded immaterial coupon interest expense for all years presented. The Company also recorded $1.4 million, $3.0 million, and $3.1 million for the year ended December 31, 2021, 2022, and 2023 respectively, of amortization of debt issuance costs within expense on convertible notes on the consolidated statements of operations and comprehensive income (loss). The effective interest rate of the Notes is 0.7%.</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Notes as of December 31, 2022 and 2023 was approximately $364.8 million and $488.7 million, respectively, which represent Level 2 valuations in the fair value hierarchy. The estimated fair value was determined based on the estimated or actual bids and offers of the Notes in an over-the-counter market. The carrying value of the Notes as of December 31, 2022 and 2023 was $649.9 million and $653.0 million, respectively.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 as of December 31,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320" w:type="dxa"/>
            <w:vAlign w:val="bottom"/>
            <w:tcBorders>
              <w:bottom w:val="single" w:sz="8" w:color="CCEEFF"/>
            </w:tcBorders>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139,483</w:t>
            </w: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909,192</w:t>
            </w: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1,048,675</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11.</w:t>
            </w:r>
          </w:p>
        </w:tc>
        <w:tc>
          <w:tcPr>
            <w:tcW w:w="8480" w:type="dxa"/>
            <w:vAlign w:val="bottom"/>
            <w:gridSpan w:val="2"/>
          </w:tcPr>
          <w:p>
            <w:pPr>
              <w:jc w:val="right"/>
              <w:ind w:right="667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40" w:type="dxa"/>
            <w:vAlign w:val="bottom"/>
          </w:tcPr>
          <w:p>
            <w:pPr>
              <w:spacing w:after="0"/>
              <w:rPr>
                <w:sz w:val="24"/>
                <w:szCs w:val="2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12,547,010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6,046,796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5,842,057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6,420,703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ESPP</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2,543,089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2,896,226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27,666,452</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27,468,577</w:t>
            </w:r>
          </w:p>
        </w:tc>
      </w:tr>
      <w:tr>
        <w:trPr>
          <w:trHeight w:val="20"/>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year ended December 31, 2023, the Company made no repurchases of common stock. As of</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$222.1 million remains available for future purchases of our common stock under the share repurchase program.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2012, the Company adopted the Equity Incentive Plan (“2012 Equity Incentive Plan”) authorizing the granting of incentive stock options (“ISOs”) and non-statutory stock options (“NSOs”) to eligible participants.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2020 Equity Incentive Plan authorizes granting of ISOs, NSOs, stock appreciation rights, restricted stock, restricted stock units, or RSUs, and performance awards.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2021 in an amount equal to the lesser of 15,000,000 shares or 5% of the outstanding shares of our common stock on the last day of our immediately preceding fiscal year.</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acquisition of Prodigy, the Company assumed the Prodigy Software, Inc. 2015 Stock Incentive Plan (the “Prodigy Plan”), under which certain unvested options under the Prodigy Plan were assumed by the Company. The assumed options are subject to the same terms and conditions that were applicable to them under the Prodigy Plan, except that (i) the assumed options relate to shares of Upstart’s common stock, and (ii) the number of shares of Upstart’s common stock was the result of an adjustment based upon a ratio as described further in the Registration Statement on Form S-8 filed with the SEC on April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24"/>
                <w:szCs w:val="24"/>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5"/>
                <w:szCs w:val="15"/>
                <w:color w:val="auto"/>
              </w:rPr>
            </w:pPr>
          </w:p>
        </w:tc>
        <w:tc>
          <w:tcPr>
            <w:tcW w:w="12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10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12,547,010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14.65</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77,289</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2,139,321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15.82</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(627,290)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33.41</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14.57</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December 31, 2023</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292,002</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8,754,026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December 31, 2023. The aggregate intrinsic value of options exercised for the year ended December 31, 2021, 2022 and 2023 was $1,391.7 million, $157.3 million, and $28.9 million respectively. The weighted-average grant date fair value of options granted during the year ended December 31, 2021, 2022 and 2023 was $62.06, $15.60, and $8.19 per share, respectively. The total fair value of options vested for the year ended December 31, 2021, 2022 and 2023 was $23.5 million, $23.2 million, and $34.7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stock-based compensation expense related to unvested stock options was $40.6 million, which is expected to be recognized over a remaining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2021, the Company amended an employee stock option agreement which resulted in a modification of the vesting of a certain number of option shares. The Company valued the amended stock options as of the modification date. Based on the Black-Scholes option pricing model, incremental stock-based compensation expense of $4.4 million resulting from the modification was recognized during the year ended December 31, 2021. The amendment had no impact for the years ended December 31, 2022 and 2023.</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to employees and nonemployees. RSUs vest upon satisfaction of a service-based condition, which is generally satisfied over one to four years. The following table summarizes RSU activity for the year ended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6,046,796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4,049,756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(3,170,158)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stock-based compensation expense related to outstanding unvested RSUs was $150.1 million, which is expected to be recognized over a remaining weighted-average period of 2.0 years.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Prodigy acquisition in April 2021, 82,201 shares of the Company’s restricted stock with a fair value of $10.1 million were issued to certain Prodigy employees. The restricted stock is subject to transfer restrictions and a repurchase option and is contingent upon the employees' continued employment with the Company. The restricted stock is subject to restrictions which lapse on a quarterly basis over two years from the time of the Prodigy acquisition, refer to </w:t>
      </w:r>
      <w:r>
        <w:rPr>
          <w:rFonts w:ascii="Times New Roman" w:cs="Times New Roman" w:eastAsia="Times New Roman" w:hAnsi="Times New Roman"/>
          <w:sz w:val="18"/>
          <w:szCs w:val="18"/>
          <w:i w:val="1"/>
          <w:iCs w:val="1"/>
          <w:color w:val="auto"/>
        </w:rPr>
        <w:t>Note 7. Acquisitions</w:t>
      </w:r>
      <w:r>
        <w:rPr>
          <w:rFonts w:ascii="Times New Roman" w:cs="Times New Roman" w:eastAsia="Times New Roman" w:hAnsi="Times New Roman"/>
          <w:sz w:val="18"/>
          <w:szCs w:val="18"/>
          <w:color w:val="auto"/>
        </w:rPr>
        <w:t xml:space="preserve"> for further information. During the year ended December 31, 2023, 10,271 shares of restricted stock with a weighted-average grant date value of $123.33 per share fully lapsed and there was no unrecognized stock-based compensation expense as of December 31, 2023.</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2023, the Company’s Compensation Committee of the Board of Directors approved the cancellation of PRSUs that may be settled for 687,500 shares of the Company’s common stock granted to an executive in February 2022.</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 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2023 Executive Bonus Plan with an annual target bonus opportunity equal to 75% of the executive’s annual base salary.</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consolidated statements of operations and comprehensive income (loss) for the year ended December 31, 2023.</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year ended December 31, 2023, 459,459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total unrecognized stock-based compensation expense related to the ESPP was immaterial.</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20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20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–Because the Company has not had an active trading market for its common stock for a sufficient period of time,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estimated based on the average volatility for comparable publicly-traded companies, over a period equal to the expected term of the stock option grants.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9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9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65.01%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52.96%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53.76%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4.86%</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20"/>
                <w:szCs w:val="20"/>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February 2022 PRSUs granted: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6.9</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48.43%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1.89%</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w:t>
            </w:r>
          </w:p>
        </w:tc>
      </w:tr>
      <w:tr>
        <w:trPr>
          <w:trHeight w:val="535"/>
        </w:trPr>
        <w:tc>
          <w:tcPr>
            <w:tcW w:w="7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73"/>
        </w:trPr>
        <w:tc>
          <w:tcPr>
            <w:tcW w:w="518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6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0.5 - 0.6</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61.65% - 152.95%</w:t>
            </w:r>
          </w:p>
        </w:tc>
        <w:tc>
          <w:tcPr>
            <w:tcW w:w="2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91.98% - 179.35%</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97.74% - 131.05%</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0.05% - 0.09%</w:t>
            </w: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 - 3.13%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4.97% - 5.55%</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consolidated statements of operations and comprehensive income (loss) for employees and nonemployees: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110,381</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45,809</w:t>
            </w:r>
          </w:p>
        </w:tc>
      </w:tr>
      <w:tr>
        <w:trPr>
          <w:trHeight w:val="248"/>
        </w:trPr>
        <w:tc>
          <w:tcPr>
            <w:tcW w:w="6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12.</w:t>
        <w:tab/>
        <w:t>Leases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operating leases expire between 2027 and 2029 and are primarily for its corporate headquarters in San Mateo, California and Columbus, Ohio, as well as additional office space in Columbus, Ohio and Austin, Texas. Certain leases have rent abatement, escalating rent payment provisions, lease renewal options,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tenant allowances. Rent expense is recognized on a straight-line basis over the non-cancelable lease term, except when it is reasonably certain that the renewal option will be exercised.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an amendment to partially terminate a portion of its leased office space in Columbus, Ohio. In connection with the amendment, the Company removed the extension option from the lease term as it was no longer reasonably certain to exercise such option. The Company also incurred a one-time termination fee of $7.0 million. The transaction was accounted for as a lease modification, which resulted in a decrease of the ROU asset and lease liability of $19.9 million and $21.2 million, respectively, and an immaterial gain on partial termination within other income (expense) on the consolidated statements of operations and comprehensive income (loss).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2023, future minimum lease payments are as follows: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73"/>
        </w:trPr>
        <w:tc>
          <w:tcPr>
            <w:tcW w:w="96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70,825</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have any material finance leases as of December 31, 2022 and had no finance leases as of December 31, 2023. The Company’s operating lease expense consists of rent and variable lease payments. Variable lease payments such as common area maintenance and parking fees, were included in operating expenses. Rent expense for the Company’s short-term leases was immaterial for the years presented. Operating lease expense was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r>
      <w:tr>
        <w:trPr>
          <w:trHeight w:val="223"/>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22,014</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capitalized</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operating lease right-of-use assets due to modification and other</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3"/>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reassessment events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(19,865)</w:t>
            </w:r>
          </w:p>
        </w:tc>
      </w:tr>
      <w:tr>
        <w:trPr>
          <w:trHeight w:val="554"/>
        </w:trPr>
        <w:tc>
          <w:tcPr>
            <w:tcW w:w="60" w:type="dxa"/>
            <w:vAlign w:val="bottom"/>
          </w:tcPr>
          <w:p>
            <w:pPr>
              <w:spacing w:after="0"/>
              <w:rPr>
                <w:sz w:val="24"/>
                <w:szCs w:val="24"/>
                <w:color w:val="auto"/>
              </w:rPr>
            </w:pPr>
          </w:p>
        </w:tc>
        <w:tc>
          <w:tcPr>
            <w:tcW w:w="77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4"/>
        </w:trPr>
        <w:tc>
          <w:tcPr>
            <w:tcW w:w="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 w:type="dxa"/>
            <w:vAlign w:val="bottom"/>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r>
      <w:tr>
        <w:trPr>
          <w:trHeight w:val="234"/>
        </w:trPr>
        <w:tc>
          <w:tcPr>
            <w:tcW w:w="6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5.11%</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313"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13.</w:t>
        <w:tab/>
        <w:t>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2022 and 2023, the total loan purchase commitment included outstanding principal balance of $17.8 million and $36.6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2022 and 2023, no loss contingency has been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consolidated financial statements.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under this obligation is the outstanding balances of the loans sold to the institutional investors, which at December 31, 2022 and 2023 is $15,551.1 million and $12,208.1 million, respectively. Actual payments made relating to the Company’s repurchase and indemnification obligations were immaterial.</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material contingent liabilities related to future loan repurchase obligations as of December 31, 2022 and 2023. These amounts are included in accrued expenses and other liabilities on the Company’s consolidated balance sheets.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 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On November 7, 2023, the Upstart defendants filed a motion for reconsideration, which has now been fully briefed and is awaiting decision by the Court. The Company believes the remaining claims in the Crain action are without merit and intends to defend itself vigorously.</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Crain securities class action.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Crain securities class action.</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Crain securities class action.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3023, in response to a motion to stay by the defendants in the Okhai action, the Court stayed the Okhai action until resolution of the motion to dismiss in the related Crain securities class action. Following the issuance of the September 29, 2023 order on the motion to dismiss in the related Crain securities class action, on November 16, 2023, in response to a joint stipulation and proposed order submitted by the parties, the Court stayed the Okhai action until resolution of a motion for reconsideration of the September 29, 2023 order on the motion to dismiss in the related Crain securities class action.</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13, 2023, a sixth derivative lawsuit was filed, in the Court of Chancery of the State of Delaware, captioned Romanyshyn v. Girouard, et al., C.A. No. 2023-1029-SG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until resolution of the motion to stay in the related Okhai derivative action.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2023-1075-SG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until resolution of the motion to stay in the related Okhai derivative action.</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199" w:lineRule="exact"/>
        <w:rPr>
          <w:sz w:val="20"/>
          <w:szCs w:val="20"/>
          <w:color w:val="auto"/>
        </w:rPr>
      </w:pPr>
    </w:p>
    <w:p>
      <w:pPr>
        <w:ind w:left="9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Income before income taxes consisted entirely of income from domestic operations of $133.7 million for the year ended December 31, 2021. Loss before income taxes consisted entirely of losses from domestic operations of, $109.1 million and $240.0 million for the calendar year ended December 31, 2022 and 2023, respectively. Income tax (benefit) expense included in the statements of operations and comprehensive income (loss)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Income tax expense differed from the amount computed by applying the Federal statutory income tax rate of 21% to net income (loss) before income taxes for the year ended December 31, 2023 as a result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(50,405)</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 loan forgiveness (CARES Act)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return to tax provision adjustment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Company’s deferred tax assets and liabilities related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304,879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328,511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54,335</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 transactions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476,560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(387,976)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(443,165)</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 – net of valuation allowance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33,395</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rights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Management believes that, based on available evidence, both positive and negative, it is more likely than not that the deferred tax assets will not be utilized, and as such the Company maintains a full valuation allowance at December 31, 2023. The valuation allowance increased by $55.2 million for the year ended December 31, 2023 primarily as a result of current year activities and the capitalization of research and experimental activities.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approximately $1,069.2 million and $1,528.1 million of federal and state (post-apportioned) net operating losses (NOL), that will begin to expire in 2035 and 2034, respectively. The Company also has Federal and California research and development tax credits of $49.8 million and $21.7 million, respectively. The Federal research credits will begin to expire in 2032 and the California research credits have no expiration date. The Internal Revenue Code (“IRC”) limits the amount of NOL carryforwards that a company may use in a given year in the event of certain cumulative changes in ownership over a three-year period as described in Section 382 of the IRC. Utilization of NOL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The Company performed an ownership analysis and identified ownership changes in prior years, as defined under IRC Section 382 and 383, however neither resulted in a material limitation that will reduce the total amount of NOL carryforwards and credits that can be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gross unrecognized tax benefits is as follows: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61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1"/>
                <w:szCs w:val="2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positions related to the current year</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22,158</w:t>
            </w:r>
          </w:p>
        </w:tc>
      </w:tr>
      <w:tr>
        <w:trPr>
          <w:trHeight w:val="21"/>
        </w:trPr>
        <w:tc>
          <w:tcPr>
            <w:tcW w:w="6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recognized, all of the unrecognized tax benefits would not impact the effective tax rate due to the valuation allowance against certain deferred tax assets. As of December 31, 2023, the Company had $22.2 million unrecognized income tax benefits and there was an increase of $3.7 million to the Company’s unrecognized tax benefits during the year. The Company does not anticipate any significant increases or decreases to unrecognized tax benefits during the next twelve months.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income (loss) for the tax year ended December 31, 2023.</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local jurisdictions. The Company is not currently under examination by income tax authorities in federal, state, or local jurisdictions. However, because the Company has net operating losses and credits carried forward in several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200" w:lineRule="exact"/>
        <w:rPr>
          <w:sz w:val="20"/>
          <w:szCs w:val="20"/>
          <w:color w:val="auto"/>
        </w:rPr>
      </w:pPr>
    </w:p>
    <w:p>
      <w:pPr>
        <w:spacing w:after="0" w:line="226"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w:t>
        <w:tab/>
        <w:t>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per common share is based on the weighted-average common shares outstanding during the relevant year. Diluted net income (loss) per share is based on the weighted-average common shares outstanding during the relevant year adjusted for the dilutive effect of share-based awards and convertible debt. Basic and diluted net income (loss) per share are computed independently for each year presented, which involves the use of different weighted-average share count figures. As a result, and after factoring the effect of rounding to the nearest cent per share, the sum of each fiscal quarter-to-date basic and diluted net income (loss) per share may not equal year-to-date basic and diluted net income (loss) per share.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years in which the Company reports net losses, basic and diluted net loss per share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net income (loss) per</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basic</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78,106,359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2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net income (loss) per</w:t>
            </w:r>
          </w:p>
        </w:tc>
        <w:tc>
          <w:tcPr>
            <w:tcW w:w="3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94,772,641</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82,771,268</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diluted</w:t>
            </w: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income (loss) per share for the years presented, due to their anti-dilutive effect. These amounts represent the number of instruments outstanding at the end of each respective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74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2,318,078</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184,447</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PRSUs</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3,285,537</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21,700,781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20,654,173</w:t>
            </w:r>
          </w:p>
        </w:tc>
      </w:tr>
      <w:tr>
        <w:trPr>
          <w:trHeight w:val="20"/>
        </w:trPr>
        <w:tc>
          <w:tcPr>
            <w:tcW w:w="6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16.</w:t>
        <w:tab/>
        <w:t>Reorganization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$15.5 million of reorganization expenses in relation to the January 2023 plan, which primarily consisted of severance charges related to employee cash compensation, benefits, and associated taxes. As of December 31, 2023, the Company has made all cash payments to impacted employees.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17.</w:t>
        <w:tab/>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Annual Report on Form 10-K. Based on its evaluation, other than any items recorded or disclosed within the consolidated financial statement and related notes, including as discussed below, the Company has determined no subsequent events were required to be recognized or disclosed.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February 9, 2024, the Company signed an agreement with an investor to sell a pool of Upstart-powered core personal loans with an aggregate outstanding principal amount of $299.7 million. The total consideration in exchange for the loans include cash, and a right to receive additional cash amounts if credit performance of the loan pool is in line or exceeds initial expectations. In case of credit underperformance, the Company is obligated to make cash payments to the purchaser over time, subject to a certain cap. The Company plans to account for this sale under ASC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13, 2024, the Company obtained a waiver for breach in certain covenants related to the UAWT Warehouse Credit Facility for the January 2024 collection period and paid down $15.3 million of the outstanding advance on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4"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December 31, 2023,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8"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year ended December 31, 2023 that has materially affected, or is reasonably likely to materially affect, our internal control over financial reporting.</w:t>
      </w:r>
    </w:p>
    <w:p>
      <w:pPr>
        <w:spacing w:after="0" w:line="19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Our management, including our Chief Executive Officer and Chief Financial Officer, assessed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its evaluation under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our management concluded that our internal control over financial reporting was effective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Deloitte &amp; Touche LLP, an independent registered public accounting firm, as stated in their report which appears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Upstart Holdings,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Upstart Holdings,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15, 2024, expressed an unqualified opinion on those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the following officer (as defined in Rule 16a-1(f) of the Exchange Act) of the Company has adopted a contract, instruction or written plan for the sale of securities of the Company intended to satisfy the affirmative defense conditions of Rule 10b5–1(c)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Natalia Mirgorodskaya, Corporate Controller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November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31, 2024 or earlier if all transactions under the trading arrangement are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securities to be sold from time to time: up to 13,688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Code of Ethics that incorporates our code of ethics applicable to all employees, including all directors and executive officers. Our Code of Ethics is published on our Investor Relations website at ir.upstart.com under “Governance.” We intend to satisfy the disclosure requirement under Item 5.05 of Form 8-K regarding amendments to, or waiver from, a provision of the Company’s Code of Ethics by posting such information on the website address and location specified above.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2024 Annual Meeting of Stockholders, which will be filed with the SEC no later than 120 days after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set forth in our Proxy Statement and is incorporated herein by reference. The Proxy Statement will be filed with the SEC no later than 120 days after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8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4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 The Proxy Statement will be filed with the SEC no later than 120 days after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 The Proxy Statement will be filed with the SEC no later than 120 days after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2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accountant is Deloitte &amp; Touche, LLP. The information required by this item will be set forth in our Proxy Statement and is incorporated herein by reference. The Proxy Statement will be filed with the SEC no later than 120 days after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244"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Financial Statements</w:t>
      </w:r>
    </w:p>
    <w:p>
      <w:pPr>
        <w:spacing w:after="0" w:line="242"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6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81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3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113</w:t>
            </w:r>
          </w:p>
        </w:tc>
      </w:tr>
      <w:tr>
        <w:trPr>
          <w:trHeight w:val="245"/>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960" w:type="dxa"/>
            <w:vAlign w:val="bottom"/>
            <w:gridSpan w:val="2"/>
          </w:tcPr>
          <w:p>
            <w:pPr>
              <w:spacing w:after="0"/>
              <w:rPr>
                <w:sz w:val="21"/>
                <w:szCs w:val="21"/>
                <w:color w:val="auto"/>
              </w:rPr>
            </w:pPr>
          </w:p>
        </w:tc>
        <w:tc>
          <w:tcPr>
            <w:tcW w:w="3020" w:type="dxa"/>
            <w:vAlign w:val="bottom"/>
          </w:tcPr>
          <w:p>
            <w:pPr>
              <w:spacing w:after="0"/>
              <w:rPr>
                <w:sz w:val="21"/>
                <w:szCs w:val="21"/>
                <w:color w:val="auto"/>
              </w:rPr>
            </w:pPr>
          </w:p>
        </w:tc>
      </w:tr>
      <w:tr>
        <w:trPr>
          <w:trHeight w:val="194"/>
        </w:trPr>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6080" w:type="dxa"/>
            <w:vAlign w:val="bottom"/>
            <w:gridSpan w:val="6"/>
          </w:tcPr>
          <w:p>
            <w:pPr>
              <w:spacing w:after="0"/>
              <w:rPr>
                <w:sz w:val="16"/>
                <w:szCs w:val="16"/>
                <w:color w:val="auto"/>
              </w:rPr>
            </w:pPr>
          </w:p>
        </w:tc>
        <w:tc>
          <w:tcPr>
            <w:tcW w:w="3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115</w:t>
            </w:r>
          </w:p>
        </w:tc>
      </w:tr>
      <w:tr>
        <w:trPr>
          <w:trHeight w:val="210"/>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3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820" w:type="dxa"/>
            <w:vAlign w:val="bottom"/>
            <w:tcBorders>
              <w:top w:val="single" w:sz="8" w:color="0000FF"/>
            </w:tcBorders>
            <w:gridSpan w:val="2"/>
          </w:tcPr>
          <w:p>
            <w:pPr>
              <w:spacing w:after="0"/>
              <w:rPr>
                <w:sz w:val="18"/>
                <w:szCs w:val="18"/>
                <w:color w:val="auto"/>
              </w:rPr>
            </w:pPr>
          </w:p>
        </w:tc>
        <w:tc>
          <w:tcPr>
            <w:tcW w:w="280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300" w:type="dxa"/>
            <w:vAlign w:val="bottom"/>
            <w:gridSpan w:val="5"/>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9"/>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020" w:type="dxa"/>
            <w:vAlign w:val="bottom"/>
            <w:gridSpan w:val="4"/>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gridSpan w:val="31"/>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40" w:type="dxa"/>
            <w:vAlign w:val="bottom"/>
            <w:gridSpan w:val="3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740" w:type="dxa"/>
            <w:vAlign w:val="bottom"/>
            <w:tcBorders>
              <w:top w:val="single" w:sz="8" w:color="auto"/>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Amended and Restated Certificate of Incorporation.</w:t>
              </w:r>
            </w:hyperlink>
          </w:p>
        </w:tc>
        <w:tc>
          <w:tcPr>
            <w:tcW w:w="720" w:type="dxa"/>
            <w:vAlign w:val="bottom"/>
            <w:tcBorders>
              <w:top w:val="single" w:sz="8" w:color="auto"/>
            </w:tcBorders>
            <w:gridSpan w:val="1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Amended and Restated Bylaws.</w:t>
              </w:r>
            </w:hyperlink>
          </w:p>
        </w:tc>
        <w:tc>
          <w:tcPr>
            <w:tcW w:w="2160" w:type="dxa"/>
            <w:vAlign w:val="bottom"/>
            <w:gridSpan w:val="2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Investors’ Rights Agreement among</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the registrant and certain holders of its capital stock,</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as of December 31, 2018.</w:t>
              </w:r>
            </w:hyperlink>
          </w:p>
        </w:tc>
        <w:tc>
          <w:tcPr>
            <w:tcW w:w="1160" w:type="dxa"/>
            <w:vAlign w:val="bottom"/>
            <w:tcBorders>
              <w:top w:val="single" w:sz="8" w:color="0000FF"/>
            </w:tcBorders>
            <w:gridSpan w:val="10"/>
          </w:tcPr>
          <w:p>
            <w:pPr>
              <w:spacing w:after="0"/>
              <w:rPr>
                <w:sz w:val="17"/>
                <w:szCs w:val="17"/>
                <w:color w:val="auto"/>
              </w:rPr>
            </w:pPr>
          </w:p>
        </w:tc>
        <w:tc>
          <w:tcPr>
            <w:tcW w:w="7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Description of Capital Stock.</w:t>
              </w:r>
            </w:hyperlink>
          </w:p>
        </w:tc>
        <w:tc>
          <w:tcPr>
            <w:tcW w:w="2360" w:type="dxa"/>
            <w:vAlign w:val="bottom"/>
            <w:gridSpan w:val="3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Indenture, dated August 20, 2021, between the registrant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U.S. Bank National Association.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0.25% Convertible Senior Note due 2026 (included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 the indenture filed as Exhibit 4.4).</w:t>
              </w:r>
            </w:hyperlink>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Indemnification Agreement between the registrant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and each of its directors and executive officers.</w:t>
              </w:r>
            </w:hyperlink>
          </w:p>
        </w:tc>
        <w:tc>
          <w:tcPr>
            <w:tcW w:w="86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2020 Equity Incentive Plan and related form agreements</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Borders>
              <w:top w:val="single" w:sz="8" w:color="0000FF"/>
            </w:tcBorders>
            <w:gridSpan w:val="24"/>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2012 Stock Plan and related form agreements.</w:t>
              </w:r>
            </w:hyperlink>
          </w:p>
        </w:tc>
        <w:tc>
          <w:tcPr>
            <w:tcW w:w="4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Employee Incentive Compensation Plan.</w:t>
              </w:r>
            </w:hyperlink>
          </w:p>
        </w:tc>
        <w:tc>
          <w:tcPr>
            <w:tcW w:w="380" w:type="dxa"/>
            <w:vAlign w:val="bottom"/>
            <w:tcBorders>
              <w:top w:val="single" w:sz="8" w:color="0000FF"/>
            </w:tcBorders>
            <w:gridSpan w:val="2"/>
          </w:tcPr>
          <w:p>
            <w:pPr>
              <w:spacing w:after="0"/>
              <w:rPr>
                <w:sz w:val="19"/>
                <w:szCs w:val="19"/>
                <w:color w:val="auto"/>
              </w:rPr>
            </w:pPr>
          </w:p>
        </w:tc>
        <w:tc>
          <w:tcPr>
            <w:tcW w:w="114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2020 Employee Stock Purchase Plan.</w:t>
              </w:r>
            </w:hyperlink>
          </w:p>
        </w:tc>
        <w:tc>
          <w:tcPr>
            <w:tcW w:w="176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Prodigy Software, Inc. 2015 Stock Incentive Plan and related</w:t>
              </w:r>
            </w:hyperlink>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agreements</w:t>
              </w:r>
              <w:r>
                <w:rPr>
                  <w:rFonts w:ascii="Times New Roman" w:cs="Times New Roman" w:eastAsia="Times New Roman" w:hAnsi="Times New Roman"/>
                  <w:sz w:val="18"/>
                  <w:szCs w:val="18"/>
                  <w:color w:val="000000"/>
                </w:rPr>
                <w:t>.</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Executive Change in Control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Severance Policy and related participation.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8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Outside Director Compensation Policy.</w:t>
              </w:r>
            </w:hyperlink>
          </w:p>
        </w:tc>
        <w:tc>
          <w:tcPr>
            <w:tcW w:w="13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Employment Offer Letter, dated October 6, 2022, between</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Upstart Network, Inc. and Scott Darling.</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Sub-Sublease Agreement, dated April 1, 2019, between the</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registrant and Snowflake, Inc.</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Sublease, dated September 13, 2021, between Upstart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Network, Inc. and Open Text, Inc.</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TransUnion Master Agreement for</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Consumer Reporting and Ancillary Services, dated</w:t>
              </w:r>
            </w:hyperlink>
          </w:p>
        </w:tc>
        <w:tc>
          <w:tcPr>
            <w:tcW w:w="2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8"/>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34"/>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November 25, 2020, between Upstart Network, Inc. and</w:t>
              </w:r>
            </w:hyperlink>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TransUnion LLC.</w:t>
              </w:r>
            </w:hyperlink>
          </w:p>
        </w:tc>
        <w:tc>
          <w:tcPr>
            <w:tcW w:w="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12"/>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Amended and Restated Billing Agent Agreement, dated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November 25, 2020, between Upstart Network, Inc. and</w:t>
              </w:r>
            </w:hyperlink>
          </w:p>
        </w:tc>
        <w:tc>
          <w:tcPr>
            <w:tcW w:w="20" w:type="dxa"/>
            <w:vAlign w:val="bottom"/>
            <w:tcBorders>
              <w:bottom w:val="single" w:sz="8" w:color="0000FF"/>
            </w:tcBorders>
          </w:tcPr>
          <w:p>
            <w:pPr>
              <w:spacing w:after="0"/>
              <w:rPr>
                <w:sz w:val="15"/>
                <w:szCs w:val="15"/>
                <w:color w:val="auto"/>
              </w:rPr>
            </w:pPr>
          </w:p>
        </w:tc>
        <w:tc>
          <w:tcPr>
            <w:tcW w:w="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34"/>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Trans Union LLC.</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Capped Call Confirmation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List of subsidiaries of the registrant.</w:t>
            </w:r>
          </w:p>
        </w:tc>
        <w:tc>
          <w:tcPr>
            <w:tcW w:w="186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-5520055</wp:posOffset>
            </wp:positionV>
            <wp:extent cx="71323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-5202555</wp:posOffset>
            </wp:positionV>
            <wp:extent cx="713232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-4611370</wp:posOffset>
            </wp:positionV>
            <wp:extent cx="713232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300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299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557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32320" cy="557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40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28"/>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r>
      <w:tr>
        <w:trPr>
          <w:trHeight w:val="24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18, 2022</w:t>
            </w:r>
          </w:p>
        </w:tc>
      </w:tr>
      <w:tr>
        <w:trPr>
          <w:trHeight w:val="24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4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2020</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256"/>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 2021</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 2021</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46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12, 2021</w:t>
            </w:r>
          </w:p>
        </w:tc>
      </w:tr>
      <w:tr>
        <w:trPr>
          <w:trHeight w:val="23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2020</w:t>
            </w:r>
          </w:p>
        </w:tc>
      </w:tr>
      <w:tr>
        <w:trPr>
          <w:trHeight w:val="23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52"/>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3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333-255270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2021</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18, 2022</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r>
      <w:tr>
        <w:trPr>
          <w:trHeight w:val="25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5, 2020</w:t>
            </w:r>
          </w:p>
        </w:tc>
      </w:tr>
      <w:tr>
        <w:trPr>
          <w:trHeight w:val="472"/>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12, 2021</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87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 2021</w:t>
            </w:r>
          </w:p>
        </w:tc>
      </w:tr>
    </w:tbl>
    <w:p>
      <w:pPr>
        <w:sectPr>
          <w:pgSz w:w="11900" w:h="16838" w:orient="portrait"/>
          <w:cols w:equalWidth="0" w:num="2">
            <w:col w:w="5760" w:space="0"/>
            <w:col w:w="5480"/>
          </w:cols>
          <w:pgMar w:left="320" w:top="175"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75"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1760"/>
        <w:spacing w:after="0"/>
        <w:tabs>
          <w:tab w:leader="none" w:pos="4720" w:val="left"/>
          <w:tab w:leader="none" w:pos="5840" w:val="left"/>
          <w:tab w:leader="none" w:pos="7080" w:val="left"/>
          <w:tab w:leader="none" w:pos="854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-245110</wp:posOffset>
            </wp:positionV>
            <wp:extent cx="28803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 (included in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26035</wp:posOffset>
            </wp:positionV>
            <wp:extent cx="7132320" cy="4286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Exchange Act Rules 13a-14(a) and 15d-14(a), as adopted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18" w:lineRule="exact"/>
        <w:rPr>
          <w:sz w:val="20"/>
          <w:szCs w:val="20"/>
          <w:color w:val="auto"/>
        </w:rPr>
      </w:pPr>
    </w:p>
    <w:p>
      <w:pPr>
        <w:sectPr>
          <w:pgSz w:w="11900" w:h="16838" w:orient="portrait"/>
          <w:cols w:equalWidth="0" w:num="2">
            <w:col w:w="880" w:space="340"/>
            <w:col w:w="1002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6100" w:type="dxa"/>
            <w:vAlign w:val="bottom"/>
            <w:gridSpan w:val="6"/>
          </w:tcPr>
          <w:p>
            <w:pPr>
              <w:spacing w:after="0"/>
              <w:rPr>
                <w:sz w:val="18"/>
                <w:szCs w:val="18"/>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34"/>
        </w:trPr>
        <w:tc>
          <w:tcPr>
            <w:tcW w:w="12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7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0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0000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6000" w:type="dxa"/>
            <w:vAlign w:val="bottom"/>
            <w:tcBorders>
              <w:top w:val="single" w:sz="8" w:color="CCEE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Act</w:t>
            </w: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6"/>
              </w:rPr>
              <w:t>of 2002.</w:t>
            </w:r>
          </w:p>
        </w:tc>
        <w:tc>
          <w:tcPr>
            <w:tcW w:w="368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57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0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Compensation Recovery Policy.</w:t>
            </w:r>
          </w:p>
        </w:tc>
      </w:tr>
      <w:tr>
        <w:trPr>
          <w:trHeight w:val="21"/>
        </w:trPr>
        <w:tc>
          <w:tcPr>
            <w:tcW w:w="12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76"/>
        </w:trPr>
        <w:tc>
          <w:tcPr>
            <w:tcW w:w="1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6"/>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9"/>
        </w:trPr>
        <w:tc>
          <w:tcPr>
            <w:tcW w:w="12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9"/>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2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60" w:lineRule="auto"/>
        <w:tabs>
          <w:tab w:leader="none" w:pos="276" w:val="left"/>
        </w:tabs>
        <w:numPr>
          <w:ilvl w:val="0"/>
          <w:numId w:val="6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Portions of this exhibit (indicated by asterisk) have been excluded because such information is both (i) not material and (ii) would be competitively harmful if publicly disclosed.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February 15, 2024</w:t>
      </w:r>
    </w:p>
    <w:p>
      <w:pPr>
        <w:spacing w:after="0" w:line="2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83" w:lineRule="exact"/>
        <w:rPr>
          <w:sz w:val="20"/>
          <w:szCs w:val="20"/>
          <w:color w:val="auto"/>
        </w:rPr>
      </w:pPr>
    </w:p>
    <w:p>
      <w:pPr>
        <w:ind w:left="592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Dave Girouard</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Dave Girouard, Sanjay Datta and Scott Darling,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22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30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Dave Girouard</w:t>
            </w:r>
          </w:p>
        </w:tc>
        <w:tc>
          <w:tcPr>
            <w:tcW w:w="7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Dave Girouard</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Sanjay Datta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Sanjay Datta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Natalia Mirgorodskaya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Natalia Mirgorodskaya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Sukhinder Singh Cassidy</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Sukhinder Singh Cassidy</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Kerry Cooper</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Kerry Cooper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Gu</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Gu</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Hentges</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Hentges</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 Huber</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Huber</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Ciaran O’Kelly</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Ciaran O’Kelly</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Hilliard C. Terry III</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Hilliard C. Terry III</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20"/>
          </w:cols>
          <w:pgMar w:left="320" w:top="175" w:right="3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0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9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
        </w:trPr>
        <w:tc>
          <w:tcPr>
            <w:tcW w:w="312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Network, Inc.</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Loan Trust</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Loan Trust 2</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Auto Warehouse Trust</w:t>
            </w:r>
          </w:p>
        </w:tc>
        <w:tc>
          <w:tcPr>
            <w:tcW w:w="808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13" w:right="339" w:bottom="1440" w:gutter="0" w:footer="0" w:header="0"/>
        </w:sectPr>
      </w:pPr>
    </w:p>
    <w:bookmarkStart w:id="180" w:name="page181"/>
    <w:bookmarkEnd w:id="180"/>
    <w:p>
      <w:pPr>
        <w:spacing w:after="0" w:line="18" w:lineRule="exact"/>
        <w:rPr>
          <w:sz w:val="20"/>
          <w:szCs w:val="20"/>
          <w:color w:val="auto"/>
        </w:rPr>
      </w:pPr>
    </w:p>
    <w:p>
      <w:pPr>
        <w:jc w:val="right"/>
        <w:spacing w:after="0"/>
        <w:rPr>
          <w:sz w:val="20"/>
          <w:szCs w:val="20"/>
          <w:color w:val="auto"/>
        </w:rPr>
      </w:pPr>
      <w:r>
        <w:rPr>
          <w:rFonts w:ascii="Verdana" w:cs="Verdana" w:eastAsia="Verdana" w:hAnsi="Verdana"/>
          <w:sz w:val="18"/>
          <w:szCs w:val="18"/>
          <w:b w:val="1"/>
          <w:bCs w:val="1"/>
          <w:color w:val="auto"/>
        </w:rPr>
        <w:t>Exhibit 23</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CONSENT OF INDEPENDENT REGISTERED PUBLIC ACCOUNTING FIRM</w:t>
      </w:r>
    </w:p>
    <w:p>
      <w:pPr>
        <w:spacing w:after="0" w:line="213" w:lineRule="exact"/>
        <w:rPr>
          <w:sz w:val="20"/>
          <w:szCs w:val="20"/>
          <w:color w:val="auto"/>
        </w:rPr>
      </w:pPr>
    </w:p>
    <w:p>
      <w:pPr>
        <w:ind w:right="140"/>
        <w:spacing w:after="0" w:line="231" w:lineRule="auto"/>
        <w:rPr>
          <w:sz w:val="20"/>
          <w:szCs w:val="20"/>
          <w:color w:val="auto"/>
        </w:rPr>
      </w:pPr>
      <w:r>
        <w:rPr>
          <w:rFonts w:ascii="Verdana" w:cs="Verdana" w:eastAsia="Verdana" w:hAnsi="Verdana"/>
          <w:sz w:val="18"/>
          <w:szCs w:val="18"/>
          <w:color w:val="auto"/>
        </w:rPr>
        <w:t>We consent to the incorporation by reference in Registration Statement Nos. 333-269863, 333-262867, 333-255270 and 333-251388 on Form S-8 of our reports dated February 15, 2024, relating to the financial statements of Upstart Holdings, Inc. and the effectiveness of Upstart Holdings, Inc.’s internal control over financial reporting appearing in this Annual Report on Form 10-K for the year ended December 31, 2023.</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color w:val="auto"/>
        </w:rPr>
        <w:t>/s/ Deloitte &amp; Touche LLP</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San Francisco, California</w:t>
      </w:r>
    </w:p>
    <w:p>
      <w:pPr>
        <w:spacing w:after="0"/>
        <w:rPr>
          <w:sz w:val="20"/>
          <w:szCs w:val="20"/>
          <w:color w:val="auto"/>
        </w:rPr>
      </w:pPr>
      <w:r>
        <w:rPr>
          <w:rFonts w:ascii="Verdana" w:cs="Verdana" w:eastAsia="Verdana" w:hAnsi="Verdana"/>
          <w:sz w:val="18"/>
          <w:szCs w:val="18"/>
          <w:color w:val="auto"/>
        </w:rPr>
        <w:t>February 15, 2024</w:t>
      </w:r>
    </w:p>
    <w:p>
      <w:pPr>
        <w:sectPr>
          <w:pgSz w:w="11900" w:h="16838" w:orient="portrait"/>
          <w:cols w:equalWidth="0" w:num="1">
            <w:col w:w="11240"/>
          </w:cols>
          <w:pgMar w:left="320" w:top="1440"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580" w:space="360"/>
            <w:col w:w="9199"/>
          </w:cols>
          <w:pgMar w:left="320" w:top="1309" w:right="1440" w:bottom="1440" w:gutter="0" w:footer="0" w:header="0"/>
          <w:type w:val="continuous"/>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580" w:space="360"/>
            <w:col w:w="9199"/>
          </w:cols>
          <w:pgMar w:left="320" w:top="1309" w:right="1440" w:bottom="1440" w:gutter="0" w:footer="0" w:header="0"/>
          <w:type w:val="continuous"/>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Dave Girouard, certify, pursuant to 18 U.S.C. Section 1350, as adopted pursuant to Section 906 of the Sarbanes-Oxley Act of 2002, that the Annual Report on Form 10-K of Upstart Holdings, Inc. for the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February 15, 2024</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Dave Girouard</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310"/>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8"/>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Sanjay Datta, certify, pursuant to 18 U.S.C. Section 1350, as adopted pursuant to Section 906 of the Sarbanes-Oxley Act of 2002, that the Annual Report on Form 10-K of Upstart Holdings, Inc. for the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February 15,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Sanjay Datta</w:t>
            </w:r>
          </w:p>
        </w:tc>
      </w:tr>
      <w:tr>
        <w:trPr>
          <w:trHeight w:val="270"/>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ectPr>
          <w:pgSz w:w="11900" w:h="16838" w:orient="portrait"/>
          <w:cols w:equalWidth="0" w:num="1">
            <w:col w:w="11240"/>
          </w:cols>
          <w:pgMar w:left="320" w:top="1085"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0"/>
        <w:spacing w:after="0"/>
        <w:rPr>
          <w:sz w:val="20"/>
          <w:szCs w:val="20"/>
          <w:color w:val="auto"/>
        </w:rPr>
      </w:pPr>
      <w:r>
        <w:rPr>
          <w:rFonts w:ascii="Arial" w:cs="Arial" w:eastAsia="Arial" w:hAnsi="Arial"/>
          <w:sz w:val="19"/>
          <w:szCs w:val="19"/>
          <w:b w:val="1"/>
          <w:bCs w:val="1"/>
          <w:color w:val="auto"/>
        </w:rPr>
        <w:t>UPSTART HOLDINGS, INC.</w:t>
      </w:r>
    </w:p>
    <w:p>
      <w:pPr>
        <w:spacing w:after="0" w:line="187"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COMPENSATION RECOVERY POLICY</w:t>
      </w:r>
    </w:p>
    <w:p>
      <w:pPr>
        <w:spacing w:after="0" w:line="189"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Adopted on August 29, 2023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Upstart Holdings, Inc. (the “</w:t>
      </w:r>
      <w:r>
        <w:rPr>
          <w:rFonts w:ascii="Arial" w:cs="Arial" w:eastAsia="Arial" w:hAnsi="Arial"/>
          <w:sz w:val="19"/>
          <w:szCs w:val="19"/>
          <w:b w:val="1"/>
          <w:bCs w:val="1"/>
          <w:color w:val="auto"/>
        </w:rPr>
        <w:t>Company</w:t>
      </w:r>
      <w:r>
        <w:rPr>
          <w:rFonts w:ascii="Arial" w:cs="Arial" w:eastAsia="Arial" w:hAnsi="Arial"/>
          <w:sz w:val="19"/>
          <w:szCs w:val="19"/>
          <w:color w:val="auto"/>
        </w:rPr>
        <w:t>”) is committed to strong corporate governance. As part of this commitment, the</w:t>
      </w:r>
    </w:p>
    <w:p>
      <w:pPr>
        <w:spacing w:after="0" w:line="4"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has adopted this clawback policy called the Compensation Recovery Policy (the “</w:t>
      </w:r>
      <w:r>
        <w:rPr>
          <w:rFonts w:ascii="Arial" w:cs="Arial" w:eastAsia="Arial" w:hAnsi="Arial"/>
          <w:sz w:val="19"/>
          <w:szCs w:val="19"/>
          <w:b w:val="1"/>
          <w:bCs w:val="1"/>
          <w:color w:val="auto"/>
        </w:rPr>
        <w:t>Policy</w:t>
      </w:r>
      <w:r>
        <w:rPr>
          <w:rFonts w:ascii="Arial" w:cs="Arial" w:eastAsia="Arial" w:hAnsi="Arial"/>
          <w:sz w:val="19"/>
          <w:szCs w:val="19"/>
          <w:color w:val="auto"/>
        </w:rPr>
        <w:t>”). The Policy is intended to further the Company’s pay-for-performance philosophy and to comply with applicable law by providing for the reasonably prompt recovery of certain executive compensation in the event of an Accounting Restatement (as defined below).</w:t>
      </w:r>
    </w:p>
    <w:p>
      <w:pPr>
        <w:spacing w:after="0" w:line="16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The Policy is intended to comply with Section 10D of the Securities Exchange Act of 1934, as amended (the “</w:t>
      </w:r>
      <w:r>
        <w:rPr>
          <w:rFonts w:ascii="Arial" w:cs="Arial" w:eastAsia="Arial" w:hAnsi="Arial"/>
          <w:sz w:val="19"/>
          <w:szCs w:val="19"/>
          <w:b w:val="1"/>
          <w:bCs w:val="1"/>
          <w:color w:val="auto"/>
        </w:rPr>
        <w:t>Exchange</w:t>
      </w:r>
      <w:r>
        <w:rPr>
          <w:rFonts w:ascii="Arial" w:cs="Arial" w:eastAsia="Arial" w:hAnsi="Arial"/>
          <w:sz w:val="19"/>
          <w:szCs w:val="19"/>
          <w:color w:val="auto"/>
        </w:rPr>
        <w:t xml:space="preserve"> </w:t>
      </w:r>
      <w:r>
        <w:rPr>
          <w:rFonts w:ascii="Arial" w:cs="Arial" w:eastAsia="Arial" w:hAnsi="Arial"/>
          <w:sz w:val="19"/>
          <w:szCs w:val="19"/>
          <w:b w:val="1"/>
          <w:bCs w:val="1"/>
          <w:color w:val="auto"/>
        </w:rPr>
        <w:t>Act</w:t>
      </w:r>
      <w:r>
        <w:rPr>
          <w:rFonts w:ascii="Arial" w:cs="Arial" w:eastAsia="Arial" w:hAnsi="Arial"/>
          <w:sz w:val="19"/>
          <w:szCs w:val="19"/>
          <w:color w:val="auto"/>
        </w:rPr>
        <w:t>”), with Exchange Act Rule 10D-1 and with the listing standards of the national securities exchange (the “</w:t>
      </w:r>
      <w:r>
        <w:rPr>
          <w:rFonts w:ascii="Arial" w:cs="Arial" w:eastAsia="Arial" w:hAnsi="Arial"/>
          <w:sz w:val="19"/>
          <w:szCs w:val="19"/>
          <w:b w:val="1"/>
          <w:bCs w:val="1"/>
          <w:color w:val="auto"/>
        </w:rPr>
        <w:t>Exchange</w:t>
      </w:r>
      <w:r>
        <w:rPr>
          <w:rFonts w:ascii="Arial" w:cs="Arial" w:eastAsia="Arial" w:hAnsi="Arial"/>
          <w:sz w:val="19"/>
          <w:szCs w:val="19"/>
          <w:color w:val="auto"/>
        </w:rPr>
        <w:t>”) 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the securities of the Company are listed. The Policy shall be interpreted in a manner that is consistent with the requirements of</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Section 10D of the Exchange Act, Exchange Act Rule 10D-1 and with the listing standards of the Exchange, including any interpretive guidance provided by the Exchange.</w:t>
      </w:r>
    </w:p>
    <w:p>
      <w:pPr>
        <w:spacing w:after="0" w:line="15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In summary, the Policy provides rules related to the reasonably prompt recovery of certain incentive-based compensation received by Covered Executives (as defined below). The application of the Policy to Covered Executives is not discretionary, except</w:t>
      </w:r>
    </w:p>
    <w:p>
      <w:pPr>
        <w:spacing w:after="0" w:line="2" w:lineRule="exact"/>
        <w:rPr>
          <w:sz w:val="20"/>
          <w:szCs w:val="20"/>
          <w:color w:val="auto"/>
        </w:rPr>
      </w:pPr>
    </w:p>
    <w:p>
      <w:pPr>
        <w:ind w:right="2000"/>
        <w:spacing w:after="0" w:line="433" w:lineRule="auto"/>
        <w:rPr>
          <w:sz w:val="20"/>
          <w:szCs w:val="20"/>
          <w:color w:val="auto"/>
        </w:rPr>
      </w:pPr>
      <w:r>
        <w:rPr>
          <w:rFonts w:ascii="Arial" w:cs="Arial" w:eastAsia="Arial" w:hAnsi="Arial"/>
          <w:sz w:val="19"/>
          <w:szCs w:val="19"/>
          <w:color w:val="auto"/>
        </w:rPr>
        <w:t xml:space="preserve">to the limited extent provided below, and applies without regard to whether a Covered Executive was at fault. </w:t>
      </w:r>
      <w:r>
        <w:rPr>
          <w:rFonts w:ascii="Arial" w:cs="Arial" w:eastAsia="Arial" w:hAnsi="Arial"/>
          <w:sz w:val="19"/>
          <w:szCs w:val="19"/>
          <w:b w:val="1"/>
          <w:bCs w:val="1"/>
          <w:color w:val="auto"/>
        </w:rPr>
        <w:t>Persons Covered by the Policy</w:t>
      </w:r>
    </w:p>
    <w:p>
      <w:pPr>
        <w:spacing w:after="0" w:line="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9"/>
          <w:szCs w:val="19"/>
          <w:color w:val="262626"/>
        </w:rPr>
        <w:t>The Policy is binding and enforceable against all “</w:t>
      </w:r>
      <w:r>
        <w:rPr>
          <w:rFonts w:ascii="Arial" w:cs="Arial" w:eastAsia="Arial" w:hAnsi="Arial"/>
          <w:sz w:val="19"/>
          <w:szCs w:val="19"/>
          <w:b w:val="1"/>
          <w:bCs w:val="1"/>
          <w:color w:val="262626"/>
        </w:rPr>
        <w:t>Covered Executives</w:t>
      </w:r>
      <w:r>
        <w:rPr>
          <w:rFonts w:ascii="Arial" w:cs="Arial" w:eastAsia="Arial" w:hAnsi="Arial"/>
          <w:sz w:val="19"/>
          <w:szCs w:val="19"/>
          <w:color w:val="262626"/>
        </w:rPr>
        <w:t>,” which means all individuals who are or were ever designated as an “officer” by the Board in accordance with Exchange Act Rule 16a-1(f) (a “</w:t>
      </w:r>
      <w:r>
        <w:rPr>
          <w:rFonts w:ascii="Arial" w:cs="Arial" w:eastAsia="Arial" w:hAnsi="Arial"/>
          <w:sz w:val="19"/>
          <w:szCs w:val="19"/>
          <w:b w:val="1"/>
          <w:bCs w:val="1"/>
          <w:color w:val="262626"/>
        </w:rPr>
        <w:t>Section 16 Officer</w:t>
      </w:r>
      <w:r>
        <w:rPr>
          <w:rFonts w:ascii="Arial" w:cs="Arial" w:eastAsia="Arial" w:hAnsi="Arial"/>
          <w:sz w:val="19"/>
          <w:szCs w:val="19"/>
          <w:color w:val="262626"/>
        </w:rPr>
        <w:t>”). Each Covered</w:t>
      </w:r>
    </w:p>
    <w:p>
      <w:pPr>
        <w:jc w:val="both"/>
        <w:spacing w:after="0" w:line="224" w:lineRule="auto"/>
        <w:rPr>
          <w:sz w:val="20"/>
          <w:szCs w:val="20"/>
          <w:color w:val="auto"/>
        </w:rPr>
      </w:pPr>
      <w:r>
        <w:rPr>
          <w:rFonts w:ascii="Arial" w:cs="Arial" w:eastAsia="Arial" w:hAnsi="Arial"/>
          <w:sz w:val="19"/>
          <w:szCs w:val="19"/>
          <w:color w:val="262626"/>
        </w:rPr>
        <w:t>Executive will be required to sign and return to the Company an acknowledgement that such Covered Executive will be bound by the terms and comply with the Policy. The failure to obtain such acknowledgement shall have no impact on the applicability or enforceability of the Policy.</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Administration of the Policy</w:t>
      </w:r>
    </w:p>
    <w:p>
      <w:pPr>
        <w:spacing w:after="0" w:line="200"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9"/>
          <w:szCs w:val="19"/>
          <w:color w:val="auto"/>
        </w:rPr>
        <w:t>The Compensation Committee (the “</w:t>
      </w:r>
      <w:r>
        <w:rPr>
          <w:rFonts w:ascii="Arial" w:cs="Arial" w:eastAsia="Arial" w:hAnsi="Arial"/>
          <w:sz w:val="19"/>
          <w:szCs w:val="19"/>
          <w:b w:val="1"/>
          <w:bCs w:val="1"/>
          <w:color w:val="auto"/>
        </w:rPr>
        <w:t>Committee</w:t>
      </w:r>
      <w:r>
        <w:rPr>
          <w:rFonts w:ascii="Arial" w:cs="Arial" w:eastAsia="Arial" w:hAnsi="Arial"/>
          <w:sz w:val="19"/>
          <w:szCs w:val="19"/>
          <w:color w:val="auto"/>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independent members of the Board or another committee of the Board made up of independent members of the Board, in which case all references to the Committee shall be deemed to refer to the independent members of the Board or the other Board committee. All determinations of the Committee shall be final and binding and shall be given the maximum deference permitted by law.</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Accounting Restatements Requiring Application of the Policy</w:t>
      </w:r>
    </w:p>
    <w:p>
      <w:pPr>
        <w:spacing w:after="0" w:line="18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w:t>
      </w:r>
    </w:p>
    <w:p>
      <w:pPr>
        <w:jc w:val="both"/>
        <w:spacing w:after="0" w:line="239" w:lineRule="auto"/>
        <w:rPr>
          <w:sz w:val="20"/>
          <w:szCs w:val="20"/>
          <w:color w:val="auto"/>
        </w:rPr>
      </w:pPr>
      <w:r>
        <w:rPr>
          <w:rFonts w:ascii="Arial" w:cs="Arial" w:eastAsia="Arial" w:hAnsi="Arial"/>
          <w:sz w:val="19"/>
          <w:szCs w:val="19"/>
          <w:color w:val="auto"/>
        </w:rPr>
        <w:t>misstatement if the error were corrected in the current period or left uncorrected in the current period (an “</w:t>
      </w:r>
      <w:r>
        <w:rPr>
          <w:rFonts w:ascii="Arial" w:cs="Arial" w:eastAsia="Arial" w:hAnsi="Arial"/>
          <w:sz w:val="19"/>
          <w:szCs w:val="19"/>
          <w:b w:val="1"/>
          <w:b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color w:val="auto"/>
        </w:rPr>
        <w:t>Restatement</w:t>
      </w:r>
      <w:r>
        <w:rPr>
          <w:rFonts w:ascii="Arial" w:cs="Arial" w:eastAsia="Arial" w:hAnsi="Arial"/>
          <w:sz w:val="19"/>
          <w:szCs w:val="19"/>
          <w:color w:val="auto"/>
        </w:rPr>
        <w:t>”), then the Committee must determine what compensation, if any, must be recovered.</w:t>
      </w:r>
    </w:p>
    <w:p>
      <w:pPr>
        <w:sectPr>
          <w:pgSz w:w="11900" w:h="16838" w:orient="portrait"/>
          <w:cols w:equalWidth="0" w:num="1">
            <w:col w:w="11240"/>
          </w:cols>
          <w:pgMar w:left="320" w:top="108" w:right="339" w:bottom="1440" w:gutter="0" w:footer="0" w:header="0"/>
        </w:sectPr>
      </w:pPr>
    </w:p>
    <w:bookmarkStart w:id="187" w:name="page188"/>
    <w:bookmarkEnd w:id="187"/>
    <w:p>
      <w:pPr>
        <w:spacing w:after="0"/>
        <w:rPr>
          <w:sz w:val="20"/>
          <w:szCs w:val="20"/>
          <w:color w:val="auto"/>
        </w:rPr>
      </w:pPr>
      <w:r>
        <w:rPr>
          <w:rFonts w:ascii="Arial" w:cs="Arial" w:eastAsia="Arial" w:hAnsi="Arial"/>
          <w:sz w:val="19"/>
          <w:szCs w:val="19"/>
          <w:b w:val="1"/>
          <w:bCs w:val="1"/>
          <w:color w:val="auto"/>
        </w:rPr>
        <w:t>Compensation Covered by the Policy</w:t>
      </w:r>
    </w:p>
    <w:p>
      <w:pPr>
        <w:spacing w:after="0" w:line="18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 xml:space="preserve">The Policy applies to certain </w:t>
      </w:r>
      <w:r>
        <w:rPr>
          <w:rFonts w:ascii="Arial" w:cs="Arial" w:eastAsia="Arial" w:hAnsi="Arial"/>
          <w:sz w:val="19"/>
          <w:szCs w:val="19"/>
          <w:b w:val="1"/>
          <w:bCs w:val="1"/>
          <w:color w:val="auto"/>
        </w:rPr>
        <w:t>Incentive-Based Compensation</w:t>
      </w:r>
      <w:r>
        <w:rPr>
          <w:rFonts w:ascii="Arial" w:cs="Arial" w:eastAsia="Arial" w:hAnsi="Arial"/>
          <w:sz w:val="19"/>
          <w:szCs w:val="19"/>
          <w:color w:val="auto"/>
        </w:rPr>
        <w:t xml:space="preserve"> (certain terms used in this Section are defined below) that is </w:t>
      </w:r>
      <w:r>
        <w:rPr>
          <w:rFonts w:ascii="Arial" w:cs="Arial" w:eastAsia="Arial" w:hAnsi="Arial"/>
          <w:sz w:val="19"/>
          <w:szCs w:val="19"/>
          <w:b w:val="1"/>
          <w:bCs w:val="1"/>
          <w:color w:val="auto"/>
        </w:rPr>
        <w:t xml:space="preserve">Received </w:t>
      </w:r>
      <w:r>
        <w:rPr>
          <w:rFonts w:ascii="Arial" w:cs="Arial" w:eastAsia="Arial" w:hAnsi="Arial"/>
          <w:sz w:val="19"/>
          <w:szCs w:val="19"/>
          <w:color w:val="auto"/>
        </w:rPr>
        <w:t>on or after October 2, 2023 (the “</w:t>
      </w:r>
      <w:r>
        <w:rPr>
          <w:rFonts w:ascii="Arial" w:cs="Arial" w:eastAsia="Arial" w:hAnsi="Arial"/>
          <w:sz w:val="19"/>
          <w:szCs w:val="19"/>
          <w:b w:val="1"/>
          <w:bCs w:val="1"/>
          <w:color w:val="auto"/>
        </w:rPr>
        <w:t>Effective Date</w:t>
      </w:r>
      <w:r>
        <w:rPr>
          <w:rFonts w:ascii="Arial" w:cs="Arial" w:eastAsia="Arial" w:hAnsi="Arial"/>
          <w:sz w:val="19"/>
          <w:szCs w:val="19"/>
          <w:color w:val="auto"/>
        </w:rPr>
        <w:t>”), during the</w:t>
      </w:r>
      <w:r>
        <w:rPr>
          <w:rFonts w:ascii="Arial" w:cs="Arial" w:eastAsia="Arial" w:hAnsi="Arial"/>
          <w:sz w:val="19"/>
          <w:szCs w:val="19"/>
          <w:b w:val="1"/>
          <w:bCs w:val="1"/>
          <w:color w:val="auto"/>
        </w:rPr>
        <w:t xml:space="preserve"> Covered Period </w:t>
      </w:r>
      <w:r>
        <w:rPr>
          <w:rFonts w:ascii="Arial" w:cs="Arial" w:eastAsia="Arial" w:hAnsi="Arial"/>
          <w:sz w:val="19"/>
          <w:szCs w:val="19"/>
          <w:color w:val="auto"/>
        </w:rPr>
        <w:t>while the Company has a class of</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listed on a national securities exchange. Such Incentive-Based Compensation is considered “</w:t>
      </w:r>
      <w:r>
        <w:rPr>
          <w:rFonts w:ascii="Arial" w:cs="Arial" w:eastAsia="Arial" w:hAnsi="Arial"/>
          <w:sz w:val="19"/>
          <w:szCs w:val="19"/>
          <w:b w:val="1"/>
          <w:bCs w:val="1"/>
          <w:color w:val="auto"/>
        </w:rPr>
        <w:t>Clawback Eligible</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9"/>
          <w:szCs w:val="19"/>
          <w:b w:val="1"/>
          <w:bCs w:val="1"/>
          <w:color w:val="auto"/>
        </w:rPr>
        <w:t>Incentive-Based Compensation</w:t>
      </w:r>
      <w:r>
        <w:rPr>
          <w:rFonts w:ascii="Arial" w:cs="Arial" w:eastAsia="Arial" w:hAnsi="Arial"/>
          <w:sz w:val="19"/>
          <w:szCs w:val="19"/>
          <w:color w:val="auto"/>
        </w:rPr>
        <w:t>” if the Incentive-Based Compensation is Received by a person after such person became a</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Executive and the person served as a Section 16 Officer at any time during the performance period for the Incentive-Based Compensation. The Incentive-Based Compensation that must be recovered is the amount of Clawback Eligible Incentive-Based Compensation that exceeds the amount of Clawback Eligible Incentive-Based Compensation that otherwise would have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been Received had such Clawback Eligible Incentive-Based Compensation been determined based on the restated amounts (such compensation, as computed without regard to any taxes paid, the “</w:t>
      </w:r>
      <w:r>
        <w:rPr>
          <w:rFonts w:ascii="Arial" w:cs="Arial" w:eastAsia="Arial" w:hAnsi="Arial"/>
          <w:sz w:val="19"/>
          <w:szCs w:val="19"/>
          <w:b w:val="1"/>
          <w:bCs w:val="1"/>
          <w:color w:val="auto"/>
        </w:rPr>
        <w:t>Excess Compensation</w:t>
      </w:r>
      <w:r>
        <w:rPr>
          <w:rFonts w:ascii="Arial" w:cs="Arial" w:eastAsia="Arial" w:hAnsi="Arial"/>
          <w:sz w:val="19"/>
          <w:szCs w:val="19"/>
          <w:color w:val="auto"/>
        </w:rPr>
        <w:t>,” is referred to in the listings standards as “erroneously awarded incentive-based compensation”).</w:t>
      </w:r>
    </w:p>
    <w:p>
      <w:pPr>
        <w:spacing w:after="0" w:line="16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of the determination of that reasonable estimate and provide such documentation to the Exchange.</w:t>
      </w:r>
    </w:p>
    <w:p>
      <w:pPr>
        <w:spacing w:after="0" w:line="16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Incentive-Based Compensation</w:t>
      </w:r>
      <w:r>
        <w:rPr>
          <w:rFonts w:ascii="Arial" w:cs="Arial" w:eastAsia="Arial" w:hAnsi="Arial"/>
          <w:sz w:val="19"/>
          <w:szCs w:val="19"/>
          <w:color w:val="auto"/>
        </w:rPr>
        <w:t>” means any compensation that is granted, earned, or vested based wholly or in part upon the attainment of a Financial Reporting Measure. For the avoidance of doubt, no compensation that is potentially subject to recovery under the Policy is earned until the Company’s right to recover under the Policy has lapsed. The following items of compensation</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are not Incentive-Based Compensation under the Policy: salaries, bonuses paid solely at the discretion of the Compensation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 Reporting Measures</w:t>
      </w:r>
      <w:r>
        <w:rPr>
          <w:rFonts w:ascii="Arial" w:cs="Arial" w:eastAsia="Arial" w:hAnsi="Arial"/>
          <w:sz w:val="19"/>
          <w:szCs w:val="19"/>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63"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9"/>
          <w:szCs w:val="19"/>
          <w:color w:val="auto"/>
        </w:rPr>
        <w:t>Incentive-Based Compensation is “</w:t>
      </w:r>
      <w:r>
        <w:rPr>
          <w:rFonts w:ascii="Arial" w:cs="Arial" w:eastAsia="Arial" w:hAnsi="Arial"/>
          <w:sz w:val="19"/>
          <w:szCs w:val="19"/>
          <w:b w:val="1"/>
          <w:bCs w:val="1"/>
          <w:color w:val="auto"/>
        </w:rPr>
        <w:t>Received</w:t>
      </w:r>
      <w:r>
        <w:rPr>
          <w:rFonts w:ascii="Arial" w:cs="Arial" w:eastAsia="Arial" w:hAnsi="Arial"/>
          <w:sz w:val="19"/>
          <w:szCs w:val="19"/>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spacing w:after="0" w:line="163"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Period</w:t>
      </w:r>
      <w:r>
        <w:rPr>
          <w:rFonts w:ascii="Arial" w:cs="Arial" w:eastAsia="Arial" w:hAnsi="Arial"/>
          <w:sz w:val="19"/>
          <w:szCs w:val="19"/>
          <w:color w:val="auto"/>
        </w:rPr>
        <w:t>” means the three completed fiscal years immediately preceding the Accounting Restatement Determination Date. In addition, Covered Period can include certain transition periods resulting from a change in the Company’s fiscal year. The Company’s obligation to recover Excess Compensation is not dependent on if or when the restated financial statements are filed.</w:t>
      </w:r>
    </w:p>
    <w:p>
      <w:pPr>
        <w:spacing w:after="0" w:line="330"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Accounting Restatement Determination Date</w:t>
      </w:r>
      <w:r>
        <w:rPr>
          <w:rFonts w:ascii="Arial" w:cs="Arial" w:eastAsia="Arial" w:hAnsi="Arial"/>
          <w:sz w:val="19"/>
          <w:szCs w:val="19"/>
          <w:color w:val="auto"/>
        </w:rPr>
        <w:t>” 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17" w:right="339" w:bottom="1440" w:gutter="0" w:footer="0" w:header="0"/>
        </w:sectPr>
      </w:pPr>
    </w:p>
    <w:bookmarkStart w:id="188" w:name="page189"/>
    <w:bookmarkEnd w:id="188"/>
    <w:p>
      <w:pPr>
        <w:spacing w:after="0"/>
        <w:rPr>
          <w:sz w:val="20"/>
          <w:szCs w:val="20"/>
          <w:color w:val="auto"/>
        </w:rPr>
      </w:pPr>
      <w:r>
        <w:rPr>
          <w:rFonts w:ascii="Arial" w:cs="Arial" w:eastAsia="Arial" w:hAnsi="Arial"/>
          <w:sz w:val="19"/>
          <w:szCs w:val="19"/>
          <w:b w:val="1"/>
          <w:bCs w:val="1"/>
          <w:color w:val="auto"/>
        </w:rPr>
        <w:t>Repayment of Excess Compensation</w:t>
      </w:r>
    </w:p>
    <w:p>
      <w:pPr>
        <w:spacing w:after="0" w:line="18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w:t>
      </w:r>
    </w:p>
    <w:p>
      <w:pPr>
        <w:spacing w:after="0" w:line="208" w:lineRule="auto"/>
        <w:rPr>
          <w:sz w:val="20"/>
          <w:szCs w:val="20"/>
          <w:color w:val="auto"/>
        </w:rPr>
      </w:pPr>
      <w:r>
        <w:rPr>
          <w:rFonts w:ascii="Arial" w:cs="Arial" w:eastAsia="Arial" w:hAnsi="Arial"/>
          <w:sz w:val="19"/>
          <w:szCs w:val="19"/>
          <w:color w:val="auto"/>
        </w:rPr>
        <w:t>combination of means as the Committee determines to be appropriate (these determinations do not need to be identical as to each</w:t>
      </w:r>
    </w:p>
    <w:p>
      <w:pPr>
        <w:spacing w:after="0"/>
        <w:rPr>
          <w:sz w:val="20"/>
          <w:szCs w:val="20"/>
          <w:color w:val="auto"/>
        </w:rPr>
      </w:pPr>
      <w:r>
        <w:rPr>
          <w:rFonts w:ascii="Arial" w:cs="Arial" w:eastAsia="Arial" w:hAnsi="Arial"/>
          <w:sz w:val="19"/>
          <w:szCs w:val="19"/>
          <w:color w:val="auto"/>
        </w:rPr>
        <w:t>Covered Executive). These means may include:</w:t>
      </w:r>
    </w:p>
    <w:p>
      <w:pPr>
        <w:spacing w:after="0" w:line="169"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requiring reimbursement of cash Incentive-Based Compensation previously paid;</w:t>
      </w:r>
    </w:p>
    <w:p>
      <w:pPr>
        <w:spacing w:after="0" w:line="186" w:lineRule="exact"/>
        <w:rPr>
          <w:rFonts w:ascii="Arial" w:cs="Arial" w:eastAsia="Arial" w:hAnsi="Arial"/>
          <w:sz w:val="19"/>
          <w:szCs w:val="19"/>
          <w:color w:val="auto"/>
        </w:rPr>
      </w:pPr>
    </w:p>
    <w:p>
      <w:pPr>
        <w:ind w:left="1300" w:hanging="644"/>
        <w:spacing w:after="0" w:line="261" w:lineRule="auto"/>
        <w:tabs>
          <w:tab w:leader="none" w:pos="1292"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seeking recovery of any gain realized on the vesting, exercise, settlement, sale, transfer, or other disposition of any equity-based awards;</w:t>
      </w:r>
    </w:p>
    <w:p>
      <w:pPr>
        <w:spacing w:after="0" w:line="132" w:lineRule="exact"/>
        <w:rPr>
          <w:rFonts w:ascii="Arial" w:cs="Arial" w:eastAsia="Arial" w:hAnsi="Arial"/>
          <w:sz w:val="19"/>
          <w:szCs w:val="19"/>
          <w:color w:val="auto"/>
        </w:rPr>
      </w:pPr>
    </w:p>
    <w:p>
      <w:pPr>
        <w:jc w:val="both"/>
        <w:ind w:left="1300" w:right="20" w:hanging="644"/>
        <w:spacing w:after="0" w:line="236" w:lineRule="auto"/>
        <w:tabs>
          <w:tab w:leader="none" w:pos="12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offsetting the amount to be recovered from any unpaid or future compensation to be paid by the Company or any affiliate of the Company to the Covered Executive, including payments of severance that might otherwise be due in connection with an Covered Executive’s termination of employment;</w:t>
      </w:r>
    </w:p>
    <w:p>
      <w:pPr>
        <w:spacing w:after="0" w:line="151" w:lineRule="exact"/>
        <w:rPr>
          <w:rFonts w:ascii="Arial" w:cs="Arial" w:eastAsia="Arial" w:hAnsi="Arial"/>
          <w:sz w:val="19"/>
          <w:szCs w:val="19"/>
          <w:color w:val="auto"/>
        </w:rPr>
      </w:pPr>
    </w:p>
    <w:p>
      <w:pPr>
        <w:ind w:left="1300" w:hanging="644"/>
        <w:spacing w:after="0"/>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cancelling outstanding vested or unvested equity awards; and/or</w:t>
      </w:r>
    </w:p>
    <w:p>
      <w:pPr>
        <w:spacing w:after="0" w:line="186" w:lineRule="exact"/>
        <w:rPr>
          <w:rFonts w:ascii="Arial" w:cs="Arial" w:eastAsia="Arial" w:hAnsi="Arial"/>
          <w:sz w:val="19"/>
          <w:szCs w:val="19"/>
          <w:color w:val="auto"/>
        </w:rPr>
      </w:pPr>
    </w:p>
    <w:p>
      <w:pPr>
        <w:ind w:left="1300" w:hanging="644"/>
        <w:spacing w:after="0"/>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taking any other remedial and recovery action permitted by law, as determined by the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repayment of Excess Compensation must be made by a Covered Executive notwithstanding any Covered Executive’s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belief (whether or not legitimate) that the Excess Compensation had been previously earned under applicable law and therefore is not subject to clawback.</w:t>
      </w:r>
    </w:p>
    <w:p>
      <w:pPr>
        <w:spacing w:after="0" w:line="15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In addition to its rights to recovery under the Policy, the Company or any affiliate of the Company may take any legal actions it determines appropriate to enforce a Covered Executive’s obligations to the Company or to discipline a Covered Executive. Failure</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of an Covered Executive to comply with their obligations under the Policy could lead to (without limitation) termination of that Covered Executive’s employment for cause for failure to comply with a Company policy, institution of civil proceedings, reporting of misconduct to appropriate governmental authorities, reduction of future compensation opportunities or change in role. The decision to take any actions described in the preceding sentence shall not be subject to the approval of the Committee and can be made by</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9"/>
          <w:szCs w:val="19"/>
          <w:color w:val="auto"/>
        </w:rPr>
        <w:t>the Board, any committee of the Board, or any duly authorized officer of the Company or of any applicable affiliate of the Company. For avoidance of doubt, the decisions of the Company to terminate the employment of a Covered Executive are independent of determinations under this Policy. For example, if a Covered Executive was involved in activities that led to an Accounting</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Restatement, the Company’s decision as to whether to not to terminate such Covered Executive’s employment would be made under its employment arrangements with such Covered Executive and the requirement to apply this no-fault and non-discretionary clawback policy should bear no weight on whether any such termination was or was not a termination for cause (other than in a circumstance where the termination of employment was due to the Covered Executive’s failure to comply with their obligations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under the Policy).</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Exceptions to the Policy</w:t>
      </w:r>
    </w:p>
    <w:p>
      <w:pPr>
        <w:spacing w:after="0" w:line="18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The Company must recover the Excess Compensation in accordance with the Policy except to the limited extent that the conditions set forth below are met, and the Committee determines that recovery of the Excess Compensation would be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impracticable:</w:t>
      </w:r>
    </w:p>
    <w:p>
      <w:pPr>
        <w:spacing w:after="0" w:line="169" w:lineRule="exact"/>
        <w:rPr>
          <w:sz w:val="20"/>
          <w:szCs w:val="20"/>
          <w:color w:val="auto"/>
        </w:rPr>
      </w:pPr>
    </w:p>
    <w:p>
      <w:pPr>
        <w:jc w:val="both"/>
        <w:ind w:left="1300" w:hanging="644"/>
        <w:spacing w:after="0"/>
        <w:tabs>
          <w:tab w:leader="none" w:pos="1292"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330" w:lineRule="exact"/>
        <w:rPr>
          <w:rFonts w:ascii="Arial" w:cs="Arial" w:eastAsia="Arial" w:hAnsi="Arial"/>
          <w:sz w:val="19"/>
          <w:szCs w:val="19"/>
          <w:color w:val="auto"/>
        </w:rPr>
      </w:pPr>
    </w:p>
    <w:p>
      <w:pPr>
        <w:ind w:left="1300" w:hanging="644"/>
        <w:spacing w:after="0" w:line="246" w:lineRule="auto"/>
        <w:tabs>
          <w:tab w:leader="none" w:pos="1292"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Recovery would likely cause an otherwise tax-qualified retirement plan, under which benefits are broadly available to employees of the Company, to fail to meet the legal requirements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17" w:right="33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b w:val="1"/>
          <w:bCs w:val="1"/>
          <w:color w:val="auto"/>
        </w:rPr>
        <w:t>Other Important Information in the Policy</w:t>
      </w:r>
    </w:p>
    <w:p>
      <w:pPr>
        <w:spacing w:after="0" w:line="18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spacing w:after="0" w:line="16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shall indemnify or provide advancement for any Covered Executive against any loss of Excess Compensation. Neither the Company nor any affiliate of the Company shall pay for or reimburse insurance premiums for an</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19"/>
          <w:szCs w:val="19"/>
          <w:color w:val="auto"/>
        </w:rPr>
        <w:t>insurance policy that covers potential recovery obligations. In the event the Company is required to recover Excess Compensation from a Covered Executive who is no longer an employee pursuant to the Policy, the Company shall be entitled to seek such recovery in order to comply with applicable law, regardless of the terms of any release of claims or separation agreement such</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individual may have signed. The Committee or Board may review and modify the Policy from time to time.</w:t>
      </w:r>
    </w:p>
    <w:p>
      <w:pPr>
        <w:spacing w:after="0" w:line="16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9"/>
          <w:szCs w:val="19"/>
          <w:color w:val="auto"/>
        </w:rPr>
        <w:t>If any provision of the Policy or the application of any such provision to any Covered Executive is adjudicated to be invalid, illegal or unenforceable in any respect, such invalidity, illegality or unenforceability shall not affect any other provisions of the Policy or the application of such provision to another Covered Executive, and the invalid, illegal or unenforceable provisions shall be</w:t>
      </w:r>
    </w:p>
    <w:p>
      <w:pPr>
        <w:spacing w:after="0"/>
        <w:rPr>
          <w:sz w:val="20"/>
          <w:szCs w:val="20"/>
          <w:color w:val="auto"/>
        </w:rPr>
      </w:pPr>
      <w:r>
        <w:rPr>
          <w:rFonts w:ascii="Arial" w:cs="Arial" w:eastAsia="Arial" w:hAnsi="Arial"/>
          <w:sz w:val="19"/>
          <w:szCs w:val="19"/>
          <w:color w:val="auto"/>
        </w:rPr>
        <w:t>deemed amended to the minimum extent necessary to render any such provision or application enforceable.</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The Policy shall terminate and no longer be enforceable when the Company ceases to be listed issuer within the meaning of Section 10D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bullet"/>
      <w:start w:val="1"/>
    </w:lvl>
  </w:abstractNum>
  <w:abstractNum w:abstractNumId="5">
    <w:nsid w:val="5E884ADC"/>
    <w:multiLevelType w:val="hybridMultilevel"/>
    <w:lvl w:ilvl="0">
      <w:lvlJc w:val="left"/>
      <w:lvlText w:val="2"/>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endash "/>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6"/>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3"/>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3"/>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5"/>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194" Type="http://schemas.openxmlformats.org/officeDocument/2006/relationships/hyperlink" Target="https://www.sec.gov/Archives/edgar/data/1647639/000164763922000009/a31amendedrestatedcertofin.htm" TargetMode="External"/><Relationship Id="rId195" Type="http://schemas.openxmlformats.org/officeDocument/2006/relationships/hyperlink" Target="https://www.sec.gov/Archives/edgar/data/1647639/000164763922000070/uhi-arbylawsv4.htm" TargetMode="External"/><Relationship Id="rId196" Type="http://schemas.openxmlformats.org/officeDocument/2006/relationships/hyperlink" Target="https://www.sec.gov/Archives/edgar/data/0001647639/000119312520309971/d867925dex41.htm" TargetMode="External"/><Relationship Id="rId197" Type="http://schemas.openxmlformats.org/officeDocument/2006/relationships/hyperlink" Target="https://www.sec.gov/Archives/edgar/data/0001647639/000119312520288095/d867925dex42.htm" TargetMode="External"/><Relationship Id="rId198" Type="http://schemas.openxmlformats.org/officeDocument/2006/relationships/hyperlink" Target="https://www.sec.gov/Archives/edgar/data/1647639/000164763923000021/a43upstrt-10xkdescriptiono.htm" TargetMode="External"/><Relationship Id="rId199" Type="http://schemas.openxmlformats.org/officeDocument/2006/relationships/hyperlink" Target="https://www.sec.gov/Archives/edgar/data/1647639/000119312521252733/d210411dex41.htm" TargetMode="External"/><Relationship Id="rId200" Type="http://schemas.openxmlformats.org/officeDocument/2006/relationships/hyperlink" Target="https://www.sec.gov/Archives/edgar/data/0001647639/000119312520309971/d867925dex101.htm" TargetMode="External"/><Relationship Id="rId201" Type="http://schemas.openxmlformats.org/officeDocument/2006/relationships/hyperlink" Target="https://www.sec.gov/Archives/edgar/data/1647639/000164763921000037/exhibit101q32021-eiprsuopt.htm" TargetMode="External"/><Relationship Id="rId202" Type="http://schemas.openxmlformats.org/officeDocument/2006/relationships/hyperlink" Target="https://www.sec.gov/Archives/edgar/data/0001647639/000119312520288095/d867925dex103.htm" TargetMode="External"/><Relationship Id="rId203" Type="http://schemas.openxmlformats.org/officeDocument/2006/relationships/hyperlink" Target="https://www.sec.gov/Archives/edgar/data/0001647639/000119312520309971/d867925dex104.htm" TargetMode="External"/><Relationship Id="rId204" Type="http://schemas.openxmlformats.org/officeDocument/2006/relationships/hyperlink" Target="https://www.sec.gov/Archives/edgar/data/0001647639/000119312520309971/d867925dex105.htm" TargetMode="External"/><Relationship Id="rId205" Type="http://schemas.openxmlformats.org/officeDocument/2006/relationships/hyperlink" Target="https://www.sec.gov/Archives/edgar/data/1647639/000119312521118191/d165331dex44.htm" TargetMode="External"/><Relationship Id="rId206" Type="http://schemas.openxmlformats.org/officeDocument/2006/relationships/hyperlink" Target="https://www.sec.gov/Archives/edgar/data/1647639/000164763922000070/exhibit101bylawsseverence.htm" TargetMode="External"/><Relationship Id="rId207" Type="http://schemas.openxmlformats.org/officeDocument/2006/relationships/hyperlink" Target="https://www.sec.gov/Archives/edgar/data/1647639/000164763922000009/a107outsidedirectorcomppol.htm" TargetMode="External"/><Relationship Id="rId208" Type="http://schemas.openxmlformats.org/officeDocument/2006/relationships/hyperlink" Target="https://www.sec.gov/Archives/edgar/data/1647639/000164763923000021/a1010scott_darlingxofferxl.htm" TargetMode="External"/><Relationship Id="rId209" Type="http://schemas.openxmlformats.org/officeDocument/2006/relationships/hyperlink" Target="https://www.sec.gov/Archives/edgar/data/0001647639/000119312520288095/d867925dex108.htm" TargetMode="External"/><Relationship Id="rId210" Type="http://schemas.openxmlformats.org/officeDocument/2006/relationships/hyperlink" Target="https://www.sec.gov/Archives/edgar/data/1647639/000164763921000037/exhibit103q32021sanmateosu.htm" TargetMode="External"/><Relationship Id="rId211" Type="http://schemas.openxmlformats.org/officeDocument/2006/relationships/hyperlink" Target="https://www.sec.gov/Archives/edgar/data/1647639/000119312520311387/d867925dex1016.htm" TargetMode="External"/><Relationship Id="rId212" Type="http://schemas.openxmlformats.org/officeDocument/2006/relationships/hyperlink" Target="https://www.sec.gov/Archives/edgar/data/1647639/000119312520311387/d867925dex1017.htm" TargetMode="External"/><Relationship Id="rId213" Type="http://schemas.openxmlformats.org/officeDocument/2006/relationships/hyperlink" Target="https://www.sec.gov/Archives/edgar/data/1647639/000119312521252733/d2104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2024-02-15T16:25:16Z</dcterms:created>
  <dcterms:modified xsi:type="dcterms:W3CDTF">2024-02-15T16:25:16Z</dcterms:modified>
</cp:coreProperties>
</file>