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Cooper Kerry Whorton</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Upstart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UPST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UPSTART HOLDINGS, INC.</w:t>
            </w:r>
          </w:p>
        </w:tc>
        <w:tc>
          <w:tcPr>
            <w:tcW w:w="120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2950 S. DELAWARE STREET, SUITE 410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05/29/2026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6,476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254"/>
              <w:spacing w:after="0"/>
              <w:rPr>
                <w:sz w:val="20"/>
                <w:szCs w:val="20"/>
                <w:color w:val="auto"/>
              </w:rPr>
            </w:pPr>
            <w:r>
              <w:rPr>
                <w:rFonts w:ascii="Times New Roman" w:cs="Times New Roman" w:eastAsia="Times New Roman" w:hAnsi="Times New Roman"/>
                <w:sz w:val="17"/>
                <w:szCs w:val="17"/>
                <w:color w:val="0000FF"/>
              </w:rPr>
              <w:t>6,476</w:t>
            </w: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left="254"/>
              <w:spacing w:after="0"/>
              <w:rPr>
                <w:sz w:val="20"/>
                <w:szCs w:val="20"/>
                <w:color w:val="auto"/>
              </w:rPr>
            </w:pPr>
            <w:r>
              <w:rPr>
                <w:rFonts w:ascii="Times New Roman" w:cs="Times New Roman" w:eastAsia="Times New Roman" w:hAnsi="Times New Roman"/>
                <w:sz w:val="17"/>
                <w:szCs w:val="17"/>
                <w:color w:val="0000FF"/>
              </w:rPr>
              <w:t>2,000</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27,707</w:t>
            </w: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4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20" w:type="dxa"/>
            <w:vAlign w:val="bottom"/>
          </w:tcPr>
          <w:p>
            <w:pPr>
              <w:spacing w:after="0"/>
              <w:rPr>
                <w:sz w:val="11"/>
                <w:szCs w:val="11"/>
                <w:color w:val="auto"/>
              </w:rPr>
            </w:pPr>
          </w:p>
        </w:tc>
        <w:tc>
          <w:tcPr>
            <w:tcW w:w="9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Common Stock. 100% of the RSUs shall vest on the earlier of May 29, 2027 or the day prior to the date of the Issuer's 2027 annual meeting of stockholders, subject to the Reporting Person continuing as a service provider through such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Reporting Person's Individual Retirement Account (IRA).</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Edward and Kerry Cooper Living Trust, for which the Reporting Person and her spouse serve as co-trustees.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held reflects the deposit of 4,314 shares of Common Stock from the Reporting Person to the Edward and Kerry Cooper Living Trust.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Steven Madrid, by power</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7263" TargetMode="External"/><Relationship Id="rId14" Type="http://schemas.openxmlformats.org/officeDocument/2006/relationships/hyperlink" Target="http://www.sec.gov/cgi-bin/browse-edgar?action=getcompany&amp;CIK=00016476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2026-06-02T15:43:00Z</dcterms:created>
  <dcterms:modified xsi:type="dcterms:W3CDTF">2026-06-02T15:43:00Z</dcterms:modified>
</cp:coreProperties>
</file>