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10-Q</w:t>
      </w:r>
    </w:p>
    <w:tbl>
      <w:tblPr>
        <w:tblW w:w="9914" w:type="dxa"/>
        <w:jc w:val="center"/>
        <w:tblInd w:w="0" w:type="dxa"/>
        <w:tblLayout w:type="fixed"/>
        <w:tblCellMar>
          <w:top w:w="28" w:type="dxa"/>
          <w:left w:w="28" w:type="dxa"/>
          <w:bottom w:w="28" w:type="dxa"/>
          <w:right w:w="28" w:type="dxa"/>
        </w:tblCellMar>
      </w:tblPr>
      <w:tblGrid>
        <w:gridCol w:w="353"/>
        <w:gridCol w:w="309"/>
        <w:gridCol w:w="312"/>
        <w:gridCol w:w="2619"/>
        <w:gridCol w:w="2619"/>
        <w:gridCol w:w="3702"/>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 One)</w:t>
            </w:r>
          </w:p>
        </w:tc>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QUARTERLY REPORT PURSUANT TO SECTION 13 OR 15(d) OF THE SECURITIES EXCHANGE ACT OF 1934</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March 31, 2026</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 REPORT PURSUANT TO SECTION 13 OR 15(d) OF THE SECURITIES EXCHANGE ACT OF 1934</w:t>
            </w:r>
          </w:p>
        </w:tc>
      </w:tr>
    </w:tbl>
    <w:p>
      <w:pPr>
        <w:pStyle w:val="TextBody"/>
        <w:bidi w:val="0"/>
        <w:spacing w:lineRule="auto" w:line="276" w:before="0" w:after="0"/>
        <w:jc w:val="center"/>
        <w:rPr/>
      </w:pPr>
      <w:r>
        <w:rPr>
          <w:rFonts w:ascii="Times New Roman;serif" w:hAnsi="Times New Roman;serif"/>
          <w:b/>
          <w:color w:val="000000"/>
          <w:sz w:val="18"/>
        </w:rPr>
        <w:t>For the transition period from</w:t>
      </w:r>
      <w:r>
        <w:rPr>
          <w:rFonts w:ascii="Times New Roman;serif" w:hAnsi="Times New Roman;serif"/>
          <w:b/>
          <w:color w:val="000000"/>
          <w:sz w:val="18"/>
          <w:u w:val="single"/>
        </w:rPr>
        <w:t>_________</w:t>
      </w:r>
      <w:r>
        <w:rPr>
          <w:rFonts w:ascii="Times New Roman;serif" w:hAnsi="Times New Roman;serif"/>
          <w:b/>
          <w:color w:val="000000"/>
          <w:sz w:val="18"/>
        </w:rPr>
        <w:t>to</w:t>
      </w:r>
      <w:r>
        <w:rPr>
          <w:color w:val="000000"/>
          <w:u w:val="single"/>
        </w:rPr>
        <w:t xml:space="preserve"> </w:t>
      </w:r>
      <w:r>
        <w:rPr>
          <w:rFonts w:ascii="Times New Roman;serif" w:hAnsi="Times New Roman;serif"/>
          <w:b/>
          <w:color w:val="000000"/>
          <w:sz w:val="18"/>
          <w:u w:val="single"/>
        </w:rPr>
        <w:t>________</w:t>
      </w:r>
    </w:p>
    <w:p>
      <w:pPr>
        <w:pStyle w:val="TextBody"/>
        <w:bidi w:val="0"/>
        <w:spacing w:lineRule="auto" w:line="417" w:before="0" w:after="120"/>
        <w:jc w:val="center"/>
        <w:rPr>
          <w:rFonts w:ascii="Times New Roman;serif" w:hAnsi="Times New Roman;serif"/>
          <w:b/>
          <w:color w:val="000000"/>
          <w:sz w:val="18"/>
        </w:rPr>
      </w:pPr>
      <w:r>
        <w:rPr>
          <w:rFonts w:ascii="Times New Roman;serif" w:hAnsi="Times New Roman;serif"/>
          <w:b/>
          <w:color w:val="000000"/>
          <w:sz w:val="18"/>
        </w:rPr>
        <w:t>Commission File Number: 001-39797</w:t>
      </w:r>
    </w:p>
    <w:p>
      <w:pPr>
        <w:pStyle w:val="TextBody"/>
        <w:bidi w:val="0"/>
        <w:spacing w:lineRule="auto" w:line="417" w:before="0" w:after="0"/>
        <w:jc w:val="center"/>
        <w:rPr/>
      </w:pPr>
      <w:r>
        <w:rPr/>
        <w:drawing>
          <wp:inline distT="0" distB="0" distL="0" distR="0">
            <wp:extent cx="20002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61950"/>
                    </a:xfrm>
                    <a:prstGeom prst="rect">
                      <a:avLst/>
                    </a:prstGeom>
                  </pic:spPr>
                </pic:pic>
              </a:graphicData>
            </a:graphic>
          </wp:inline>
        </w:drawing>
      </w:r>
      <w:bookmarkStart w:id="0" w:name="i-1"/>
      <w:bookmarkEnd w:id="0"/>
      <w:r>
        <w:rPr>
          <w:color w:val="000000"/>
        </w:rPr>
        <w:t xml:space="preserve"> </w:t>
      </w:r>
    </w:p>
    <w:p>
      <w:pPr>
        <w:pStyle w:val="TextBody"/>
        <w:bidi w:val="0"/>
        <w:spacing w:lineRule="auto" w:line="288" w:before="40" w:after="283"/>
        <w:jc w:val="center"/>
        <w:rPr>
          <w:rFonts w:ascii="Times New Roman;serif" w:hAnsi="Times New Roman;serif"/>
          <w:b/>
          <w:color w:val="000000"/>
          <w:sz w:val="34"/>
        </w:rPr>
      </w:pPr>
      <w:r>
        <w:rPr>
          <w:rFonts w:ascii="Times New Roman;serif" w:hAnsi="Times New Roman;serif"/>
          <w:b/>
          <w:color w:val="000000"/>
          <w:sz w:val="34"/>
        </w:rPr>
        <w:t>Upstart Holdings,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before="0" w:after="0"/>
        <w:jc w:val="center"/>
        <w:rPr/>
      </w:pPr>
      <w:r>
        <w:rPr/>
      </w:r>
    </w:p>
    <w:tbl>
      <w:tblPr>
        <w:tblW w:w="4016" w:type="dxa"/>
        <w:jc w:val="center"/>
        <w:tblInd w:w="0" w:type="dxa"/>
        <w:tblLayout w:type="fixed"/>
        <w:tblCellMar>
          <w:top w:w="28" w:type="dxa"/>
          <w:left w:w="28" w:type="dxa"/>
          <w:bottom w:w="28" w:type="dxa"/>
          <w:right w:w="28" w:type="dxa"/>
        </w:tblCellMar>
      </w:tblPr>
      <w:tblGrid>
        <w:gridCol w:w="809"/>
        <w:gridCol w:w="711"/>
        <w:gridCol w:w="715"/>
        <w:gridCol w:w="109"/>
        <w:gridCol w:w="109"/>
        <w:gridCol w:w="109"/>
        <w:gridCol w:w="425"/>
        <w:gridCol w:w="425"/>
        <w:gridCol w:w="60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46-4332431</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tbl>
      <w:tblPr>
        <w:tblW w:w="4279" w:type="dxa"/>
        <w:jc w:val="center"/>
        <w:tblInd w:w="0" w:type="dxa"/>
        <w:tblLayout w:type="fixed"/>
        <w:tblCellMar>
          <w:top w:w="28" w:type="dxa"/>
          <w:left w:w="28" w:type="dxa"/>
          <w:bottom w:w="28" w:type="dxa"/>
          <w:right w:w="28" w:type="dxa"/>
        </w:tblCellMar>
      </w:tblPr>
      <w:tblGrid>
        <w:gridCol w:w="314"/>
        <w:gridCol w:w="275"/>
        <w:gridCol w:w="275"/>
        <w:gridCol w:w="275"/>
        <w:gridCol w:w="275"/>
        <w:gridCol w:w="275"/>
        <w:gridCol w:w="275"/>
        <w:gridCol w:w="275"/>
        <w:gridCol w:w="275"/>
        <w:gridCol w:w="275"/>
        <w:gridCol w:w="275"/>
        <w:gridCol w:w="275"/>
        <w:gridCol w:w="275"/>
        <w:gridCol w:w="275"/>
        <w:gridCol w:w="390"/>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Upstart Holdings, Inc.</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2950 S. Delaware Street, Suite 410</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San Mateo, CA 94403</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(833) 212-2461</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bl>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754" w:type="dxa"/>
        <w:jc w:val="center"/>
        <w:tblInd w:w="0" w:type="dxa"/>
        <w:tblLayout w:type="fixed"/>
        <w:tblCellMar>
          <w:top w:w="28" w:type="dxa"/>
          <w:left w:w="28" w:type="dxa"/>
          <w:bottom w:w="28" w:type="dxa"/>
          <w:right w:w="28" w:type="dxa"/>
        </w:tblCellMar>
      </w:tblPr>
      <w:tblGrid>
        <w:gridCol w:w="1174"/>
        <w:gridCol w:w="1025"/>
        <w:gridCol w:w="1041"/>
        <w:gridCol w:w="414"/>
        <w:gridCol w:w="414"/>
        <w:gridCol w:w="416"/>
        <w:gridCol w:w="958"/>
        <w:gridCol w:w="958"/>
        <w:gridCol w:w="1354"/>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Nasdaq Global Select Market </w:t>
            </w:r>
          </w:p>
        </w:tc>
      </w:tr>
    </w:tbl>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1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84"/>
        <w:gridCol w:w="684"/>
        <w:gridCol w:w="68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Indicate by check mark whether the registrant is a shell company (as defined in Rule 12b-2 of the Exchange Act). Yes ☐ No ☒</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As of April 28, 2026 there were 95,711,569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5"/>
        <w:gridCol w:w="938"/>
        <w:gridCol w:w="938"/>
        <w:gridCol w:w="2252"/>
        <w:gridCol w:w="2214"/>
        <w:gridCol w:w="2225"/>
        <w:gridCol w:w="167"/>
        <w:gridCol w:w="167"/>
        <w:gridCol w:w="239"/>
      </w:tblGrid>
      <w:tr>
        <w:trPr/>
        <w:tc>
          <w:tcPr>
            <w:tcW w:w="106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ac68b42b683848a6a74b4669307bf513_13">
              <w:r>
                <w:rPr>
                  <w:rStyle w:val="InternetLink"/>
                  <w:rFonts w:ascii="Times New Roman;serif" w:hAnsi="Times New Roman;serif"/>
                  <w:b/>
                  <w:color w:val="0000FF"/>
                  <w:sz w:val="20"/>
                  <w:u w:val="single"/>
                </w:rPr>
                <w:t>SPECIAL NOTE REGARDING 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13">
              <w:r>
                <w:rPr>
                  <w:rStyle w:val="InternetLink"/>
                  <w:rFonts w:ascii="Times New Roman;serif" w:hAnsi="Times New Roman;serif"/>
                  <w:b w:val="false"/>
                  <w:strike w:val="false"/>
                  <w:dstrike w:val="false"/>
                  <w:color w:val="000000"/>
                  <w:sz w:val="20"/>
                  <w:u w:val="none"/>
                  <w:effect w:val="none"/>
                </w:rPr>
                <w:t>4</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298">
              <w:r>
                <w:rPr>
                  <w:rStyle w:val="InternetLink"/>
                  <w:rFonts w:ascii="Times New Roman;serif" w:hAnsi="Times New Roman;serif"/>
                  <w:b/>
                  <w:color w:val="0000FF"/>
                  <w:sz w:val="20"/>
                  <w:u w:val="single"/>
                </w:rPr>
                <w:t>PART I. FINANCIAL INFORMATION</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16">
              <w:r>
                <w:rPr>
                  <w:rStyle w:val="InternetLink"/>
                  <w:rFonts w:ascii="Times New Roman;serif" w:hAnsi="Times New Roman;serif"/>
                  <w:b w:val="false"/>
                  <w:strike w:val="false"/>
                  <w:dstrike w:val="false"/>
                  <w:color w:val="000000"/>
                  <w:sz w:val="20"/>
                  <w:u w:val="none"/>
                  <w:effect w:val="none"/>
                </w:rPr>
                <w:t xml:space="preserve">Item 1. </w:t>
              </w:r>
            </w:hyperlink>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100">
              <w:r>
                <w:rPr>
                  <w:rStyle w:val="InternetLink"/>
                  <w:rFonts w:ascii="Times New Roman;serif" w:hAnsi="Times New Roman;serif"/>
                  <w:b w:val="false"/>
                  <w:color w:val="0000FF"/>
                  <w:sz w:val="20"/>
                  <w:u w:val="single"/>
                </w:rPr>
                <w:t>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100">
              <w:r>
                <w:rPr>
                  <w:rStyle w:val="InternetLink"/>
                  <w:rFonts w:ascii="Times New Roman;serif" w:hAnsi="Times New Roman;serif"/>
                  <w:b w:val="false"/>
                  <w:strike w:val="false"/>
                  <w:dstrike w:val="false"/>
                  <w:color w:val="000000"/>
                  <w:sz w:val="20"/>
                  <w:u w:val="none"/>
                  <w:effect w:val="none"/>
                </w:rPr>
                <w:t>7</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100">
              <w:r>
                <w:rPr>
                  <w:rStyle w:val="InternetLink"/>
                  <w:rFonts w:ascii="Times New Roman;serif" w:hAnsi="Times New Roman;serif"/>
                  <w:b w:val="false"/>
                  <w:color w:val="0000FF"/>
                  <w:sz w:val="20"/>
                  <w:u w:val="single"/>
                </w:rPr>
                <w:t>Condensed Consolidated Balance Sheets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100">
              <w:r>
                <w:rPr>
                  <w:rStyle w:val="InternetLink"/>
                  <w:rFonts w:ascii="Times New Roman;serif" w:hAnsi="Times New Roman;serif"/>
                  <w:b w:val="false"/>
                  <w:strike w:val="false"/>
                  <w:dstrike w:val="false"/>
                  <w:color w:val="000000"/>
                  <w:sz w:val="20"/>
                  <w:u w:val="none"/>
                  <w:effect w:val="none"/>
                </w:rPr>
                <w:t>7</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103">
              <w:r>
                <w:rPr>
                  <w:rStyle w:val="InternetLink"/>
                  <w:rFonts w:ascii="Times New Roman;serif" w:hAnsi="Times New Roman;serif"/>
                  <w:b w:val="false"/>
                  <w:color w:val="0000FF"/>
                  <w:sz w:val="20"/>
                  <w:u w:val="single"/>
                </w:rPr>
                <w:t>Condensed Consolidated Statements of Operations and Comprehensive Loss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103">
              <w:r>
                <w:rPr>
                  <w:rStyle w:val="InternetLink"/>
                  <w:rFonts w:ascii="Times New Roman;serif" w:hAnsi="Times New Roman;serif"/>
                  <w:b w:val="false"/>
                  <w:strike w:val="false"/>
                  <w:dstrike w:val="false"/>
                  <w:color w:val="000000"/>
                  <w:sz w:val="20"/>
                  <w:u w:val="none"/>
                  <w:effect w:val="none"/>
                </w:rPr>
                <w:t>9</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307">
              <w:r>
                <w:rPr>
                  <w:rStyle w:val="InternetLink"/>
                  <w:rFonts w:ascii="Times New Roman;serif" w:hAnsi="Times New Roman;serif"/>
                  <w:b w:val="false"/>
                  <w:color w:val="0000FF"/>
                  <w:sz w:val="20"/>
                  <w:u w:val="single"/>
                </w:rPr>
                <w:t>Condensed Consolidated Statements of Stockholders’ Equity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307">
              <w:r>
                <w:rPr>
                  <w:rStyle w:val="InternetLink"/>
                  <w:rFonts w:ascii="Times New Roman;serif" w:hAnsi="Times New Roman;serif"/>
                  <w:b w:val="false"/>
                  <w:strike w:val="false"/>
                  <w:dstrike w:val="false"/>
                  <w:color w:val="000000"/>
                  <w:sz w:val="20"/>
                  <w:u w:val="none"/>
                  <w:effect w:val="none"/>
                </w:rPr>
                <w:t>10</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109">
              <w:r>
                <w:rPr>
                  <w:rStyle w:val="InternetLink"/>
                  <w:rFonts w:ascii="Times New Roman;serif" w:hAnsi="Times New Roman;serif"/>
                  <w:b w:val="false"/>
                  <w:color w:val="0000FF"/>
                  <w:sz w:val="20"/>
                  <w:u w:val="single"/>
                </w:rPr>
                <w:t>Condensed Consolidated Statements of Cash Flows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109">
              <w:r>
                <w:rPr>
                  <w:rStyle w:val="InternetLink"/>
                  <w:rFonts w:ascii="Times New Roman;serif" w:hAnsi="Times New Roman;serif"/>
                  <w:b w:val="false"/>
                  <w:strike w:val="false"/>
                  <w:dstrike w:val="false"/>
                  <w:color w:val="000000"/>
                  <w:sz w:val="20"/>
                  <w:u w:val="none"/>
                  <w:effect w:val="none"/>
                </w:rPr>
                <w:t>11</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112">
              <w:r>
                <w:rPr>
                  <w:rStyle w:val="InternetLink"/>
                  <w:rFonts w:ascii="Times New Roman;serif" w:hAnsi="Times New Roman;serif"/>
                  <w:b w:val="false"/>
                  <w:color w:val="0000FF"/>
                  <w:sz w:val="20"/>
                  <w:u w:val="single"/>
                </w:rPr>
                <w:t>Notes to the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112">
              <w:r>
                <w:rPr>
                  <w:rStyle w:val="InternetLink"/>
                  <w:rFonts w:ascii="Times New Roman;serif" w:hAnsi="Times New Roman;serif"/>
                  <w:b w:val="false"/>
                  <w:strike w:val="false"/>
                  <w:dstrike w:val="false"/>
                  <w:color w:val="000000"/>
                  <w:sz w:val="20"/>
                  <w:u w:val="none"/>
                  <w:effect w:val="none"/>
                </w:rPr>
                <w:t>13</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43">
              <w:r>
                <w:rPr>
                  <w:rStyle w:val="InternetLink"/>
                  <w:rFonts w:ascii="Times New Roman;serif" w:hAnsi="Times New Roman;serif"/>
                  <w:b w:val="false"/>
                  <w:strike w:val="false"/>
                  <w:dstrike w:val="false"/>
                  <w:color w:val="000000"/>
                  <w:sz w:val="20"/>
                  <w:u w:val="none"/>
                  <w:effect w:val="none"/>
                </w:rPr>
                <w:t>58</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85">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85">
              <w:r>
                <w:rPr>
                  <w:rStyle w:val="InternetLink"/>
                  <w:rFonts w:ascii="Times New Roman;serif" w:hAnsi="Times New Roman;serif"/>
                  <w:b w:val="false"/>
                  <w:strike w:val="false"/>
                  <w:dstrike w:val="false"/>
                  <w:color w:val="000000"/>
                  <w:sz w:val="20"/>
                  <w:u w:val="none"/>
                  <w:effect w:val="none"/>
                </w:rPr>
                <w:t>75</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346">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346">
              <w:r>
                <w:rPr>
                  <w:rStyle w:val="InternetLink"/>
                  <w:rFonts w:ascii="Times New Roman;serif" w:hAnsi="Times New Roman;serif"/>
                  <w:b w:val="false"/>
                  <w:strike w:val="false"/>
                  <w:dstrike w:val="false"/>
                  <w:color w:val="000000"/>
                  <w:sz w:val="20"/>
                  <w:u w:val="none"/>
                  <w:effect w:val="none"/>
                </w:rPr>
                <w:t>78</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349">
              <w:r>
                <w:rPr>
                  <w:rStyle w:val="InternetLink"/>
                  <w:rFonts w:ascii="Times New Roman;serif" w:hAnsi="Times New Roman;serif"/>
                  <w:b/>
                  <w:color w:val="0000FF"/>
                  <w:sz w:val="20"/>
                  <w:u w:val="single"/>
                </w:rPr>
                <w:t>PART II. OTHER INFORMATION</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31">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31">
              <w:r>
                <w:rPr>
                  <w:rStyle w:val="InternetLink"/>
                  <w:rFonts w:ascii="Times New Roman;serif" w:hAnsi="Times New Roman;serif"/>
                  <w:b w:val="false"/>
                  <w:strike w:val="false"/>
                  <w:dstrike w:val="false"/>
                  <w:color w:val="000000"/>
                  <w:sz w:val="20"/>
                  <w:u w:val="none"/>
                  <w:effect w:val="none"/>
                </w:rPr>
                <w:t>79</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1A.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19">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19">
              <w:r>
                <w:rPr>
                  <w:rStyle w:val="InternetLink"/>
                  <w:rFonts w:ascii="Times New Roman;serif" w:hAnsi="Times New Roman;serif"/>
                  <w:b w:val="false"/>
                  <w:strike w:val="false"/>
                  <w:dstrike w:val="false"/>
                  <w:color w:val="000000"/>
                  <w:sz w:val="20"/>
                  <w:u w:val="none"/>
                  <w:effect w:val="none"/>
                </w:rPr>
                <w:t>80</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340">
              <w:r>
                <w:rPr>
                  <w:rStyle w:val="InternetLink"/>
                  <w:rFonts w:ascii="Times New Roman;serif" w:hAnsi="Times New Roman;serif"/>
                  <w:b w:val="false"/>
                  <w:color w:val="0000FF"/>
                  <w:sz w:val="20"/>
                  <w:u w:val="singl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340">
              <w:r>
                <w:rPr>
                  <w:rStyle w:val="InternetLink"/>
                  <w:rFonts w:ascii="Times New Roman;serif" w:hAnsi="Times New Roman;serif"/>
                  <w:b w:val="false"/>
                  <w:strike w:val="false"/>
                  <w:dstrike w:val="false"/>
                  <w:color w:val="000000"/>
                  <w:sz w:val="20"/>
                  <w:u w:val="none"/>
                  <w:effect w:val="none"/>
                </w:rPr>
                <w:t>111</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343">
              <w:r>
                <w:rPr>
                  <w:rStyle w:val="InternetLink"/>
                  <w:rFonts w:ascii="Times New Roman;serif" w:hAnsi="Times New Roman;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343">
              <w:r>
                <w:rPr>
                  <w:rStyle w:val="InternetLink"/>
                  <w:rFonts w:ascii="Times New Roman;serif" w:hAnsi="Times New Roman;serif"/>
                  <w:b w:val="false"/>
                  <w:strike w:val="false"/>
                  <w:dstrike w:val="false"/>
                  <w:color w:val="000000"/>
                  <w:sz w:val="20"/>
                  <w:u w:val="none"/>
                  <w:effect w:val="none"/>
                </w:rPr>
                <w:t>111</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34">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34">
              <w:r>
                <w:rPr>
                  <w:rStyle w:val="InternetLink"/>
                  <w:rFonts w:ascii="Times New Roman;serif" w:hAnsi="Times New Roman;serif"/>
                  <w:b w:val="false"/>
                  <w:strike w:val="false"/>
                  <w:dstrike w:val="false"/>
                  <w:color w:val="000000"/>
                  <w:sz w:val="20"/>
                  <w:u w:val="none"/>
                  <w:effect w:val="none"/>
                </w:rPr>
                <w:t>111</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5.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253">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253">
              <w:r>
                <w:rPr>
                  <w:rStyle w:val="InternetLink"/>
                  <w:rFonts w:ascii="Times New Roman;serif" w:hAnsi="Times New Roman;serif"/>
                  <w:b w:val="false"/>
                  <w:strike w:val="false"/>
                  <w:dstrike w:val="false"/>
                  <w:color w:val="000000"/>
                  <w:sz w:val="20"/>
                  <w:u w:val="none"/>
                  <w:effect w:val="none"/>
                </w:rPr>
                <w:t>112</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6.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352">
              <w:r>
                <w:rPr>
                  <w:rStyle w:val="InternetLink"/>
                  <w:rFonts w:ascii="Times New Roman;serif" w:hAnsi="Times New Roman;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352">
              <w:r>
                <w:rPr>
                  <w:rStyle w:val="InternetLink"/>
                  <w:rFonts w:ascii="Times New Roman;serif" w:hAnsi="Times New Roman;serif"/>
                  <w:b w:val="false"/>
                  <w:strike w:val="false"/>
                  <w:dstrike w:val="false"/>
                  <w:color w:val="000000"/>
                  <w:sz w:val="20"/>
                  <w:u w:val="none"/>
                  <w:effect w:val="none"/>
                </w:rPr>
                <w:t>113</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68b42b683848a6a74b4669307bf513_355">
              <w:r>
                <w:rPr>
                  <w:rStyle w:val="InternetLink"/>
                  <w:rFonts w:ascii="Times New Roman;serif" w:hAnsi="Times New Roman;serif"/>
                  <w:b w:val="false"/>
                  <w:color w:val="0000FF"/>
                  <w:sz w:val="20"/>
                  <w:u w:val="single"/>
                </w:rPr>
                <w:t>Signatures</w:t>
              </w:r>
            </w:hyperlink>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68b42b683848a6a74b4669307bf513_355">
              <w:r>
                <w:rPr>
                  <w:rStyle w:val="InternetLink"/>
                  <w:rFonts w:ascii="Times New Roman;serif" w:hAnsi="Times New Roman;serif"/>
                  <w:b w:val="false"/>
                  <w:strike w:val="false"/>
                  <w:dstrike w:val="false"/>
                  <w:color w:val="000000"/>
                  <w:sz w:val="20"/>
                  <w:u w:val="none"/>
                  <w:effect w:val="none"/>
                </w:rPr>
                <w:t>114</w:t>
              </w:r>
            </w:hyperlink>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“would,”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future financial performance, including our expectations regarding our revenue, operating expenses, and our ability to determine reserves and achieve and sustain profitability;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improve the effectiveness and predictiveness of our AI models and our expectations that improvements in our AI models can lead to higher approval rates and lower interest rates;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increase the volume of loans facilitated through our AI lending marketplace;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successfully maintain a diversified and resilient loan funding strategy, including lending partnerships, whole loan sales, committed capital and other co-investment</w:t>
      </w:r>
      <w:r>
        <w:rPr>
          <w:color w:val="3051F2"/>
        </w:rPr>
        <w:t xml:space="preserve"> </w:t>
      </w:r>
      <w:r>
        <w:rPr>
          <w:rFonts w:ascii="Times New Roman;serif" w:hAnsi="Times New Roman;serif"/>
          <w:b w:val="false"/>
          <w:color w:val="000000"/>
          <w:sz w:val="20"/>
        </w:rPr>
        <w:t xml:space="preserve">arrangements, warehouse credit and risk retention financing facilities, and securitization transactions;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our expectations regarding the accuracy of, reliability of, and our accessibility to, loan applicant and borrower data and other third-party data;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capital allocation plans, including expectations regarding funding loans through our balance sheet and allocations of cash and timing for any share repurchases and other investments;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maintain competitive interest rates offered to borrowers on our platform, while enabling our lending partners and institutional investors to achieve an adequate return over their cost of funding;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maintain, protect, and promote our brand and protect our reputation from negative publicity;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increase the effectiveness of our marketing strategies, including our direct consumer marketing initiatives;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macroeconomic events, including inflation and related changes in interest rates and monetary policy;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the credit performance of Upstart-powered loans;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our application for a national bank charter, including its outcome, potential benefits, and potential delays or conditions;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impact of disruption in the banking industry, and any associated effects on our business and industry;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expectations and management of future growth, including expanding the number of potential borrowers;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successfully adjust our proprietary AI models, products, and services, and provide up-to-date information to our lending partners, in a timely manner in response to changing macroeconomic conditions and fluctuations in the credit market;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compliance with applicable local, state, and federal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comply with and successfully adapt to complex and evolving regulatory environments, including regulation of artificial intelligence and machine learning technology;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expectations regarding regulatory support of our approach to AI-based lending;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the success of our strategic investments and acquisitions, including the integration of acquired operations, products, technology, internal controls, and personnel;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new and evolving markets and our ability to enter into new markets and introduce new products and services;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concerning relationships with third parties;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protect against increasingly sophisticated fraudulent borrowing and online theft;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service our loans and pursue collection of delinquent and defaulted loans;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compete with companies that are currently in, or may in the future enter, the markets in which we operate;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effectively secure and maintain the confidentiality of the information received, accessed, stored, provided, and used across our systems;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obtain and maintain corporate funding and liquidity to support continued growth and for general corporate purposes, which includes our ability to manage existing and future indebtedness;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attract, integrate, and retain qualified employees;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estimates, judgments, and expectations regarding key operating metrics, disclosure controls, and internal control over financial reporting and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effectively manage and expand the capabilities of our operations teams, outsourcing relationships, and other business operations;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manage security incidents and maintain our technology systems;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maintain, protect, and enhance our intellectual property;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outstanding litigation and regulatory investigations.</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caution you that the foregoing list may not contain all of the forward-looking statements made in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and elsewhere in this report. Readers are urged to carefully review and consider the various disclosures made in this report and in other documents we file from time to time with the Securities and Exchange Commission (the “SEC”)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terms the “Company,” “we,” “our,” “us,” and similar terms used herein refer collectively to Upstart Holdings, Inc., a Delaware corporation, and its consolidated subsidiaries, unless otherwise stated.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website is located at www.upstart.com and our investor relations website at ir.upstart.com.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Quarterly Report on Form 10-Q or in any other report or document we file with the SEC, and any references to our websites are intended to be inactive textual references only.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announce material information to the public about us, our products and services and other matters through a variety of means, including SEC filings, press releases, public conference calls, webcasts, the investor relations (ir.upstart.com) and newsroom (upstart.com/news) sections of our website, our X (formerly known as Twitter) account @Upstart, and Paul Gu’s X account @paulxgu, in order to achieve broad, non-exclusionary distribution of information to the public and for complying with our disclosure obligations under Regulation 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37"/>
        <w:gridCol w:w="2128"/>
        <w:gridCol w:w="2147"/>
        <w:gridCol w:w="109"/>
        <w:gridCol w:w="109"/>
        <w:gridCol w:w="109"/>
        <w:gridCol w:w="211"/>
        <w:gridCol w:w="976"/>
        <w:gridCol w:w="109"/>
        <w:gridCol w:w="109"/>
        <w:gridCol w:w="109"/>
        <w:gridCol w:w="109"/>
        <w:gridCol w:w="211"/>
        <w:gridCol w:w="976"/>
        <w:gridCol w:w="156"/>
      </w:tblGrid>
      <w:tr>
        <w:trPr/>
        <w:tc>
          <w:tcPr>
            <w:tcW w:w="263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receivable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and residual certificates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(includes $41,166 and $45,546 at fair value as of December 31, 2025 and March 31,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2,961,681 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(includes $15,219 and $15,861 at fair value as of December 31, 2025 and March 31,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liabilities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2,228,515 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700,000,000 shares authorized; 98,033,361 and 95,708,872 shares issued and outstanding as of December 31, 2025 and March 31,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2,961,681 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(1)Includes $53.8 million and $44.9 million of loans, at fair value, contributed as collateral for the consolidated securitization as of December 31, 2025 and March 31, 2026, respectively. Refer to “Note 5. Fair Value Measurement” for details.</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(2)The following table presents information on assets and liabilities related to variable interest entities (“VIEs”) that are consolidated by Upstart Holdings, Inc. at December 31, 2025 and March 31, 2026, respectively. The liabilities of each VIE can only be settled using the assets of the corresponding VIE and creditors of these entities do not have recourse to the general credit of Upstart Holdings, Inc. The assets and liabilities in the table below exclude intercompany balances that eliminate in consolidation.</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Upstart Holdings, Inc. </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00"/>
        <w:gridCol w:w="2254"/>
        <w:gridCol w:w="2273"/>
        <w:gridCol w:w="109"/>
        <w:gridCol w:w="109"/>
        <w:gridCol w:w="109"/>
        <w:gridCol w:w="226"/>
        <w:gridCol w:w="888"/>
        <w:gridCol w:w="116"/>
        <w:gridCol w:w="109"/>
        <w:gridCol w:w="109"/>
        <w:gridCol w:w="109"/>
        <w:gridCol w:w="211"/>
        <w:gridCol w:w="826"/>
        <w:gridCol w:w="157"/>
      </w:tblGrid>
      <w:tr>
        <w:trPr/>
        <w:tc>
          <w:tcPr>
            <w:tcW w:w="260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(includes $225 and $109 at fair value as of December 31, 2025 and March 31,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748,511 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685,898 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val="false"/>
          <w:color w:val="000000"/>
          <w:sz w:val="20"/>
        </w:rPr>
        <w:t>The accompanying notes are an integral part of these unaudited condensed consolidated financial statements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07"/>
        <w:gridCol w:w="1722"/>
        <w:gridCol w:w="1730"/>
        <w:gridCol w:w="109"/>
        <w:gridCol w:w="109"/>
        <w:gridCol w:w="109"/>
        <w:gridCol w:w="109"/>
        <w:gridCol w:w="109"/>
        <w:gridCol w:w="109"/>
        <w:gridCol w:w="184"/>
        <w:gridCol w:w="184"/>
        <w:gridCol w:w="372"/>
        <w:gridCol w:w="1401"/>
        <w:gridCol w:w="184"/>
        <w:gridCol w:w="109"/>
        <w:gridCol w:w="109"/>
        <w:gridCol w:w="109"/>
        <w:gridCol w:w="219"/>
        <w:gridCol w:w="862"/>
        <w:gridCol w:w="159"/>
      </w:tblGrid>
      <w:tr>
        <w:trPr/>
        <w:tc>
          <w:tcPr>
            <w:tcW w:w="220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67" w:type="dxa"/>
            <w:gridSpan w:val="6"/>
            <w:tcBorders/>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and other adjustments,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308,214 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217,867 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used in computing net loss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94,274,538 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96,901,974 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used in computing net loss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94,274,538 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96,901,974 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(1)Balances for the three months ended March 31, 2025 and 2026 include amounts related to the consolidated securitization. Refer to </w:t>
      </w:r>
      <w:r>
        <w:rPr>
          <w:color w:val="000000"/>
        </w:rPr>
        <w:t>“</w:t>
      </w:r>
      <w:r>
        <w:rPr>
          <w:rFonts w:ascii="Times New Roman;serif" w:hAnsi="Times New Roman;serif"/>
          <w:b w:val="false"/>
          <w:i/>
          <w:color w:val="000000"/>
          <w:sz w:val="16"/>
        </w:rPr>
        <w:t>Note 2. Revenue”</w:t>
      </w:r>
      <w:r>
        <w:rPr>
          <w:color w:val="000000"/>
        </w:rPr>
        <w:t xml:space="preserve"> </w:t>
      </w:r>
      <w:r>
        <w:rPr>
          <w:rFonts w:ascii="Times New Roman;serif" w:hAnsi="Times New Roman;serif"/>
          <w:b w:val="false"/>
          <w:color w:val="000000"/>
          <w:sz w:val="16"/>
        </w:rPr>
        <w:t>for details.</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(2)For the three months ended March 31, 2026, interest income and interest expense include dividend income earned on certain cash accounts and expense on convertible senior notes, respectively, which were previously included in other income, net. Refer to </w:t>
      </w:r>
      <w:r>
        <w:rPr>
          <w:color w:val="000000"/>
        </w:rPr>
        <w:t>“</w:t>
      </w:r>
      <w:r>
        <w:rPr>
          <w:rFonts w:ascii="Times New Roman;serif" w:hAnsi="Times New Roman;serif"/>
          <w:b w:val="false"/>
          <w:i/>
          <w:color w:val="000000"/>
          <w:sz w:val="16"/>
        </w:rPr>
        <w:t>Note 1. Description of Business and Significant Accounting Policies”</w:t>
      </w:r>
      <w:r>
        <w:rPr>
          <w:color w:val="000000"/>
        </w:rPr>
        <w:t xml:space="preserve"> </w:t>
      </w:r>
      <w:r>
        <w:rPr>
          <w:rFonts w:ascii="Times New Roman;serif" w:hAnsi="Times New Roman;serif"/>
          <w:b w:val="false"/>
          <w:color w:val="000000"/>
          <w:sz w:val="16"/>
        </w:rPr>
        <w:t>for details.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591" w:type="dxa"/>
        <w:jc w:val="center"/>
        <w:tblInd w:w="0" w:type="dxa"/>
        <w:tblLayout w:type="fixed"/>
        <w:tblCellMar>
          <w:top w:w="28" w:type="dxa"/>
          <w:left w:w="28" w:type="dxa"/>
          <w:bottom w:w="28" w:type="dxa"/>
          <w:right w:w="28" w:type="dxa"/>
        </w:tblCellMar>
      </w:tblPr>
      <w:tblGrid>
        <w:gridCol w:w="531"/>
        <w:gridCol w:w="282"/>
        <w:gridCol w:w="283"/>
        <w:gridCol w:w="109"/>
        <w:gridCol w:w="109"/>
        <w:gridCol w:w="109"/>
        <w:gridCol w:w="118"/>
        <w:gridCol w:w="118"/>
        <w:gridCol w:w="118"/>
        <w:gridCol w:w="118"/>
        <w:gridCol w:w="488"/>
        <w:gridCol w:w="488"/>
        <w:gridCol w:w="211"/>
        <w:gridCol w:w="109"/>
        <w:gridCol w:w="109"/>
        <w:gridCol w:w="109"/>
        <w:gridCol w:w="280"/>
        <w:gridCol w:w="494"/>
        <w:gridCol w:w="157"/>
        <w:gridCol w:w="250"/>
        <w:gridCol w:w="250"/>
        <w:gridCol w:w="251"/>
        <w:gridCol w:w="196"/>
        <w:gridCol w:w="886"/>
        <w:gridCol w:w="109"/>
        <w:gridCol w:w="109"/>
        <w:gridCol w:w="109"/>
        <w:gridCol w:w="109"/>
        <w:gridCol w:w="196"/>
        <w:gridCol w:w="751"/>
        <w:gridCol w:w="109"/>
        <w:gridCol w:w="109"/>
        <w:gridCol w:w="109"/>
        <w:gridCol w:w="109"/>
        <w:gridCol w:w="1171"/>
        <w:gridCol w:w="109"/>
        <w:gridCol w:w="109"/>
        <w:gridCol w:w="109"/>
        <w:gridCol w:w="196"/>
        <w:gridCol w:w="75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2708"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93,469,721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1,044,366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(411,157)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633,218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661,617 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789,454 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95,071,582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1,090,236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(413,604)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676,642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53"/>
        <w:gridCol w:w="407"/>
        <w:gridCol w:w="409"/>
        <w:gridCol w:w="109"/>
        <w:gridCol w:w="109"/>
        <w:gridCol w:w="124"/>
        <w:gridCol w:w="124"/>
        <w:gridCol w:w="124"/>
        <w:gridCol w:w="124"/>
        <w:gridCol w:w="488"/>
        <w:gridCol w:w="488"/>
        <w:gridCol w:w="211"/>
        <w:gridCol w:w="109"/>
        <w:gridCol w:w="109"/>
        <w:gridCol w:w="109"/>
        <w:gridCol w:w="316"/>
        <w:gridCol w:w="557"/>
        <w:gridCol w:w="177"/>
        <w:gridCol w:w="250"/>
        <w:gridCol w:w="250"/>
        <w:gridCol w:w="251"/>
        <w:gridCol w:w="203"/>
        <w:gridCol w:w="921"/>
        <w:gridCol w:w="113"/>
        <w:gridCol w:w="109"/>
        <w:gridCol w:w="109"/>
        <w:gridCol w:w="109"/>
        <w:gridCol w:w="235"/>
        <w:gridCol w:w="903"/>
        <w:gridCol w:w="132"/>
        <w:gridCol w:w="109"/>
        <w:gridCol w:w="109"/>
        <w:gridCol w:w="109"/>
        <w:gridCol w:w="196"/>
        <w:gridCol w:w="751"/>
        <w:gridCol w:w="109"/>
        <w:gridCol w:w="109"/>
        <w:gridCol w:w="109"/>
        <w:gridCol w:w="109"/>
        <w:gridCol w:w="163"/>
      </w:tblGrid>
      <w:tr>
        <w:trPr/>
        <w:tc>
          <w:tcPr>
            <w:tcW w:w="65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2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98,033,361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1,156,361</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(357,556)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798,815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(3,193,294)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95,708,872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1,097,358</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(364,202)</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733,166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63"/>
        <w:gridCol w:w="2237"/>
        <w:gridCol w:w="2252"/>
        <w:gridCol w:w="109"/>
        <w:gridCol w:w="109"/>
        <w:gridCol w:w="250"/>
        <w:gridCol w:w="818"/>
        <w:gridCol w:w="128"/>
        <w:gridCol w:w="128"/>
        <w:gridCol w:w="128"/>
        <w:gridCol w:w="128"/>
        <w:gridCol w:w="250"/>
        <w:gridCol w:w="818"/>
        <w:gridCol w:w="128"/>
        <w:gridCol w:w="159"/>
      </w:tblGrid>
      <w:tr>
        <w:trPr/>
        <w:tc>
          <w:tcPr>
            <w:tcW w:w="2563"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servicing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servicing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beneficial interest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beneficial interest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financial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 servicing rights,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premium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(1,345,253)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(2,459,444)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1,316,696 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2,371,308 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 by consolidated securitization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beneficial interest liabilities,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beneficial interest assets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beneficial interest assets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and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originations of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(149,916)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(438,365)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notes receivable and repayments of residual certificates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settlements of beneficial interest assets (hybrid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beneficial interest assets (hybrid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234" w:type="dxa"/>
        <w:jc w:val="center"/>
        <w:tblInd w:w="0" w:type="dxa"/>
        <w:tblLayout w:type="fixed"/>
        <w:tblCellMar>
          <w:top w:w="28" w:type="dxa"/>
          <w:left w:w="28" w:type="dxa"/>
          <w:bottom w:w="28" w:type="dxa"/>
          <w:right w:w="28" w:type="dxa"/>
        </w:tblCellMar>
      </w:tblPr>
      <w:tblGrid>
        <w:gridCol w:w="2202"/>
        <w:gridCol w:w="1930"/>
        <w:gridCol w:w="1942"/>
        <w:gridCol w:w="109"/>
        <w:gridCol w:w="109"/>
        <w:gridCol w:w="224"/>
        <w:gridCol w:w="880"/>
        <w:gridCol w:w="116"/>
        <w:gridCol w:w="116"/>
        <w:gridCol w:w="116"/>
        <w:gridCol w:w="116"/>
        <w:gridCol w:w="224"/>
        <w:gridCol w:w="880"/>
        <w:gridCol w:w="116"/>
        <w:gridCol w:w="154"/>
      </w:tblGrid>
      <w:tr>
        <w:trPr/>
        <w:tc>
          <w:tcPr>
            <w:tcW w:w="2202"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to third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made on securitization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related to stock-based award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(136,735)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839,528 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interests obtained in connection with loan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retained under unconsolidated securitization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72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presents cash, cash equivalents and restricted cash by category within the unaudited condensed consolidated balance sheets:</w:t>
      </w:r>
    </w:p>
    <w:tbl>
      <w:tblPr>
        <w:tblW w:w="7085" w:type="dxa"/>
        <w:jc w:val="center"/>
        <w:tblInd w:w="0" w:type="dxa"/>
        <w:tblLayout w:type="fixed"/>
        <w:tblCellMar>
          <w:top w:w="28" w:type="dxa"/>
          <w:left w:w="28" w:type="dxa"/>
          <w:bottom w:w="28" w:type="dxa"/>
          <w:right w:w="28" w:type="dxa"/>
        </w:tblCellMar>
      </w:tblPr>
      <w:tblGrid>
        <w:gridCol w:w="1429"/>
        <w:gridCol w:w="1254"/>
        <w:gridCol w:w="1261"/>
        <w:gridCol w:w="109"/>
        <w:gridCol w:w="109"/>
        <w:gridCol w:w="109"/>
        <w:gridCol w:w="211"/>
        <w:gridCol w:w="976"/>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shd w:fill="FFFFFF" w:val="clear"/>
        </w:rPr>
        <w:t xml:space="preserve">The accompanying notes are an integral part of these </w:t>
      </w:r>
      <w:r>
        <w:rPr>
          <w:rFonts w:ascii="Times New Roman;serif" w:hAnsi="Times New Roman;serif"/>
          <w:b w:val="false"/>
          <w:color w:val="000000"/>
          <w:sz w:val="20"/>
        </w:rPr>
        <w:t>unaudited condensed</w:t>
      </w:r>
      <w:r>
        <w:rPr>
          <w:color w:val="000000"/>
          <w:shd w:fill="FFFFFF" w:val="clear"/>
        </w:rPr>
        <w:t xml:space="preserve"> </w:t>
      </w:r>
      <w:r>
        <w:rPr>
          <w:rFonts w:ascii="Times New Roman;serif" w:hAnsi="Times New Roman;serif"/>
          <w:b w:val="false"/>
          <w:color w:val="000000"/>
          <w:sz w:val="20"/>
          <w:shd w:fill="FFFFFF" w:val="clear"/>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    Description of Business and Significant Accounting Policies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Upstart Holdings, Inc. and its subsidiaries (together “Upstart”, the “Company”, “management”, “we”, or “our”) apply artificial intelligence (“AI”) models and cloud applications to the process of underwriting consumer credit to more accurately quantify the true risk of a loan. The Company helps originate credit by providing lending partners and auto dealers with access to a proprietary, cloud-based, AI lending marketplace and connects consumers with diverse sources of capital. The Company currently operates in the United States and is headquartered in San Mateo, California. The Company’s fiscal year ends on December 31.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on the same basis as the annual consolidated financial statements included in our Annual Report on Form 10-K. Certain prior period amounts have been reclassified where appropriate to conform to the current period presentation of such amounts. In the opinion of management, the accompanying condensed consolidated financial statements reflect all adjustments, which include only normal recurring adjustments, necessary to state fairly the Company’s financial position, results of operations, comprehensive loss and cash flows for the periods presented, but are not necessarily indicative of the results of operations to be anticipated of any future annual or interim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information and disclosures normally included in the financial statements prepared in accordance with accounting principles generally accepted in the United States of America (“GAAP”) have been omitted pursuant to rules and regulations of the SEC. Accordingly, the information included in this Quarterly Report on Form 10-Q should be read in conjunction with the consolidated financial statements and accompanying notes included in our Annual Report on Form 10-K for the year ended December 31, 2025.</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Reclassifications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elected to change its presentation of the notes receivable and residual certificates retained from unconsolidated securitization transactions. The notes receivable and residual certificates, previously presented within other assets, were reclassified to be separately presented on the condensed consolidated balance sheets. Comparative amounts have been reclassified to conform to the current period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revised its presentation of (i) interest expense and amortization of debt issuance costs related to its convertible senior notes and (ii) dividend income earned on certain cash accounts based on management’s updated assessment of the economics of capital deployed in support of the Company’s operations, including the related income and costs. In prior periods, these amounts were presented in other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this change: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Expense on convertible notes previously included in other income, net are now presented within interest expense in total interest income, interest expense, and fair value adjustments, net in the condensed consolidated statements of operations and comprehensive loss.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Dividend income earned on certain cash accounts previously included in other income, net is now presented within interest income in total interest income, interest expense, and fair value adjustments, net in the condensed consolidated statements of operations and comprehensive loss.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change did not impact the Company’s net loss, comprehensive loss, or cash flows for any period. Comparative amounts have not been reclassified to conform to the current-period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January 1, 2026, the Company adopted Accounting Standards Update (“ASU”) 2024-04, </w:t>
      </w:r>
      <w:r>
        <w:rPr>
          <w:rFonts w:ascii="Times New Roman;serif" w:hAnsi="Times New Roman;serif"/>
          <w:b w:val="false"/>
          <w:i/>
          <w:color w:val="000000"/>
          <w:sz w:val="20"/>
        </w:rPr>
        <w:t>Debt—Debt with Conversion and Other Options (Subtopic 470-20): Induced Conversions of Convertible Debt Instruments.</w:t>
      </w:r>
      <w:r>
        <w:rPr>
          <w:color w:val="000000"/>
        </w:rPr>
        <w:t xml:space="preserve"> </w:t>
      </w:r>
      <w:r>
        <w:rPr>
          <w:rFonts w:ascii="Times New Roman;serif" w:hAnsi="Times New Roman;serif"/>
          <w:b w:val="false"/>
          <w:color w:val="000000"/>
          <w:sz w:val="20"/>
        </w:rPr>
        <w:t xml:space="preserve">The new guidance clarifies the requirements for determining whether certain settlements of convertible debt instruments should be accounted for as an induced conversion. The new standard is applied prospectively to future settlements of convertible debt and did not have an impact on the Company’s condensed consolidated financial statements or related disclosures.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November 2024, the FASB issued ASU 2024-03 and subsequently ASU 2025-01,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The amendments in this update require disaggregated disclosures in the notes to the financial statements for certain expenses such as employee compensation, depreciation, and intangible asset amortization, which are commonly presented in aggregate. This ASU is effective for annual periods beginning after December 15, 2026 and interim periods beginning after December 15, 2027 with early adoption permitted. The Company is currently evaluating the impact of these amendments to its condensed consolidated financial statements and related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amendments in this update remove references to software development project stages and introduce a “probable-to-complete” threshold to determine when software development costs should be capitalized. This ASU is effective for annual reporting periods beginning after December 15, 2027 with early adoption permitted. The Company is currently evaluating the impact of these amendments to its condensed consolidated financial statements and related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amendments in this update clarify the existing interim requirements including introducing a disclosure principle that entities should disclose material events since the end of the last annual reporting period. The amendments do not expand or reduce the current interim disclosure requirements. This ASU is effective for interim periods within annual reporting periods beginning after December 15, 2027 with early adoption permitted. The Company is currently evaluating the impact of these amendments on its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2.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disaggregates revenue from fees by type of service for the periods presented as follows: </w:t>
      </w:r>
    </w:p>
    <w:tbl>
      <w:tblPr>
        <w:tblW w:w="7327" w:type="dxa"/>
        <w:jc w:val="center"/>
        <w:tblInd w:w="0" w:type="dxa"/>
        <w:tblLayout w:type="fixed"/>
        <w:tblCellMar>
          <w:top w:w="28" w:type="dxa"/>
          <w:left w:w="28" w:type="dxa"/>
          <w:bottom w:w="28" w:type="dxa"/>
          <w:right w:w="28" w:type="dxa"/>
        </w:tblCellMar>
      </w:tblPr>
      <w:tblGrid>
        <w:gridCol w:w="895"/>
        <w:gridCol w:w="788"/>
        <w:gridCol w:w="792"/>
        <w:gridCol w:w="109"/>
        <w:gridCol w:w="109"/>
        <w:gridCol w:w="109"/>
        <w:gridCol w:w="109"/>
        <w:gridCol w:w="109"/>
        <w:gridCol w:w="192"/>
        <w:gridCol w:w="192"/>
        <w:gridCol w:w="192"/>
        <w:gridCol w:w="192"/>
        <w:gridCol w:w="372"/>
        <w:gridCol w:w="1457"/>
        <w:gridCol w:w="192"/>
        <w:gridCol w:w="109"/>
        <w:gridCol w:w="109"/>
        <w:gridCol w:w="109"/>
        <w:gridCol w:w="211"/>
        <w:gridCol w:w="82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and referral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other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185,475 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Platform and Referral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Platform and referral fees, net consists of (i) platform and referral fees received from lending partners, (ii) subscription fees received from auto dealerships, and (iii) origination fees received from borrowers on home equity lines of credit (“HELOCs”), as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Platform and referral fees. </w:t>
      </w:r>
      <w:r>
        <w:rPr>
          <w:rFonts w:ascii="Times New Roman;serif" w:hAnsi="Times New Roman;serif"/>
          <w:b w:val="false"/>
          <w:color w:val="000000"/>
          <w:sz w:val="20"/>
        </w:rPr>
        <w:t>The Company enters into contracts with its lending partner customers, to provide access to a cloud-based AI lending marketplace developed by the Company (the “Upstart platform”) to enable lending partners to originate unsecured personal and secured auto refinance loans. The Upstart platform includes a cloud-based application (through Upstart.com)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loss. The Company recognized an immaterial amount of loan premium fees and loan trailing fees as contra-revenue within platform and referral fees, net during the three months ended March 31, 2025 and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December 31, 2025 and March 31, 2026, the Company recognized $5.8 million and $6.0 million of loan trailing fee liability, respectively, which is recorded at fair value and included within accrued expenses and other liabilities on the Company’s condensed consolidated balance sheets.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 on changes in fair value associated with trailing fee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generally billed and paid on a monthly basis, or settled on a daily basis. As such, the Company’s contracts with customers do not include a significant financing component.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Subscription fees.</w:t>
      </w:r>
      <w:r>
        <w:rPr>
          <w:color w:val="000000"/>
        </w:rPr>
        <w:t xml:space="preserve"> </w:t>
      </w:r>
      <w:r>
        <w:rPr>
          <w:rFonts w:ascii="Times New Roman;serif" w:hAnsi="Times New Roman;serif"/>
          <w:b w:val="false"/>
          <w:color w:val="000000"/>
          <w:sz w:val="20"/>
        </w:rPr>
        <w:t>The Company enters into subscription agreements with auto dealerships to access Upstart Auto Finance software, a cloud-based solution that facilitates dealership operations and enables them to provide consumers with access to Upstart-powered auto loans. Subscription agreements generally have a contractual term of one to six months with evergreen monthly renewals. The Company bills these customers on a monthly basis. Subscription fees are recognized over the contract term as the performance obligation is satisfied, and is included within platform and referral fees, net in the condensed consolidated statements of operations and comprehensive loss. Subscription fees were immaterial for the three months ended March 31, 2025 and 2026.</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Origination fees.</w:t>
      </w:r>
      <w:r>
        <w:rPr>
          <w:color w:val="000000"/>
        </w:rPr>
        <w:t xml:space="preserve"> </w:t>
      </w:r>
      <w:r>
        <w:rPr>
          <w:rFonts w:ascii="Times New Roman;serif" w:hAnsi="Times New Roman;serif"/>
          <w:b w:val="false"/>
          <w:color w:val="000000"/>
          <w:sz w:val="20"/>
        </w:rPr>
        <w:t>Origination fees are earned from borrowers on HELOCs originated by the Company. Origination fees were not material for the three months ended March 31, 2025 and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$25.8 million and $25.6 million of accounts receivable, excluding those that are settled on a daily basis, that are included in other assets on the condensed consolidated balance sheets related to contracts with customers as of December 31, 2025 and March 31, 2026, respectively. The standard payment terms on accounts receivable are 30 days. The Company’s allowance for bad debt and bad debt expense were immaterial for the periods presented.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both December 31, 2025 and March 31, 2026, the Company had an immaterial amount of contract costs capitalized within other assets on the condensed consolidated balance sheets. During the three months ended March 31, 2025 and 2026, the Company amortized immaterial amounts of capitalized contracts costs to sales and marketing in the condensed consolidated statements of operations and comprehensive loss.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Customers accounting for greater than 10% of total revenue were as follows:</w:t>
      </w:r>
    </w:p>
    <w:p>
      <w:pPr>
        <w:pStyle w:val="TextBody"/>
        <w:bidi w:val="0"/>
        <w:spacing w:before="0" w:after="0"/>
        <w:jc w:val="both"/>
        <w:rPr/>
      </w:pPr>
      <w:r>
        <w:rPr/>
      </w:r>
    </w:p>
    <w:tbl>
      <w:tblPr>
        <w:tblW w:w="5530"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09"/>
        <w:gridCol w:w="109"/>
        <w:gridCol w:w="109"/>
        <w:gridCol w:w="109"/>
        <w:gridCol w:w="557"/>
        <w:gridCol w:w="557"/>
        <w:gridCol w:w="557"/>
        <w:gridCol w:w="557"/>
        <w:gridCol w:w="561"/>
        <w:gridCol w:w="109"/>
        <w:gridCol w:w="109"/>
        <w:gridCol w:w="109"/>
        <w:gridCol w:w="167"/>
        <w:gridCol w:w="167"/>
        <w:gridCol w:w="23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898" w:type="dxa"/>
            <w:gridSpan w:val="6"/>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Customers accounting for greater than 10% of accounts receivable were as follows:</w:t>
      </w:r>
    </w:p>
    <w:p>
      <w:pPr>
        <w:pStyle w:val="TextBody"/>
        <w:bidi w:val="0"/>
        <w:spacing w:before="0" w:after="0"/>
        <w:ind w:left="0" w:right="0" w:firstLine="720"/>
        <w:jc w:val="both"/>
        <w:rPr/>
      </w:pPr>
      <w:r>
        <w:rPr/>
      </w:r>
    </w:p>
    <w:tbl>
      <w:tblPr>
        <w:tblW w:w="494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574"/>
        <w:gridCol w:w="574"/>
        <w:gridCol w:w="576"/>
        <w:gridCol w:w="109"/>
        <w:gridCol w:w="109"/>
        <w:gridCol w:w="109"/>
        <w:gridCol w:w="434"/>
        <w:gridCol w:w="434"/>
        <w:gridCol w:w="61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Less than 10%</w:t>
      </w:r>
    </w:p>
    <w:p>
      <w:pPr>
        <w:pStyle w:val="TextBody"/>
        <w:bidi w:val="0"/>
        <w:spacing w:before="0" w:after="0"/>
        <w:ind w:left="0" w:right="0" w:hanging="54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Servicing and Other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enters into contracts with lending partners and institutional investors, including securitization trusts and pass-through entities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charges lending partners and institutional investors for collection agency fees related to their outstanding loan portfolio. The Company either performs borrower collection activities in-house, or outsources to third-party collection agencies, including for loans that are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 xml:space="preserve">for additional information on changes in fair value associated with servicing assets and liabilities.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servicing and other fees, net as part of revenue from fees, net in the Company’s condensed consolidated statements of operations and comprehensive loss:</w:t>
      </w:r>
    </w:p>
    <w:p>
      <w:pPr>
        <w:pStyle w:val="TextBody"/>
        <w:bidi w:val="0"/>
        <w:spacing w:before="0" w:after="0"/>
        <w:jc w:val="left"/>
        <w:rPr/>
      </w:pPr>
      <w:r>
        <w:rPr/>
      </w:r>
    </w:p>
    <w:tbl>
      <w:tblPr>
        <w:tblW w:w="9509" w:type="dxa"/>
        <w:jc w:val="left"/>
        <w:tblInd w:w="0" w:type="dxa"/>
        <w:tblLayout w:type="fixed"/>
        <w:tblCellMar>
          <w:top w:w="28" w:type="dxa"/>
          <w:left w:w="28" w:type="dxa"/>
          <w:bottom w:w="28" w:type="dxa"/>
          <w:right w:w="28" w:type="dxa"/>
        </w:tblCellMar>
      </w:tblPr>
      <w:tblGrid>
        <w:gridCol w:w="1644"/>
        <w:gridCol w:w="1447"/>
        <w:gridCol w:w="1454"/>
        <w:gridCol w:w="109"/>
        <w:gridCol w:w="109"/>
        <w:gridCol w:w="109"/>
        <w:gridCol w:w="109"/>
        <w:gridCol w:w="109"/>
        <w:gridCol w:w="109"/>
        <w:gridCol w:w="109"/>
        <w:gridCol w:w="241"/>
        <w:gridCol w:w="241"/>
        <w:gridCol w:w="467"/>
        <w:gridCol w:w="1598"/>
        <w:gridCol w:w="241"/>
        <w:gridCol w:w="109"/>
        <w:gridCol w:w="109"/>
        <w:gridCol w:w="109"/>
        <w:gridCol w:w="211"/>
        <w:gridCol w:w="721"/>
        <w:gridCol w:w="154"/>
      </w:tblGrid>
      <w:tr>
        <w:trPr/>
        <w:tc>
          <w:tcPr>
            <w:tcW w:w="164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agency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servicing rights and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servicing and other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 For the three months ended March 31, 2026, interest income, interest expense, and fair value adjustments, net also includes coupon interest expense and amortization of debt issuance costs related to the Company’s convertible senior notes and dividend income earned on certain cash accounts, which were previously included in other income, net. Refer to </w:t>
      </w:r>
      <w:r>
        <w:rPr>
          <w:color w:val="000000"/>
        </w:rPr>
        <w:t>“</w:t>
      </w:r>
      <w:r>
        <w:rPr>
          <w:rFonts w:ascii="Times New Roman;serif" w:hAnsi="Times New Roman;serif"/>
          <w:b w:val="false"/>
          <w:i/>
          <w:color w:val="000000"/>
          <w:sz w:val="20"/>
        </w:rPr>
        <w:t>Note 1. Description of Business and Significant Accounting Policies”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the interest income, interest expense, and fair value adjustments, net presented in the Company’s condensed consolidated statements of operations and comprehensive loss: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2"/>
        <w:gridCol w:w="1759"/>
        <w:gridCol w:w="1751"/>
        <w:gridCol w:w="109"/>
        <w:gridCol w:w="109"/>
        <w:gridCol w:w="109"/>
        <w:gridCol w:w="109"/>
        <w:gridCol w:w="109"/>
        <w:gridCol w:w="109"/>
        <w:gridCol w:w="109"/>
        <w:gridCol w:w="213"/>
        <w:gridCol w:w="213"/>
        <w:gridCol w:w="414"/>
        <w:gridCol w:w="1418"/>
        <w:gridCol w:w="213"/>
        <w:gridCol w:w="109"/>
        <w:gridCol w:w="109"/>
        <w:gridCol w:w="109"/>
        <w:gridCol w:w="211"/>
        <w:gridCol w:w="721"/>
        <w:gridCol w:w="160"/>
      </w:tblGrid>
      <w:tr>
        <w:trPr/>
        <w:tc>
          <w:tcPr>
            <w:tcW w:w="2042"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9" w:type="dxa"/>
            <w:gridSpan w:val="6"/>
            <w:tcBorders/>
          </w:tcPr>
          <w:p>
            <w:pPr>
              <w:pStyle w:val="TableContents"/>
              <w:bidi w:val="0"/>
              <w:spacing w:before="0" w:after="283"/>
              <w:jc w:val="left"/>
              <w:rPr>
                <w:sz w:val="4"/>
                <w:szCs w:val="4"/>
              </w:rPr>
            </w:pPr>
            <w:r>
              <w:rPr>
                <w:sz w:val="4"/>
                <w:szCs w:val="4"/>
              </w:rPr>
            </w:r>
          </w:p>
        </w:tc>
      </w:tr>
      <w:tr>
        <w:trPr/>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and 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loss on loans, loan charge-offs, and other fair value adjustments,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adjustments and realized gains on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loss on sale of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 and 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Includes interest income, interest expense and unrealized loss on loans, loan charge-offs, and other fair value adjustments, net related to the consolidated securitization as follows:</w:t>
      </w:r>
    </w:p>
    <w:p>
      <w:pPr>
        <w:pStyle w:val="TextBody"/>
        <w:bidi w:val="0"/>
        <w:spacing w:before="0" w:after="0"/>
        <w:jc w:val="left"/>
        <w:rPr/>
      </w:pPr>
      <w:r>
        <w:rPr/>
      </w:r>
    </w:p>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2144"/>
        <w:gridCol w:w="1884"/>
        <w:gridCol w:w="1889"/>
        <w:gridCol w:w="109"/>
        <w:gridCol w:w="109"/>
        <w:gridCol w:w="109"/>
        <w:gridCol w:w="109"/>
        <w:gridCol w:w="109"/>
        <w:gridCol w:w="109"/>
        <w:gridCol w:w="109"/>
        <w:gridCol w:w="209"/>
        <w:gridCol w:w="209"/>
        <w:gridCol w:w="405"/>
        <w:gridCol w:w="1183"/>
        <w:gridCol w:w="209"/>
        <w:gridCol w:w="109"/>
        <w:gridCol w:w="109"/>
        <w:gridCol w:w="109"/>
        <w:gridCol w:w="211"/>
        <w:gridCol w:w="616"/>
        <w:gridCol w:w="156"/>
      </w:tblGrid>
      <w:tr>
        <w:trPr/>
        <w:tc>
          <w:tcPr>
            <w:tcW w:w="214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10" w:type="dxa"/>
            <w:gridSpan w:val="6"/>
            <w:tcBorders/>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 related to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loans, loan charge-offs, and other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is recognized based on the terms of the underlying agreements with borrowers for loans and line of credit receivable held on the Company’s condensed consolidated balance sheets and is earned over the life of a loan or a line of credit receivable.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includes accrued interest earned on outstanding loans and line of credit receivable but not collected. Generally, HELOCs that have reached a delinquency over 180 days and all other loans and line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receivable that have reached a delinquency over 120 days are charged off and do not accrue interest. The Company does not record an allowance for credit losses on accrued interest receivable. As of December 31, 2025 and March 31, 2026, the Company has recorded $10.2 million and $10.7 million, respectively of accrued interest income in loans on the condensed consolidated balance sheets. Accrued interest income on the line of credit receivable was immaterial as of both December 31, 2025 and March 31, 2026. For the three months ended March 31, 2026, interest income included $4.8 million of dividend income earned on certain cash accounts.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is primarily related to interest recorded on the Company’s borrowings on warehouse credit facilities and interest expense related to the consolidated securitization. Interest expense includes accrued interest incurred but not paid. Interest expense also includes changes in fair value of the interest rate caps. Accrued interest expenses for the warehouses were immaterial as of both December 31, 2025 and March 31, 2026. For the three months ended March 31, 2026, interest expense included $5.1 million of coupon interest expense and amortization of debt issuance costs related to the Company’s convertible senior notes.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Fair Value and Other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Fair value and other adjustments, net include changes in fair value of financial instruments, other than loan servicing assets and liabilities and interest rate caps. These adjustments are recorded in the Company’s condensed consolidated statements of operations and comprehensive loss and include both realized and unrealized changes to the value of related assets and liabilities.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immaterial for the three months ended March 31, 2025 and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3.    Variable Interest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variable interest entities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summary of financial assets and liabilities from the Company’s involvement with consolidated VIEs: </w:t>
      </w:r>
    </w:p>
    <w:p>
      <w:pPr>
        <w:pStyle w:val="TextBody"/>
        <w:bidi w:val="0"/>
        <w:spacing w:before="0" w:after="0"/>
        <w:ind w:left="0" w:right="0" w:firstLine="612"/>
        <w:jc w:val="both"/>
        <w:rPr/>
      </w:pPr>
      <w:r>
        <w:rPr/>
      </w:r>
    </w:p>
    <w:tbl>
      <w:tblPr>
        <w:tblW w:w="7223" w:type="dxa"/>
        <w:jc w:val="left"/>
        <w:tblInd w:w="0" w:type="dxa"/>
        <w:tblLayout w:type="fixed"/>
        <w:tblCellMar>
          <w:top w:w="28" w:type="dxa"/>
          <w:left w:w="28" w:type="dxa"/>
          <w:bottom w:w="28" w:type="dxa"/>
          <w:right w:w="28" w:type="dxa"/>
        </w:tblCellMar>
      </w:tblPr>
      <w:tblGrid>
        <w:gridCol w:w="1000"/>
        <w:gridCol w:w="879"/>
        <w:gridCol w:w="88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warehouse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23" w:type="dxa"/>
        <w:jc w:val="left"/>
        <w:tblInd w:w="0" w:type="dxa"/>
        <w:tblLayout w:type="fixed"/>
        <w:tblCellMar>
          <w:top w:w="28" w:type="dxa"/>
          <w:left w:w="28" w:type="dxa"/>
          <w:bottom w:w="28" w:type="dxa"/>
          <w:right w:w="28" w:type="dxa"/>
        </w:tblCellMar>
      </w:tblPr>
      <w:tblGrid>
        <w:gridCol w:w="1000"/>
        <w:gridCol w:w="879"/>
        <w:gridCol w:w="88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warehouse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Consolidated Securitization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6, 2023, the Company completed a private securitization securities offering (“UPST 2023-2”). As the retaining sponsor, the Company retained 5% vertical interests in the form of securitization notes and residual certificates. The Company also retained the remainder of the residual certificates issued as part of the transaction. The Company determined it was the primary beneficiary and consolidated the entities associated with UPST 2023-2.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 on determination of fair value of these assets and liabilities. The value of the residual certificates issued as part of the securitization and retained by the Company was eliminated as part of the consolidation.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Warehouse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established various entities deemed to be VIEs to enter into warehouse credit facilities for the purpose of purchasing Upstart-powered loans.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for additional information. These entities are Delaware statutory trusts that are structured to be bankruptcy-remote, with third-party banks operating as trustees.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Other 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formed a number of VIEs for the purpose of holding Upstart-powered loans that are not pledged or eligible to be pledged to the Company’s warehouse credit facilities. In addition, the Company has formed consolidated VIEs for the purpose of holding restricted cash or loans as collateral in connection with committed capital and other co-investment arrangements.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Unconsolidated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transactions with unconsolidated VIEs include securitizations and sales of whole loans to VIEs, including loan sales under its committed capital and other co-investment arrangements. Refer to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for additional information on unconsolidated VIEs related to committed capital and other co-investment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Securitizations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 continues to be involved with the unconsolidated VIEs in its role as the sponsor and the servicer of securitization transactions, the Company has determined that it is not the primary beneficiary of these entities. The Company’s unconsolidated VIEs include entities established as the issuers and grantor trusts for various securitization transactions.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exercised clean up calls related to a number of historical unconsolidated securitizations and subsequently liquidated the associated entities. As part of the clean up calls, the Company, as servicer, repurchased the remaining collateral and received the cash reserve amounts held by the related entities. The clean up calls had no material impact on the condensed consolidated financial statements of the Company.</w:t>
      </w:r>
    </w:p>
    <w:p>
      <w:pPr>
        <w:pStyle w:val="TextBody"/>
        <w:bidi w:val="0"/>
        <w:spacing w:before="0" w:after="0"/>
        <w:ind w:left="0" w:right="0" w:firstLine="619"/>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aggregate value of assets and liabilities of unconsolidated VIEs associated with securitizations in which the Company holds a variable interest but is not the primary beneficiary: </w:t>
      </w:r>
    </w:p>
    <w:p>
      <w:pPr>
        <w:pStyle w:val="TextBody"/>
        <w:bidi w:val="0"/>
        <w:spacing w:before="0" w:after="0"/>
        <w:jc w:val="left"/>
        <w:rPr/>
      </w:pPr>
      <w:r>
        <w:rPr/>
      </w:r>
    </w:p>
    <w:tbl>
      <w:tblPr>
        <w:tblW w:w="908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478"/>
        <w:gridCol w:w="1873"/>
        <w:gridCol w:w="349"/>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Assets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Exposure to 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cash and the unpaid principal balance of loans held by the unconsolidated VIEs.</w:t>
      </w:r>
    </w:p>
    <w:tbl>
      <w:tblPr>
        <w:tblW w:w="908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478"/>
        <w:gridCol w:w="1873"/>
        <w:gridCol w:w="349"/>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Assets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Exposure to 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105,918 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cash and the unpaid principal balance of loans held by the unconsolidated VIEs.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maximum exposure to loss from its involvement with unconsolidated VIEs represents the value of securities retained and cash deposits made under the risk retention requirements for the related securitizations and estimates the loss that would be incurred under severe, hypothetical circumstances, for which the Company believes the possibility is remote. The carrying value of assets that relate to variable interests in unconsolidated VIEs consists of $97.4 million and $105.1 million of securitization notes and residual certificates that are carried at fair value and included in notes receivable and residual certificates (at fair value) on the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March 31, 2026, respectively. The Company also had an immaterial amount of cash deposits held as reserve accounts for related securitizations, included in other assets on the condensed consolidated balance sheets as of both December 31, 2025 and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securitization transactions where the Company is not the risk retaining sponsor, and servicing is the only form of continuing involvement, the Company would only experience a loss if it were required to repurchase a loan due to a breach in representations and warranties and is not able to collect all repayments, refer to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for further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 xml:space="preserve">4.    Beneficial Interests </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Beneficial interests are associated with committed capital and other co-investment arrangements with third-parties, in which the Company puts certain amounts of assets at risk. The risk is subject to a dollar cap, which represents the Company’s maximum exposure to losses in each particular arrangement.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certain arrangements, the Company is obligated to make payments to these third-parties or is entitled to receive payments from them if credit performance of the loans deviates from initial expectations. These arrangements meet the definition of derivatives under ASC 815 and produce an asset or a liability depending on the credit performance of the underlying loan portfolio as of the reporting date, which are settled periodically in cash based on contractual terms. Under other arrangements, the Company makes an initial investment and is entitled to a portion of cash flows from repayments received over time on the underlying loan portfolios. These cash flows vary 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accounts for these derivatives and hybrid instruments at fair value under ASC 815 and ASC 825, respectively.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Beneficial interests represent the value of the future cash flows based on expected performance, discounted to the present value. The following table presents the aggregate outstanding principal balance of the underlying loan portfolios as well as the fair value of beneficial interest assets, by type, which collectively are presented as a separate caption on the condensed consolidated balance sheets, and beneficial interest liabilities, which are presented in accrued expenses and other liabilities on the condensed consolidated balance sheets.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9"/>
        <w:gridCol w:w="757"/>
        <w:gridCol w:w="762"/>
        <w:gridCol w:w="109"/>
        <w:gridCol w:w="109"/>
        <w:gridCol w:w="109"/>
        <w:gridCol w:w="321"/>
        <w:gridCol w:w="1488"/>
        <w:gridCol w:w="166"/>
        <w:gridCol w:w="109"/>
        <w:gridCol w:w="109"/>
        <w:gridCol w:w="109"/>
        <w:gridCol w:w="211"/>
        <w:gridCol w:w="826"/>
        <w:gridCol w:w="109"/>
        <w:gridCol w:w="109"/>
        <w:gridCol w:w="109"/>
        <w:gridCol w:w="109"/>
        <w:gridCol w:w="321"/>
        <w:gridCol w:w="1488"/>
        <w:gridCol w:w="166"/>
        <w:gridCol w:w="109"/>
        <w:gridCol w:w="109"/>
        <w:gridCol w:w="109"/>
        <w:gridCol w:w="211"/>
        <w:gridCol w:w="826"/>
        <w:gridCol w:w="109"/>
        <w:gridCol w:w="109"/>
        <w:gridCol w:w="158"/>
      </w:tblGrid>
      <w:tr>
        <w:trPr/>
        <w:tc>
          <w:tcPr>
            <w:tcW w:w="86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(hybrid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4,530,737 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5,204,737 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3,672,607 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7,089,947 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8,877,344 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 liabilities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2,325,305 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1,627,194 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recognizes beneficial interests at fair value with changes reported as part of the fair value and other adjustments on the condensed consolidated statements of operations and comprehensive loss</w:t>
      </w:r>
      <w:r>
        <w:rPr>
          <w:rFonts w:ascii="Times New Roman;serif" w:hAnsi="Times New Roman;serif"/>
          <w:b w:val="false"/>
          <w:color w:val="3051F2"/>
          <w:sz w:val="20"/>
        </w:rPr>
        <w:t xml:space="preserve">. </w:t>
      </w:r>
      <w:r>
        <w:rPr>
          <w:rFonts w:ascii="Times New Roman;serif" w:hAnsi="Times New Roman;serif"/>
          <w:b w:val="false"/>
          <w:color w:val="000000"/>
          <w:sz w:val="20"/>
        </w:rPr>
        <w:t>The table below presents net gains recognized on beneficial interests: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929"/>
        <w:gridCol w:w="1696"/>
        <w:gridCol w:w="1700"/>
        <w:gridCol w:w="109"/>
        <w:gridCol w:w="109"/>
        <w:gridCol w:w="109"/>
        <w:gridCol w:w="109"/>
        <w:gridCol w:w="109"/>
        <w:gridCol w:w="109"/>
        <w:gridCol w:w="109"/>
        <w:gridCol w:w="185"/>
        <w:gridCol w:w="185"/>
        <w:gridCol w:w="185"/>
        <w:gridCol w:w="185"/>
        <w:gridCol w:w="185"/>
        <w:gridCol w:w="359"/>
        <w:gridCol w:w="1230"/>
        <w:gridCol w:w="185"/>
        <w:gridCol w:w="109"/>
        <w:gridCol w:w="109"/>
        <w:gridCol w:w="109"/>
        <w:gridCol w:w="211"/>
        <w:gridCol w:w="721"/>
        <w:gridCol w:w="159"/>
      </w:tblGrid>
      <w:tr>
        <w:trPr/>
        <w:tc>
          <w:tcPr>
            <w:tcW w:w="192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gridSpan w:val="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8" w:type="dxa"/>
            <w:gridSpan w:val="6"/>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and realized gains on beneficial interests,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 of these entities. The Company additionally holds loans as collateral in connection with committed capital and other co-investment arrangements in a consolidated VIE. Refer to “</w:t>
      </w:r>
      <w:r>
        <w:rPr>
          <w:rFonts w:ascii="Times New Roman;serif" w:hAnsi="Times New Roman;serif"/>
          <w:b w:val="false"/>
          <w:i/>
          <w:color w:val="000000"/>
          <w:sz w:val="20"/>
        </w:rPr>
        <w:t>Note 3. Variable Interest Entities</w:t>
      </w:r>
      <w:r>
        <w:rPr>
          <w:color w:val="000000"/>
        </w:rPr>
        <w:t xml:space="preserve">” </w:t>
      </w:r>
      <w:r>
        <w:rPr>
          <w:rFonts w:ascii="Times New Roman;serif" w:hAnsi="Times New Roman;serif"/>
          <w:b w:val="false"/>
          <w:color w:val="000000"/>
          <w:sz w:val="20"/>
        </w:rPr>
        <w:t xml:space="preserve">for additional information. While held as collateral, these loans are ineligible to be sold and are classified as held-for-investment on the Company’s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contractual terms of committed capital and other co-investment arrangements determine the Company’s maximum exposure to losses and dictate types of assets the Company puts at risk. The Company’s maximum exposure to losses from its involvement with these arrangements are estimated under severe, hypothetical circumstances, for which the Company believes the possibility is remote. The following table presents the Company’s aggregate maximum exposure to losses by asset type:</w:t>
      </w:r>
    </w:p>
    <w:p>
      <w:pPr>
        <w:pStyle w:val="TextBody"/>
        <w:bidi w:val="0"/>
        <w:spacing w:before="0" w:after="0"/>
        <w:ind w:left="0" w:right="0" w:firstLine="720"/>
        <w:jc w:val="both"/>
        <w:rPr/>
      </w:pPr>
      <w:r>
        <w:rPr/>
      </w:r>
    </w:p>
    <w:tbl>
      <w:tblPr>
        <w:tblW w:w="6187" w:type="dxa"/>
        <w:jc w:val="left"/>
        <w:tblInd w:w="0" w:type="dxa"/>
        <w:tblLayout w:type="fixed"/>
        <w:tblCellMar>
          <w:top w:w="28" w:type="dxa"/>
          <w:left w:w="28" w:type="dxa"/>
          <w:bottom w:w="28" w:type="dxa"/>
          <w:right w:w="28" w:type="dxa"/>
        </w:tblCellMar>
      </w:tblPr>
      <w:tblGrid>
        <w:gridCol w:w="842"/>
        <w:gridCol w:w="739"/>
        <w:gridCol w:w="743"/>
        <w:gridCol w:w="109"/>
        <w:gridCol w:w="109"/>
        <w:gridCol w:w="109"/>
        <w:gridCol w:w="317"/>
        <w:gridCol w:w="1244"/>
        <w:gridCol w:w="164"/>
        <w:gridCol w:w="109"/>
        <w:gridCol w:w="109"/>
        <w:gridCol w:w="109"/>
        <w:gridCol w:w="233"/>
        <w:gridCol w:w="1081"/>
        <w:gridCol w:w="170"/>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160,055 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196,009 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Line of credit receivable</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931,760 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1,078,320 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Represents the unpaid principal balance.</w:t>
      </w:r>
    </w:p>
    <w:p>
      <w:pPr>
        <w:pStyle w:val="TextBody"/>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(2) $191.6 million and $190.2 million as of December 31, 2025 and March 31, 2026, respectively, is related to assets held by one institutional investor.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ind w:left="0" w:right="0" w:firstLine="630"/>
        <w:jc w:val="both"/>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5.    Fair Value Measurement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assets and liabilities measured at fair value and categorized in accordance with the fair value hierarchy: </w:t>
      </w:r>
    </w:p>
    <w:tbl>
      <w:tblPr>
        <w:tblW w:w="8254" w:type="dxa"/>
        <w:jc w:val="left"/>
        <w:tblInd w:w="0" w:type="dxa"/>
        <w:tblLayout w:type="fixed"/>
        <w:tblCellMar>
          <w:top w:w="28" w:type="dxa"/>
          <w:left w:w="28" w:type="dxa"/>
          <w:bottom w:w="28" w:type="dxa"/>
          <w:right w:w="28" w:type="dxa"/>
        </w:tblCellMar>
      </w:tblPr>
      <w:tblGrid>
        <w:gridCol w:w="1241"/>
        <w:gridCol w:w="1093"/>
        <w:gridCol w:w="1101"/>
        <w:gridCol w:w="109"/>
        <w:gridCol w:w="109"/>
        <w:gridCol w:w="109"/>
        <w:gridCol w:w="209"/>
        <w:gridCol w:w="209"/>
        <w:gridCol w:w="211"/>
        <w:gridCol w:w="109"/>
        <w:gridCol w:w="109"/>
        <w:gridCol w:w="109"/>
        <w:gridCol w:w="281"/>
        <w:gridCol w:w="1299"/>
        <w:gridCol w:w="145"/>
        <w:gridCol w:w="109"/>
        <w:gridCol w:w="109"/>
        <w:gridCol w:w="109"/>
        <w:gridCol w:w="233"/>
        <w:gridCol w:w="1081"/>
        <w:gridCol w:w="170"/>
      </w:tblGrid>
      <w:tr>
        <w:trPr/>
        <w:tc>
          <w:tcPr>
            <w:tcW w:w="12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Level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and residual 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1,632,092 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1,751,413 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fee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serif" w:hAnsi="Times New Roman;serif"/>
          <w:b w:val="false"/>
          <w:color w:val="242424"/>
          <w:sz w:val="20"/>
        </w:rPr>
        <w:t xml:space="preserve">do not trade in an active market with readily observable prices. The Company uses significant unobservable inputs to measure the fair value of these assets and liabilities. </w:t>
      </w:r>
      <w:r>
        <w:rPr>
          <w:rFonts w:ascii="Times New Roman;serif" w:hAnsi="Times New Roman;serif"/>
          <w:b w:val="false"/>
          <w:color w:val="000000"/>
          <w:sz w:val="20"/>
        </w:rPr>
        <w:t>There were no transfers between Level 1, Level 2 or Level 3 of the fair value hierarchy during the periods presented.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included in the Company’s condensed consolidated balance sheets are classified as either held-for-sale or held-for-investment based on the Company’s intent and ability to sell the loans prior to maturity. The Company reassesses such intent and ability on an ongoing basis and may transfer loans between categories as circumstances change. Loans held in the consolidated securitization include those loans contributed as collateral to the securitization and are classified as held-for-sale.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loans held on the Company’s condensed consolidated balance sheets by classification:</w:t>
      </w:r>
    </w:p>
    <w:tbl>
      <w:tblPr>
        <w:tblW w:w="7342" w:type="dxa"/>
        <w:jc w:val="center"/>
        <w:tblInd w:w="0" w:type="dxa"/>
        <w:tblLayout w:type="fixed"/>
        <w:tblCellMar>
          <w:top w:w="28" w:type="dxa"/>
          <w:left w:w="28" w:type="dxa"/>
          <w:bottom w:w="28" w:type="dxa"/>
          <w:right w:w="28" w:type="dxa"/>
        </w:tblCellMar>
      </w:tblPr>
      <w:tblGrid>
        <w:gridCol w:w="1258"/>
        <w:gridCol w:w="1106"/>
        <w:gridCol w:w="1115"/>
        <w:gridCol w:w="109"/>
        <w:gridCol w:w="109"/>
        <w:gridCol w:w="109"/>
        <w:gridCol w:w="317"/>
        <w:gridCol w:w="1244"/>
        <w:gridCol w:w="164"/>
        <w:gridCol w:w="109"/>
        <w:gridCol w:w="109"/>
        <w:gridCol w:w="109"/>
        <w:gridCol w:w="233"/>
        <w:gridCol w:w="1081"/>
        <w:gridCol w:w="170"/>
      </w:tblGrid>
      <w:tr>
        <w:trPr/>
        <w:tc>
          <w:tcPr>
            <w:tcW w:w="12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393,159 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723,855 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in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1,014,089 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For the consolidated securitization, the Company elected the measurement alternative under Topic 810, </w:t>
      </w:r>
      <w:r>
        <w:rPr>
          <w:rFonts w:ascii="Times New Roman;serif" w:hAnsi="Times New Roman;serif"/>
          <w:b w:val="false"/>
          <w:i/>
          <w:color w:val="000000"/>
          <w:sz w:val="20"/>
        </w:rPr>
        <w:t>Consolidation</w:t>
      </w:r>
      <w:r>
        <w:rPr>
          <w:rFonts w:ascii="Times New Roman;serif" w:hAnsi="Times New Roman;serif"/>
          <w:b w:val="false"/>
          <w:color w:val="000000"/>
          <w:sz w:val="20"/>
        </w:rPr>
        <w:t>, and maximizes the use of observable inputs to estimate the fair value of the financial assets and liabilities of the securitization. Under the measurement alternative, the Company determined that inputs and market data used to determine the value of the liabilities, which consist of securitization notes and residual certificates, are more observable than those used to measure fair value of the financial assets, which consist of held-for-sale loans. Thus, the loans are measured based on the sum of the fair value of the securitization notes and residual certificates. The fair value is also corroborated with a discounted cash flow model that considers projected prepayments and historical defaults, losses and recoveries to project future losses and net cash flows on loans, discounted using an estimate of market rates of return as disclosed below in the “Significant Inputs and Assumptions” section. The fair value of loans in the consolidated securitization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quantitative information about the significant unobservable inputs used for the Company’s Level 3 fair value measurements for loans held-for-investment and held-for-sale, excluding loans held in the consolidated securitization: </w:t>
      </w:r>
    </w:p>
    <w:tbl>
      <w:tblPr>
        <w:tblW w:w="10888" w:type="dxa"/>
        <w:jc w:val="center"/>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color w:val="000000"/>
              </w:rPr>
              <w:t xml:space="preserve"> </w:t>
            </w:r>
            <w:r>
              <w:rPr>
                <w:rFonts w:ascii="Times New Roman;serif" w:hAnsi="Times New Roman;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implied for the Company’s Level 3 fair value measurements for loans held in the consolidated securitization:</w:t>
      </w:r>
    </w:p>
    <w:tbl>
      <w:tblPr>
        <w:tblW w:w="10888" w:type="dxa"/>
        <w:jc w:val="center"/>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color w:val="000000"/>
              </w:rPr>
              <w:t xml:space="preserve"> </w:t>
            </w:r>
            <w:r>
              <w:rPr>
                <w:rFonts w:ascii="Times New Roman;serif" w:hAnsi="Times New Roman;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 xml:space="preserve">The discount rates are rates of return used to discount future expected cash flows to arrive at a present value, which represents the 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discount rates to reflect the amount of compensation market participants require due to the uncertainty inherent in the instruments’ cash flows resulting from risks such as credit and liquidity. </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rates</w:t>
      </w:r>
      <w:r>
        <w:rPr>
          <w:color w:val="000000"/>
        </w:rPr>
        <w:t>–</w:t>
      </w:r>
      <w:r>
        <w:rPr>
          <w:rFonts w:ascii="Times New Roman;serif" w:hAnsi="Times New Roman;serif"/>
          <w:b w:val="false"/>
          <w:color w:val="000000"/>
          <w:sz w:val="20"/>
        </w:rPr>
        <w:t xml:space="preserve">The credit risk rates are an estimate of the net cumulative principal payments that will not be repaid over the entire life of a 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rates</w:t>
      </w:r>
      <w:r>
        <w:rPr>
          <w:color w:val="000000"/>
        </w:rPr>
        <w:t>–</w:t>
      </w:r>
      <w:r>
        <w:rPr>
          <w:rFonts w:ascii="Times New Roman;serif" w:hAnsi="Times New Roman;serif"/>
          <w:b w:val="false"/>
          <w:color w:val="000000"/>
          <w:sz w:val="20"/>
        </w:rPr>
        <w:t xml:space="preserve">Prepayment rates are an estimate of the cumulative principal prepayments that will occur over the entire life of a loan as a percentage of the original principal amount of the loan. The assumption regarding cumulative prepayments impacts the projected balances and expected terms of the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sensitivity of the fair value of loans held-for-sale and held-for-investment, excluding loans held in the consolidated securitization, to adverse changes in the significant assumptions used in the valuation model. Adverse changes in prepayment rates do not result in a material impact to the fair value of loans held-for-sale and held-for-investment as of December 31, 2025 and March 31, 2026.</w:t>
      </w:r>
    </w:p>
    <w:tbl>
      <w:tblPr>
        <w:tblW w:w="8738" w:type="dxa"/>
        <w:jc w:val="left"/>
        <w:tblInd w:w="0" w:type="dxa"/>
        <w:tblLayout w:type="fixed"/>
        <w:tblCellMar>
          <w:top w:w="28" w:type="dxa"/>
          <w:left w:w="28" w:type="dxa"/>
          <w:bottom w:w="28" w:type="dxa"/>
          <w:right w:w="28" w:type="dxa"/>
        </w:tblCellMar>
      </w:tblPr>
      <w:tblGrid>
        <w:gridCol w:w="1767"/>
        <w:gridCol w:w="1552"/>
        <w:gridCol w:w="1555"/>
        <w:gridCol w:w="109"/>
        <w:gridCol w:w="109"/>
        <w:gridCol w:w="109"/>
        <w:gridCol w:w="317"/>
        <w:gridCol w:w="1244"/>
        <w:gridCol w:w="164"/>
        <w:gridCol w:w="109"/>
        <w:gridCol w:w="109"/>
        <w:gridCol w:w="109"/>
        <w:gridCol w:w="263"/>
        <w:gridCol w:w="1030"/>
        <w:gridCol w:w="192"/>
      </w:tblGrid>
      <w:tr>
        <w:trPr/>
        <w:tc>
          <w:tcPr>
            <w:tcW w:w="176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loans held-for-sale and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930,790 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969,233 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loss rates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significant assumptions do not result in a material impact to the fair value of loans held in the consolidated securitization as of December 31, 2025 and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loans classified within Level 3 of the fair value hierarchy:</w:t>
      </w:r>
    </w:p>
    <w:tbl>
      <w:tblPr>
        <w:tblW w:w="10205" w:type="dxa"/>
        <w:jc w:val="left"/>
        <w:tblInd w:w="0" w:type="dxa"/>
        <w:tblLayout w:type="fixed"/>
        <w:tblCellMar>
          <w:top w:w="28" w:type="dxa"/>
          <w:left w:w="28" w:type="dxa"/>
          <w:bottom w:w="28" w:type="dxa"/>
          <w:right w:w="28" w:type="dxa"/>
        </w:tblCellMar>
      </w:tblPr>
      <w:tblGrid>
        <w:gridCol w:w="886"/>
        <w:gridCol w:w="689"/>
        <w:gridCol w:w="691"/>
        <w:gridCol w:w="109"/>
        <w:gridCol w:w="109"/>
        <w:gridCol w:w="109"/>
        <w:gridCol w:w="261"/>
        <w:gridCol w:w="1024"/>
        <w:gridCol w:w="135"/>
        <w:gridCol w:w="109"/>
        <w:gridCol w:w="109"/>
        <w:gridCol w:w="109"/>
        <w:gridCol w:w="366"/>
        <w:gridCol w:w="1434"/>
        <w:gridCol w:w="190"/>
        <w:gridCol w:w="109"/>
        <w:gridCol w:w="109"/>
        <w:gridCol w:w="109"/>
        <w:gridCol w:w="371"/>
        <w:gridCol w:w="1459"/>
        <w:gridCol w:w="194"/>
        <w:gridCol w:w="109"/>
        <w:gridCol w:w="109"/>
        <w:gridCol w:w="109"/>
        <w:gridCol w:w="211"/>
        <w:gridCol w:w="826"/>
        <w:gridCol w:w="160"/>
      </w:tblGrid>
      <w:tr>
        <w:trPr/>
        <w:tc>
          <w:tcPr>
            <w:tcW w:w="8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405,812 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806,304 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(571,696)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(774,632)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347,749 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378,012 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88,916 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814,677 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Represents the principal balance.</w:t>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045"/>
        <w:gridCol w:w="626"/>
        <w:gridCol w:w="627"/>
        <w:gridCol w:w="109"/>
        <w:gridCol w:w="109"/>
        <w:gridCol w:w="109"/>
        <w:gridCol w:w="255"/>
        <w:gridCol w:w="1003"/>
        <w:gridCol w:w="132"/>
        <w:gridCol w:w="109"/>
        <w:gridCol w:w="109"/>
        <w:gridCol w:w="109"/>
        <w:gridCol w:w="360"/>
        <w:gridCol w:w="1413"/>
        <w:gridCol w:w="187"/>
        <w:gridCol w:w="109"/>
        <w:gridCol w:w="109"/>
        <w:gridCol w:w="109"/>
        <w:gridCol w:w="384"/>
        <w:gridCol w:w="1317"/>
        <w:gridCol w:w="200"/>
        <w:gridCol w:w="109"/>
        <w:gridCol w:w="109"/>
        <w:gridCol w:w="109"/>
        <w:gridCol w:w="211"/>
        <w:gridCol w:w="976"/>
        <w:gridCol w:w="161"/>
      </w:tblGrid>
      <w:tr>
        <w:trPr/>
        <w:tc>
          <w:tcPr>
            <w:tcW w:w="104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537,631 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Reclassification of loans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313,969 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(313,969)</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(319,573)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2,090,945 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2,090,945 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(2,090,945)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(2,090,945)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723,855 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245,378 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44,856 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1,014,089 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Represents the principal balance.</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(2)    Effective March 31, 2026, the Company reclassified HELOCs and auto retail loans as they now meet the definition of loans held-for-sale based on our intent and ability to sell these loans prior to maturity. </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(3)    Purchase activity includes an immaterial unpaid principal balance related to securitization clean-up calls during the three months ended March 31, 2026.</w:t>
      </w:r>
    </w:p>
    <w:p>
      <w:pPr>
        <w:pStyle w:val="TextBody"/>
        <w:bidi w:val="0"/>
        <w:spacing w:before="0" w:after="0"/>
        <w:ind w:left="0" w:right="0" w:hanging="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aggregate fair value and aggregate principal outstanding of all loans and loans that were 90 days or more past due included in the condensed consolidated balance sheets: </w:t>
      </w:r>
    </w:p>
    <w:p>
      <w:pPr>
        <w:pStyle w:val="TextBody"/>
        <w:bidi w:val="0"/>
        <w:spacing w:before="0" w:after="0"/>
        <w:jc w:val="left"/>
        <w:rPr/>
      </w:pPr>
      <w:r>
        <w:rPr/>
      </w:r>
    </w:p>
    <w:tbl>
      <w:tblPr>
        <w:tblW w:w="10145" w:type="dxa"/>
        <w:jc w:val="left"/>
        <w:tblInd w:w="0" w:type="dxa"/>
        <w:tblLayout w:type="fixed"/>
        <w:tblCellMar>
          <w:top w:w="28" w:type="dxa"/>
          <w:left w:w="28" w:type="dxa"/>
          <w:bottom w:w="28" w:type="dxa"/>
          <w:right w:w="28" w:type="dxa"/>
        </w:tblCellMar>
      </w:tblPr>
      <w:tblGrid>
        <w:gridCol w:w="1413"/>
        <w:gridCol w:w="1239"/>
        <w:gridCol w:w="1247"/>
        <w:gridCol w:w="109"/>
        <w:gridCol w:w="109"/>
        <w:gridCol w:w="109"/>
        <w:gridCol w:w="211"/>
        <w:gridCol w:w="976"/>
        <w:gridCol w:w="109"/>
        <w:gridCol w:w="109"/>
        <w:gridCol w:w="109"/>
        <w:gridCol w:w="109"/>
        <w:gridCol w:w="211"/>
        <w:gridCol w:w="976"/>
        <w:gridCol w:w="109"/>
        <w:gridCol w:w="109"/>
        <w:gridCol w:w="109"/>
        <w:gridCol w:w="109"/>
        <w:gridCol w:w="255"/>
        <w:gridCol w:w="873"/>
        <w:gridCol w:w="132"/>
        <w:gridCol w:w="109"/>
        <w:gridCol w:w="109"/>
        <w:gridCol w:w="109"/>
        <w:gridCol w:w="211"/>
        <w:gridCol w:w="72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&gt; 90 Days Past Due</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fair value and accrued interest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     Includes $367.4 million and $311.8 million of auto loans at fair value as of December 31, 2025 and March 31, 2026, respectively, of which an immaterial amount are 90 days or more past due. Also includes $149.5 million and $171.8 million of HELOCs at fair value as of December 31, 2025 and March 31, 2026, respectively, of which immaterial amounts are 90 days or more past due.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     The fair value of loans in nonaccrual status was immaterial as of December 31, 2025 and March 31,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Line of Credit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a committed capital and other co-investment arrangement, the Company issued a revolving line of credit receivable to a third-party, which is classified as held-for-investment. The fair value of the line of credit receivable as of December 31, 2025 and March 31, 2026 was $112.7 million and $111.9 million,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line of credit receivable is measured at estimated fair value using a discounted cash flow model. The model is based on the expected monthly outstanding balance of the line of credit receivable over the life of the agreement and considers the present creditworthiness of the counterparty and the difference between the market rates of return and the stated interest rate. Cash flows are discounted using an estimate of market rates of return. The fair value of the line of credit receivable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related to the line of credit receivable:</w:t>
      </w:r>
    </w:p>
    <w:p>
      <w:pPr>
        <w:pStyle w:val="TextBody"/>
        <w:bidi w:val="0"/>
        <w:spacing w:before="0" w:after="0"/>
        <w:ind w:left="0" w:right="0" w:firstLine="720"/>
        <w:jc w:val="both"/>
        <w:rPr/>
      </w:pPr>
      <w:r>
        <w:rPr/>
      </w:r>
    </w:p>
    <w:tbl>
      <w:tblPr>
        <w:tblW w:w="10291"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315"/>
        <w:gridCol w:w="315"/>
        <w:gridCol w:w="316"/>
        <w:gridCol w:w="109"/>
        <w:gridCol w:w="109"/>
        <w:gridCol w:w="109"/>
        <w:gridCol w:w="330"/>
        <w:gridCol w:w="330"/>
        <w:gridCol w:w="331"/>
        <w:gridCol w:w="109"/>
        <w:gridCol w:w="109"/>
        <w:gridCol w:w="109"/>
        <w:gridCol w:w="565"/>
        <w:gridCol w:w="565"/>
        <w:gridCol w:w="566"/>
        <w:gridCol w:w="109"/>
        <w:gridCol w:w="109"/>
        <w:gridCol w:w="109"/>
        <w:gridCol w:w="255"/>
        <w:gridCol w:w="256"/>
        <w:gridCol w:w="526"/>
        <w:gridCol w:w="109"/>
        <w:gridCol w:w="109"/>
        <w:gridCol w:w="109"/>
        <w:gridCol w:w="255"/>
        <w:gridCol w:w="256"/>
        <w:gridCol w:w="551"/>
        <w:gridCol w:w="109"/>
        <w:gridCol w:w="109"/>
        <w:gridCol w:w="109"/>
        <w:gridCol w:w="355"/>
        <w:gridCol w:w="355"/>
        <w:gridCol w:w="103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w:t>
      </w:r>
      <w:r>
        <w:rPr>
          <w:color w:val="000000"/>
        </w:rPr>
        <w:t>–</w:t>
      </w:r>
      <w:r>
        <w:rPr>
          <w:rFonts w:ascii="Times New Roman;serif" w:hAnsi="Times New Roman;serif"/>
          <w:b w:val="false"/>
          <w:color w:val="000000"/>
          <w:sz w:val="20"/>
        </w:rPr>
        <w:t xml:space="preserve">The discount rate is the rate of return used to discount future expected cash flows to arrive at a present value, which represents the fair value. The discount rate used for the projected net cash flows is the Company’s estimate of the rate of return that market participants would require when investing in this financial instrument with cash flows dependent on credit quality of the counterparty. A risk premium component is implicitly included in the discount rate to reflect the amount of compensation market participants require due to the uncertainty inherent in the instrument’s cash flows resulting from risks such as credit and liquidity of the counterparty. </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hanging="54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significant assumptions do not result in a material impact to the fair value of the line of credit receivable as of December 31, 2025 and March 31, 2026.</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rollforward of the line of credit receivable classified by the Company within Level 3 of the fair value hierarchy: </w:t>
      </w:r>
    </w:p>
    <w:p>
      <w:pPr>
        <w:pStyle w:val="TextBody"/>
        <w:bidi w:val="0"/>
        <w:spacing w:before="0" w:after="0"/>
        <w:jc w:val="left"/>
        <w:rPr/>
      </w:pPr>
      <w:r>
        <w:rPr/>
      </w:r>
    </w:p>
    <w:tbl>
      <w:tblPr>
        <w:tblW w:w="617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49"/>
        <w:gridCol w:w="1534"/>
        <w:gridCol w:w="327"/>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56,269 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24,856 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81,780 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6"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111,916 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Assets and Liabilities related to Securitization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March 31, 2026, the Company held notes receivable and residual certificates retained from unconsolidated securitization transactions with an aggregate fair value of $97.4 million and $105.1 million,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March 31, 2026, the Company recognized payables to securitization note holders of $46.5 million and $39.2 million at fair value, respectively. The balance represents the value of the securitization notes issued and owned by third-party investors in connection with the consolidated securitization. The value of securitization notes and residual certificates retained by the Company is eliminated in the consolidation process.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prioritizes the use of observable inputs in estimating the fair value of notes receivable and residual certificates and payable to securitization note holders when available. Fair value is corroborated using a discounted cash flow methodology. This approach uses assumptions of projected cash flows of the underlying collateral loan pools adjusted for features of these securities, which reflect the Company’s best estimates of the assumptions a market participant would use to determine fair value.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related to notes receivable, residual certificates, and payable to securitization note holders:</w:t>
      </w:r>
    </w:p>
    <w:tbl>
      <w:tblPr>
        <w:tblW w:w="11083" w:type="dxa"/>
        <w:jc w:val="left"/>
        <w:tblInd w:w="0" w:type="dxa"/>
        <w:tblLayout w:type="fixed"/>
        <w:tblCellMar>
          <w:top w:w="28" w:type="dxa"/>
          <w:left w:w="28" w:type="dxa"/>
          <w:bottom w:w="28" w:type="dxa"/>
          <w:right w:w="28" w:type="dxa"/>
        </w:tblCellMar>
      </w:tblPr>
      <w:tblGrid>
        <w:gridCol w:w="606"/>
        <w:gridCol w:w="334"/>
        <w:gridCol w:w="336"/>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6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color w:val="000000"/>
              </w:rPr>
              <w:t xml:space="preserv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Recurring Level 3 Fair Value Input Sensitivity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Notes Receivable and Residual Certificates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the significant assumptions do not result in a material impact to the fair value of notes receivable and residual certificates as of December 31, 2025 and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Payable to Securitization Note 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the significant assumptions do not result in a material impact to the fair value of payable to securitization note holders as of December 31, 2025 and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the notes receivable and residual certificates and payables to securitization note holders related to securitization transactions classified by the Company within Level 3 of the fair value hierarchy: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4"/>
        <w:gridCol w:w="973"/>
        <w:gridCol w:w="976"/>
        <w:gridCol w:w="109"/>
        <w:gridCol w:w="109"/>
        <w:gridCol w:w="109"/>
        <w:gridCol w:w="649"/>
        <w:gridCol w:w="2221"/>
        <w:gridCol w:w="337"/>
        <w:gridCol w:w="109"/>
        <w:gridCol w:w="109"/>
        <w:gridCol w:w="109"/>
        <w:gridCol w:w="605"/>
        <w:gridCol w:w="2073"/>
        <w:gridCol w:w="315"/>
        <w:gridCol w:w="109"/>
        <w:gridCol w:w="159"/>
      </w:tblGrid>
      <w:tr>
        <w:trPr/>
        <w:tc>
          <w:tcPr>
            <w:tcW w:w="113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22,055 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87,321 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19,471 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75,904 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1132"/>
        <w:gridCol w:w="972"/>
        <w:gridCol w:w="975"/>
        <w:gridCol w:w="109"/>
        <w:gridCol w:w="109"/>
        <w:gridCol w:w="109"/>
        <w:gridCol w:w="592"/>
        <w:gridCol w:w="2319"/>
        <w:gridCol w:w="305"/>
        <w:gridCol w:w="109"/>
        <w:gridCol w:w="109"/>
        <w:gridCol w:w="109"/>
        <w:gridCol w:w="604"/>
        <w:gridCol w:w="2071"/>
        <w:gridCol w:w="314"/>
        <w:gridCol w:w="109"/>
        <w:gridCol w:w="158"/>
      </w:tblGrid>
      <w:tr>
        <w:trPr/>
        <w:tc>
          <w:tcPr>
            <w:tcW w:w="1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97,416 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105,066 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39,188 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Loan Servicing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as of December 31, 2025 and March 31, 2026, the Company’s loan servicing assets had a fair value of $40.9 million and $45.4 million, respectively, recorded within other assets on the condensed consolidated balance sheets. As of December 31, 2025 and March 31, 2026, the Company’s loan servicing liabilities had a fair value of $4.4 million and $6.6 million, respectively, recorded within accrued expenses and other liabilities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Valuation Methodology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 servicing assets and liabilities are measured at estimated fair value using a discounted cash flow model. The cash flows in the valuation model represent the difference between the contractual servicing fees charged and the estimated market servicing fee. Since contractual servicing fees are generally based on the monthly outstanding principal balance of the underlying loans, the expected cash flows in the model incorporate estimates of net losses and prepayments.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Inputs and Assumptions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for loan servicing assets and liabilities:</w:t>
      </w:r>
    </w:p>
    <w:tbl>
      <w:tblPr>
        <w:tblW w:w="11533" w:type="dxa"/>
        <w:jc w:val="left"/>
        <w:tblInd w:w="0" w:type="dxa"/>
        <w:tblLayout w:type="fixed"/>
        <w:tblCellMar>
          <w:top w:w="28" w:type="dxa"/>
          <w:left w:w="28" w:type="dxa"/>
          <w:bottom w:w="28" w:type="dxa"/>
          <w:right w:w="28" w:type="dxa"/>
        </w:tblCellMar>
      </w:tblPr>
      <w:tblGrid>
        <w:gridCol w:w="549"/>
        <w:gridCol w:w="481"/>
        <w:gridCol w:w="486"/>
        <w:gridCol w:w="109"/>
        <w:gridCol w:w="109"/>
        <w:gridCol w:w="109"/>
        <w:gridCol w:w="308"/>
        <w:gridCol w:w="308"/>
        <w:gridCol w:w="526"/>
        <w:gridCol w:w="109"/>
        <w:gridCol w:w="109"/>
        <w:gridCol w:w="109"/>
        <w:gridCol w:w="308"/>
        <w:gridCol w:w="308"/>
        <w:gridCol w:w="551"/>
        <w:gridCol w:w="109"/>
        <w:gridCol w:w="109"/>
        <w:gridCol w:w="109"/>
        <w:gridCol w:w="378"/>
        <w:gridCol w:w="378"/>
        <w:gridCol w:w="940"/>
        <w:gridCol w:w="109"/>
        <w:gridCol w:w="109"/>
        <w:gridCol w:w="109"/>
        <w:gridCol w:w="308"/>
        <w:gridCol w:w="308"/>
        <w:gridCol w:w="526"/>
        <w:gridCol w:w="109"/>
        <w:gridCol w:w="109"/>
        <w:gridCol w:w="109"/>
        <w:gridCol w:w="308"/>
        <w:gridCol w:w="308"/>
        <w:gridCol w:w="551"/>
        <w:gridCol w:w="109"/>
        <w:gridCol w:w="109"/>
        <w:gridCol w:w="109"/>
        <w:gridCol w:w="355"/>
        <w:gridCol w:w="355"/>
        <w:gridCol w:w="1031"/>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Market-servicing rate </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(2)Excludes ancillary fees that would be passed on to a third-party servicer.</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(3)Expressed as a percentage of the outstanding principal balance of 1.16% - 2.69% for auto loans and 0.62% - 2.00% for personal loans as of December 31, 2025 and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The discount rates are the Company’s estimate of the rates of return that market participants in servicing rights would require 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w:t>
      </w:r>
      <w:r>
        <w:rPr>
          <w:rFonts w:ascii="Times New Roman;serif" w:hAnsi="Times New Roman;serif"/>
          <w:b w:val="false"/>
          <w:color w:val="000000"/>
          <w:sz w:val="20"/>
        </w:rPr>
        <w:t xml:space="preserve">s–The credit risk rates are the Company’s estimate of the net cumulative principal payments that will not be repaid over the entire life of a loan expressed as a percentage of the original principal amount of the loan. The assumption regarding net cumulative losses impacts the projected balances and expected terms of the loans, which are used to project future servicing revenues.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Market-servicing rates</w:t>
      </w:r>
      <w:r>
        <w:rPr>
          <w:color w:val="000000"/>
        </w:rPr>
        <w:t>–</w:t>
      </w:r>
      <w:r>
        <w:rPr>
          <w:rFonts w:ascii="Times New Roman;serif" w:hAnsi="Times New Roman;serif"/>
          <w:b w:val="false"/>
          <w:color w:val="000000"/>
          <w:sz w:val="20"/>
        </w:rPr>
        <w:t>Market-servicing rate is an estimated measure of adequate compensation for a market participant, if one was required. The rate is expressed as a fixed percentage of outstanding principal balance per annum. The estimate considers the profit that would be demanded in the marketplace to service the portfolio of outstanding loans subject to the Company’s servicing agreements.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rates</w:t>
      </w:r>
      <w:r>
        <w:rPr>
          <w:color w:val="000000"/>
        </w:rPr>
        <w:t>–</w:t>
      </w:r>
      <w:r>
        <w:rPr>
          <w:rFonts w:ascii="Times New Roman;serif" w:hAnsi="Times New Roman;serif"/>
          <w:b w:val="false"/>
          <w:color w:val="000000"/>
          <w:sz w:val="20"/>
        </w:rPr>
        <w:t>Prepayment rates are the Company’s estimate of the cumulative principal prepayments that will occur over the entire life of a loan as a percentage of the original principal amount of the loan. The assumption regarding cumulative prepayments impacts the projected balances and expected terms of the loans, which are used to project future servicing revenues.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fair value sensitivity of loan servicing assets to adverse changes in market-servicing rates. The fair value of loan servicing assets and liabilities are not sensitive to adverse changes in discount rates, credit risk rates, and prepayment rates as such changes do not result in a material impact on the fair value as of December 31, 2025 and March 31, 2026. Adverse changes in market-servicing rates do not result in a material impact to the fair value of loan servicing liabilities as of December 31, 2025 and March 31, 2026. </w:t>
      </w:r>
    </w:p>
    <w:tbl>
      <w:tblPr>
        <w:tblW w:w="6891"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349"/>
        <w:gridCol w:w="1195"/>
        <w:gridCol w:w="180"/>
        <w:gridCol w:w="109"/>
        <w:gridCol w:w="109"/>
        <w:gridCol w:w="109"/>
        <w:gridCol w:w="288"/>
        <w:gridCol w:w="986"/>
        <w:gridCol w:w="210"/>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Fair value of 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market-servicing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market-servicing rates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market-servicing rates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the loan servicing assets and liabilities classified by the Company within Level 3 of the fair value hierarchy:</w:t>
      </w:r>
    </w:p>
    <w:tbl>
      <w:tblPr>
        <w:tblW w:w="8200" w:type="dxa"/>
        <w:jc w:val="left"/>
        <w:tblInd w:w="0" w:type="dxa"/>
        <w:tblLayout w:type="fixed"/>
        <w:tblCellMar>
          <w:top w:w="28" w:type="dxa"/>
          <w:left w:w="28" w:type="dxa"/>
          <w:bottom w:w="28" w:type="dxa"/>
          <w:right w:w="28" w:type="dxa"/>
        </w:tblCellMar>
      </w:tblPr>
      <w:tblGrid>
        <w:gridCol w:w="1281"/>
        <w:gridCol w:w="1128"/>
        <w:gridCol w:w="1131"/>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852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Beneficial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committed capital and other co-investment arrangements that meet a definition of a derivative (derivative beneficial interests), the Company is obligated to make payments to or is entitled to receive payments from the third-party if credit performance on the underlying loans deviates from initial expectations, subject to a dollar cap. In the arrangements that are associated with debt-like securities with embedded derivative features, the Company makes an initial investment and is entitled to a portion of cash flows received over time from the underlying loan portfolios. These cash flows vary depending on the demonstrated credit performance relative to our expectations.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March 31, 2026, the fair value of the beneficial interest assets related to these arrangements was $396.2 million and $474.8 million, respectively. As of the same dates, the fair value of the beneficial interest liabilities was $5.1 million and $3.2 million,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Valuation Methodology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Beneficial interests are measured at estimated fair value using a discounted cash flow model. The discounted cash flow model sets expectations for cash flows to be received by the Company under each arrangement based on contractually-defined terms, such as total return, portfolio composition, frequency of cash distribution, and others and calculates net cash flows to be received by the Company. These net cash flows are then discounted using an estimate of market rates of return that reflect the risk premium related to those cash flows. As credit performance is demonstrated by the underlying loan portfolios, each discounted cash flow model is periodically updated to determine future cash inflows and outflows based on the latest estimated performance for the duration of each arrangement. The discounted cash flow model uses inputs discussed below that are inherently judgmental and reflect the Company’s best estimates of the assumptions a market participant would use to determine fair value of our beneficial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fair value measurements of beneficial interests as of December 31, 2025 and March 31, 2026:</w:t>
      </w:r>
    </w:p>
    <w:tbl>
      <w:tblPr>
        <w:tblW w:w="11188" w:type="dxa"/>
        <w:jc w:val="center"/>
        <w:tblInd w:w="0" w:type="dxa"/>
        <w:tblLayout w:type="fixed"/>
        <w:tblCellMar>
          <w:top w:w="28" w:type="dxa"/>
          <w:left w:w="28" w:type="dxa"/>
          <w:bottom w:w="28" w:type="dxa"/>
          <w:right w:w="28" w:type="dxa"/>
        </w:tblCellMar>
      </w:tblPr>
      <w:tblGrid>
        <w:gridCol w:w="458"/>
        <w:gridCol w:w="311"/>
        <w:gridCol w:w="312"/>
        <w:gridCol w:w="109"/>
        <w:gridCol w:w="109"/>
        <w:gridCol w:w="109"/>
        <w:gridCol w:w="306"/>
        <w:gridCol w:w="310"/>
        <w:gridCol w:w="526"/>
        <w:gridCol w:w="109"/>
        <w:gridCol w:w="109"/>
        <w:gridCol w:w="109"/>
        <w:gridCol w:w="308"/>
        <w:gridCol w:w="308"/>
        <w:gridCol w:w="551"/>
        <w:gridCol w:w="109"/>
        <w:gridCol w:w="109"/>
        <w:gridCol w:w="109"/>
        <w:gridCol w:w="388"/>
        <w:gridCol w:w="388"/>
        <w:gridCol w:w="965"/>
        <w:gridCol w:w="109"/>
        <w:gridCol w:w="109"/>
        <w:gridCol w:w="109"/>
        <w:gridCol w:w="306"/>
        <w:gridCol w:w="310"/>
        <w:gridCol w:w="526"/>
        <w:gridCol w:w="109"/>
        <w:gridCol w:w="109"/>
        <w:gridCol w:w="109"/>
        <w:gridCol w:w="308"/>
        <w:gridCol w:w="308"/>
        <w:gridCol w:w="551"/>
        <w:gridCol w:w="109"/>
        <w:gridCol w:w="109"/>
        <w:gridCol w:w="109"/>
        <w:gridCol w:w="364"/>
        <w:gridCol w:w="364"/>
        <w:gridCol w:w="1058"/>
      </w:tblGrid>
      <w:tr>
        <w:trPr/>
        <w:tc>
          <w:tcPr>
            <w:tcW w:w="4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risk rate spread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Prepayment rate spread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Beneficial interest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risk rate spread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Unobservable inputs were weighted by relative fair value.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Expressed as a percentage of cumulative net loss expectations as of the valuation date compared to the initial expectations.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(3) Expressed as a percentage of cumulative principal prepayment expectations as of the valuation date compared to the initial expectations. </w:t>
      </w:r>
    </w:p>
    <w:p>
      <w:pPr>
        <w:pStyle w:val="TextBody"/>
        <w:bidi w:val="0"/>
        <w:spacing w:before="0" w:after="0"/>
        <w:jc w:val="both"/>
        <w:rPr/>
      </w:pPr>
      <w:r>
        <w:rPr/>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The discount rates are rates of return used to discount future expected cash flows to arrive at a present value, which represents the 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w:t>
      </w:r>
      <w:r>
        <w:rPr>
          <w:color w:val="EE2724"/>
        </w:rPr>
        <w:t xml:space="preserve"> </w:t>
      </w:r>
      <w:r>
        <w:rPr>
          <w:rFonts w:ascii="Times New Roman;serif" w:hAnsi="Times New Roman;serif"/>
          <w:b w:val="false"/>
          <w:color w:val="000000"/>
          <w:sz w:val="20"/>
        </w:rPr>
        <w:t xml:space="preserve">different discount rates depending on the type of underlying collateral well as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 spreads</w:t>
      </w:r>
      <w:r>
        <w:rPr>
          <w:color w:val="000000"/>
        </w:rPr>
        <w:t>–</w:t>
      </w:r>
      <w:r>
        <w:rPr>
          <w:rFonts w:ascii="Times New Roman;serif" w:hAnsi="Times New Roman;serif"/>
          <w:b w:val="false"/>
          <w:color w:val="000000"/>
          <w:sz w:val="20"/>
        </w:rPr>
        <w:t>Credit risk rate spreads are the measurement of estimated credit performance of underlying loan portfolios as of the reporting date in comparison to the Company’s estimates at the time of origination or sale of loans under these arrangements (“initial expectation”). More specifically, credit risk rate spreads are the difference between the initial expectation of the cumulative principal of a loan portfolio, net of average recoveries, that is estimated to not be repaid over the life of a beneficial interest (“cumulative net loss”) and the same estimate as of the reporting date. A positive credit risk rate spread indicates that the estimated cumulative net loss as of the reporting period is higher than the initial expectation for a particular portfolio. A negative credit risk rate spread indicates the opposite – the estimated cumulative net loss as of the reporting period is lower than the initial expectation. Credit risk rate spreads are expressed as a percentage of the initial expectation of the cumulative total net losses. The difference between the initial and current expectation of estimated cumulative net losses impacts the amount and the timing of cash flows the Company expects to receive on beneficial interest assets or to pay for beneficial interest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 spreads</w:t>
      </w:r>
      <w:r>
        <w:rPr>
          <w:color w:val="000000"/>
        </w:rPr>
        <w:t>–</w:t>
      </w:r>
      <w:r>
        <w:rPr>
          <w:rFonts w:ascii="Times New Roman;serif" w:hAnsi="Times New Roman;serif"/>
          <w:b w:val="false"/>
          <w:color w:val="000000"/>
          <w:sz w:val="20"/>
        </w:rPr>
        <w:t>Prepayment rate spreads are the measurement of estimated prepayments on the underlying loan portfolios as of the reporting date in comparison to the Company’s initial expectation. More specifically, prepayment rate spreads are the difference between the initial expectation of cumulative principal prepayments that will occur over the life of a beneficial interest (“cumulative prepayment”) and the same estimate as of the reporting date. A positive prepayment rate spread indicates that the estimated cumulative prepayments as of the reporting period is higher than the initial expectation for a particular portfolio. A negative prepayment rate spread indicates the opposite – the estimated cumulative prepayments as of the reporting period is lower than the initial expectation. Prepayment rate spreads are expressed as a percentage of the initial expectation of the cumulative total prepayments. The difference between the initial and current expectation of estimated cumulative prepayment impacts the amount and the timing of cash flows the Company expects to receive on beneficial interest assets or to pay for beneficial interest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table presents the sensitivity of beneficial interest assets and liabilities to adverse changes in significant assumptions used in the valuation model as of December 31, 2025 and March 31, 2026. The Company adversely shocks the credit risk rate and prepayment rate on the underlying loan portfolios rather than the spreads.</w:t>
      </w:r>
      <w:r>
        <w:rPr>
          <w:color w:val="3051F2"/>
        </w:rPr>
        <w:t xml:space="preserve"> </w:t>
      </w:r>
      <w:r>
        <w:rPr>
          <w:rFonts w:ascii="Times New Roman;serif" w:hAnsi="Times New Roman;serif"/>
          <w:b w:val="false"/>
          <w:color w:val="000000"/>
          <w:sz w:val="20"/>
        </w:rPr>
        <w:t xml:space="preserve">Adverse changes in discount rates and prepayment rates do not result in a material impact to the fair value of beneficial interest liabilities as of December 31, 2025 and March 31, 2026.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tbl>
      <w:tblPr>
        <w:tblW w:w="7779" w:type="dxa"/>
        <w:jc w:val="left"/>
        <w:tblInd w:w="0" w:type="dxa"/>
        <w:tblLayout w:type="fixed"/>
        <w:tblCellMar>
          <w:top w:w="28" w:type="dxa"/>
          <w:left w:w="28" w:type="dxa"/>
          <w:bottom w:w="28" w:type="dxa"/>
          <w:right w:w="28" w:type="dxa"/>
        </w:tblCellMar>
      </w:tblPr>
      <w:tblGrid>
        <w:gridCol w:w="1415"/>
        <w:gridCol w:w="1246"/>
        <w:gridCol w:w="1254"/>
        <w:gridCol w:w="109"/>
        <w:gridCol w:w="109"/>
        <w:gridCol w:w="109"/>
        <w:gridCol w:w="317"/>
        <w:gridCol w:w="1244"/>
        <w:gridCol w:w="164"/>
        <w:gridCol w:w="109"/>
        <w:gridCol w:w="109"/>
        <w:gridCol w:w="109"/>
        <w:gridCol w:w="263"/>
        <w:gridCol w:w="1030"/>
        <w:gridCol w:w="192"/>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474,796 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risk rate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(196,247)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prepayment rate on underlying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beneficial interest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risk rate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presents a rollforward of beneficial interest assets and liabilities:</w:t>
      </w:r>
    </w:p>
    <w:p>
      <w:pPr>
        <w:pStyle w:val="TextBody"/>
        <w:bidi w:val="0"/>
        <w:spacing w:before="0" w:after="0"/>
        <w:jc w:val="left"/>
        <w:rPr/>
      </w:pPr>
      <w:r>
        <w:rPr/>
      </w:r>
    </w:p>
    <w:tbl>
      <w:tblPr>
        <w:tblW w:w="8681" w:type="dxa"/>
        <w:jc w:val="left"/>
        <w:tblInd w:w="0" w:type="dxa"/>
        <w:tblLayout w:type="fixed"/>
        <w:tblCellMar>
          <w:top w:w="28" w:type="dxa"/>
          <w:left w:w="28" w:type="dxa"/>
          <w:bottom w:w="28" w:type="dxa"/>
          <w:right w:w="28" w:type="dxa"/>
        </w:tblCellMar>
      </w:tblPr>
      <w:tblGrid>
        <w:gridCol w:w="1281"/>
        <w:gridCol w:w="1128"/>
        <w:gridCol w:w="1130"/>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beneficial interests</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38,438 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 net</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216,578 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08" w:type="dxa"/>
        <w:jc w:val="left"/>
        <w:tblInd w:w="0" w:type="dxa"/>
        <w:tblLayout w:type="fixed"/>
        <w:tblCellMar>
          <w:top w:w="28" w:type="dxa"/>
          <w:left w:w="28" w:type="dxa"/>
          <w:bottom w:w="28" w:type="dxa"/>
          <w:right w:w="28" w:type="dxa"/>
        </w:tblCellMar>
      </w:tblPr>
      <w:tblGrid>
        <w:gridCol w:w="1281"/>
        <w:gridCol w:w="1128"/>
        <w:gridCol w:w="1130"/>
        <w:gridCol w:w="109"/>
        <w:gridCol w:w="109"/>
        <w:gridCol w:w="109"/>
        <w:gridCol w:w="406"/>
        <w:gridCol w:w="1590"/>
        <w:gridCol w:w="209"/>
        <w:gridCol w:w="109"/>
        <w:gridCol w:w="109"/>
        <w:gridCol w:w="109"/>
        <w:gridCol w:w="560"/>
        <w:gridCol w:w="1639"/>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beneficial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114,072 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474,796 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Trailing Fee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pays certain lending partners monthly trailing fees based on the amount and timing of principal payments made by borrowers of the underlying loans. The Company held trailing fee liabilities of $5.8 million and $6.0 million as of December 31, 2025 and March 31, 2026,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discounted cash flow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quantitative information about the significant unobservable inputs used for the Company’s Level 3 fair value measurements for trailing fee liabilities: </w:t>
      </w:r>
    </w:p>
    <w:p>
      <w:pPr>
        <w:pStyle w:val="TextBody"/>
        <w:bidi w:val="0"/>
        <w:spacing w:before="0" w:after="0"/>
        <w:ind w:left="0" w:right="0" w:firstLine="720"/>
        <w:jc w:val="both"/>
        <w:rPr/>
      </w:pPr>
      <w:r>
        <w:rPr/>
      </w:r>
    </w:p>
    <w:tbl>
      <w:tblPr>
        <w:tblW w:w="10888" w:type="dxa"/>
        <w:jc w:val="left"/>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color w:val="000000"/>
              </w:rPr>
              <w:t xml:space="preserve"> </w:t>
            </w:r>
            <w:r>
              <w:rPr>
                <w:rFonts w:ascii="Times New Roman;serif" w:hAnsi="Times New Roman;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Unobservable inputs were weighted by relative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significant assumptions do not result in a material impact to the fair value of trailing fee liabilities as of December 31, 2025 and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trailing fee liabilities classified by the Company within Level 3 of the fair value hierarchy:</w:t>
      </w:r>
    </w:p>
    <w:tbl>
      <w:tblPr>
        <w:tblW w:w="599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57"/>
        <w:gridCol w:w="1337"/>
        <w:gridCol w:w="336"/>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77" w:type="dxa"/>
        <w:jc w:val="left"/>
        <w:tblInd w:w="0" w:type="dxa"/>
        <w:tblLayout w:type="fixed"/>
        <w:tblCellMar>
          <w:top w:w="28" w:type="dxa"/>
          <w:left w:w="28" w:type="dxa"/>
          <w:bottom w:w="28" w:type="dxa"/>
          <w:right w:w="28" w:type="dxa"/>
        </w:tblCellMar>
      </w:tblPr>
      <w:tblGrid>
        <w:gridCol w:w="1346"/>
        <w:gridCol w:w="1186"/>
        <w:gridCol w:w="1188"/>
        <w:gridCol w:w="109"/>
        <w:gridCol w:w="109"/>
        <w:gridCol w:w="109"/>
        <w:gridCol w:w="457"/>
        <w:gridCol w:w="1337"/>
        <w:gridCol w:w="336"/>
      </w:tblGrid>
      <w:tr>
        <w:trPr/>
        <w:tc>
          <w:tcPr>
            <w:tcW w:w="1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6.    Goodwill and Intangible Assets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balance was $67.1 million as of both December 31, 2025 and March 31, 2026. The Company recognized no impairment charges related to goodwill during the three months ended March 31, 2025 and 2026.</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Acquired intangible assets subject to amortization consist of customer relationships, and are recorded net of amortization and included within other assets on the condensed consolidated balance sheets. The gross and net carrying values and accumulated amortization are as follows:</w:t>
      </w:r>
    </w:p>
    <w:p>
      <w:pPr>
        <w:pStyle w:val="TextBody"/>
        <w:bidi w:val="0"/>
        <w:spacing w:before="140" w:after="283"/>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49"/>
        <w:gridCol w:w="395"/>
        <w:gridCol w:w="396"/>
        <w:gridCol w:w="109"/>
        <w:gridCol w:w="109"/>
        <w:gridCol w:w="109"/>
        <w:gridCol w:w="227"/>
        <w:gridCol w:w="777"/>
        <w:gridCol w:w="117"/>
        <w:gridCol w:w="109"/>
        <w:gridCol w:w="109"/>
        <w:gridCol w:w="109"/>
        <w:gridCol w:w="298"/>
        <w:gridCol w:w="892"/>
        <w:gridCol w:w="155"/>
        <w:gridCol w:w="109"/>
        <w:gridCol w:w="109"/>
        <w:gridCol w:w="109"/>
        <w:gridCol w:w="227"/>
        <w:gridCol w:w="663"/>
        <w:gridCol w:w="117"/>
        <w:gridCol w:w="109"/>
        <w:gridCol w:w="109"/>
        <w:gridCol w:w="109"/>
        <w:gridCol w:w="227"/>
        <w:gridCol w:w="777"/>
        <w:gridCol w:w="117"/>
        <w:gridCol w:w="109"/>
        <w:gridCol w:w="109"/>
        <w:gridCol w:w="109"/>
        <w:gridCol w:w="298"/>
        <w:gridCol w:w="892"/>
        <w:gridCol w:w="155"/>
        <w:gridCol w:w="109"/>
        <w:gridCol w:w="109"/>
        <w:gridCol w:w="109"/>
        <w:gridCol w:w="226"/>
        <w:gridCol w:w="661"/>
        <w:gridCol w:w="177"/>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2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Value</w:t>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immaterial for the three months ended March 31, 2025 and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Expected future amortization expense for intangible assets is as follows: </w:t>
      </w:r>
    </w:p>
    <w:p>
      <w:pPr>
        <w:pStyle w:val="TextBody"/>
        <w:bidi w:val="0"/>
        <w:spacing w:before="0" w:after="0"/>
        <w:jc w:val="both"/>
        <w:rPr/>
      </w:pPr>
      <w:r>
        <w:rPr/>
      </w:r>
    </w:p>
    <w:tbl>
      <w:tblPr>
        <w:tblW w:w="3297" w:type="dxa"/>
        <w:jc w:val="center"/>
        <w:tblInd w:w="0" w:type="dxa"/>
        <w:tblLayout w:type="fixed"/>
        <w:tblCellMar>
          <w:top w:w="28" w:type="dxa"/>
          <w:left w:w="28" w:type="dxa"/>
          <w:bottom w:w="28" w:type="dxa"/>
          <w:right w:w="28" w:type="dxa"/>
        </w:tblCellMar>
      </w:tblPr>
      <w:tblGrid>
        <w:gridCol w:w="538"/>
        <w:gridCol w:w="473"/>
        <w:gridCol w:w="474"/>
        <w:gridCol w:w="109"/>
        <w:gridCol w:w="109"/>
        <w:gridCol w:w="109"/>
        <w:gridCol w:w="319"/>
        <w:gridCol w:w="933"/>
        <w:gridCol w:w="233"/>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7.    Balance Sheet Components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assets consisted of the following: </w:t>
      </w:r>
    </w:p>
    <w:tbl>
      <w:tblPr>
        <w:tblW w:w="6999" w:type="dxa"/>
        <w:jc w:val="center"/>
        <w:tblInd w:w="0" w:type="dxa"/>
        <w:tblLayout w:type="fixed"/>
        <w:tblCellMar>
          <w:top w:w="28" w:type="dxa"/>
          <w:left w:w="28" w:type="dxa"/>
          <w:bottom w:w="28" w:type="dxa"/>
          <w:right w:w="28" w:type="dxa"/>
        </w:tblCellMar>
      </w:tblPr>
      <w:tblGrid>
        <w:gridCol w:w="1134"/>
        <w:gridCol w:w="999"/>
        <w:gridCol w:w="1002"/>
        <w:gridCol w:w="109"/>
        <w:gridCol w:w="109"/>
        <w:gridCol w:w="109"/>
        <w:gridCol w:w="317"/>
        <w:gridCol w:w="1244"/>
        <w:gridCol w:w="164"/>
        <w:gridCol w:w="109"/>
        <w:gridCol w:w="109"/>
        <w:gridCol w:w="109"/>
        <w:gridCol w:w="263"/>
        <w:gridCol w:w="1030"/>
        <w:gridCol w:w="192"/>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servicing assets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Intangible assets, net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(1)Refer to “</w:t>
      </w:r>
      <w:r>
        <w:rPr>
          <w:rFonts w:ascii="Times New Roman;serif" w:hAnsi="Times New Roman;serif"/>
          <w:b w:val="false"/>
          <w:i/>
          <w:color w:val="000000"/>
          <w:sz w:val="16"/>
        </w:rPr>
        <w:t xml:space="preserve">Note 5. Fair Value Measurement” </w:t>
      </w:r>
      <w:r>
        <w:rPr>
          <w:rFonts w:ascii="Times New Roman;serif" w:hAnsi="Times New Roman;serif"/>
          <w:b w:val="false"/>
          <w:color w:val="000000"/>
          <w:sz w:val="16"/>
        </w:rPr>
        <w:t>for further information.</w:t>
      </w:r>
    </w:p>
    <w:p>
      <w:pPr>
        <w:pStyle w:val="TextBody"/>
        <w:bidi w:val="0"/>
        <w:spacing w:lineRule="auto" w:line="288" w:before="0" w:after="0"/>
        <w:ind w:left="0" w:right="0" w:hanging="540"/>
        <w:jc w:val="both"/>
        <w:rPr/>
      </w:pPr>
      <w:r>
        <w:rPr>
          <w:rFonts w:ascii="Times New Roman;serif" w:hAnsi="Times New Roman;serif"/>
          <w:b w:val="false"/>
          <w:color w:val="000000"/>
          <w:sz w:val="16"/>
        </w:rPr>
        <w:t>(2)Refer to “</w:t>
      </w:r>
      <w:r>
        <w:rPr>
          <w:rFonts w:ascii="Times New Roman;serif" w:hAnsi="Times New Roman;serif"/>
          <w:b w:val="false"/>
          <w:i/>
          <w:color w:val="000000"/>
          <w:sz w:val="16"/>
        </w:rPr>
        <w:t xml:space="preserve">Note 6. Goodwill and Intangible Assets” </w:t>
      </w:r>
      <w:r>
        <w:rPr>
          <w:rFonts w:ascii="Times New Roman;serif" w:hAnsi="Times New Roman;serif"/>
          <w:b w:val="false"/>
          <w:color w:val="000000"/>
          <w:sz w:val="16"/>
        </w:rPr>
        <w:t>for further information.</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Receivables represent amounts recognized as revenue but not yet collected in relation to servicing and other agreements with institutional investors and lending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w:t>
      </w:r>
    </w:p>
    <w:tbl>
      <w:tblPr>
        <w:tblW w:w="7568" w:type="dxa"/>
        <w:jc w:val="center"/>
        <w:tblInd w:w="0" w:type="dxa"/>
        <w:tblLayout w:type="fixed"/>
        <w:tblCellMar>
          <w:top w:w="28" w:type="dxa"/>
          <w:left w:w="28" w:type="dxa"/>
          <w:bottom w:w="28" w:type="dxa"/>
          <w:right w:w="28" w:type="dxa"/>
        </w:tblCellMar>
      </w:tblPr>
      <w:tblGrid>
        <w:gridCol w:w="1340"/>
        <w:gridCol w:w="1181"/>
        <w:gridCol w:w="1184"/>
        <w:gridCol w:w="109"/>
        <w:gridCol w:w="109"/>
        <w:gridCol w:w="109"/>
        <w:gridCol w:w="349"/>
        <w:gridCol w:w="1195"/>
        <w:gridCol w:w="180"/>
        <w:gridCol w:w="109"/>
        <w:gridCol w:w="109"/>
        <w:gridCol w:w="109"/>
        <w:gridCol w:w="263"/>
        <w:gridCol w:w="1030"/>
        <w:gridCol w:w="192"/>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and 2026, depreciation and amortization expense on property, equipment, and software was $6.1 million and immaterial,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balances, net of accumulated amortization, were $38.5 million and $40.2 million as of December 31, 2025 and March 31, 2026, respectively. The Company recognized no impairment charges to internally developed software during the three months ended March 31, 2025 and 2026.</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Accrued Expenses and Other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w:t>
      </w:r>
    </w:p>
    <w:tbl>
      <w:tblPr>
        <w:tblW w:w="7508" w:type="dxa"/>
        <w:jc w:val="center"/>
        <w:tblInd w:w="0" w:type="dxa"/>
        <w:tblLayout w:type="fixed"/>
        <w:tblCellMar>
          <w:top w:w="28" w:type="dxa"/>
          <w:left w:w="28" w:type="dxa"/>
          <w:bottom w:w="28" w:type="dxa"/>
          <w:right w:w="28" w:type="dxa"/>
        </w:tblCellMar>
      </w:tblPr>
      <w:tblGrid>
        <w:gridCol w:w="1319"/>
        <w:gridCol w:w="1157"/>
        <w:gridCol w:w="1168"/>
        <w:gridCol w:w="109"/>
        <w:gridCol w:w="109"/>
        <w:gridCol w:w="109"/>
        <w:gridCol w:w="317"/>
        <w:gridCol w:w="1244"/>
        <w:gridCol w:w="164"/>
        <w:gridCol w:w="109"/>
        <w:gridCol w:w="109"/>
        <w:gridCol w:w="109"/>
        <w:gridCol w:w="263"/>
        <w:gridCol w:w="1030"/>
        <w:gridCol w:w="192"/>
      </w:tblGrid>
      <w:tr>
        <w:trPr/>
        <w:tc>
          <w:tcPr>
            <w:tcW w:w="131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fee liability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171,495 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8.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aggregate principal outstanding of all borrowings that are included in the condensed consolidated balance sheets:</w:t>
      </w:r>
    </w:p>
    <w:tbl>
      <w:tblPr>
        <w:tblW w:w="6593" w:type="dxa"/>
        <w:jc w:val="center"/>
        <w:tblInd w:w="0" w:type="dxa"/>
        <w:tblLayout w:type="fixed"/>
        <w:tblCellMar>
          <w:top w:w="28" w:type="dxa"/>
          <w:left w:w="28" w:type="dxa"/>
          <w:bottom w:w="28" w:type="dxa"/>
          <w:right w:w="28" w:type="dxa"/>
        </w:tblCellMar>
      </w:tblPr>
      <w:tblGrid>
        <w:gridCol w:w="989"/>
        <w:gridCol w:w="869"/>
        <w:gridCol w:w="872"/>
        <w:gridCol w:w="109"/>
        <w:gridCol w:w="109"/>
        <w:gridCol w:w="109"/>
        <w:gridCol w:w="281"/>
        <w:gridCol w:w="1299"/>
        <w:gridCol w:w="145"/>
        <w:gridCol w:w="109"/>
        <w:gridCol w:w="109"/>
        <w:gridCol w:w="109"/>
        <w:gridCol w:w="233"/>
        <w:gridCol w:w="1081"/>
        <w:gridCol w:w="170"/>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 retention financing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1,860,774 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1,951,762 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1,829,145 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1,921,665 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amount of maturities of all borrowings:</w:t>
      </w:r>
    </w:p>
    <w:tbl>
      <w:tblPr>
        <w:tblW w:w="3296" w:type="dxa"/>
        <w:jc w:val="left"/>
        <w:tblInd w:w="0" w:type="dxa"/>
        <w:tblLayout w:type="fixed"/>
        <w:tblCellMar>
          <w:top w:w="28" w:type="dxa"/>
          <w:left w:w="28" w:type="dxa"/>
          <w:bottom w:w="28" w:type="dxa"/>
          <w:right w:w="28" w:type="dxa"/>
        </w:tblCellMar>
      </w:tblPr>
      <w:tblGrid>
        <w:gridCol w:w="538"/>
        <w:gridCol w:w="473"/>
        <w:gridCol w:w="474"/>
        <w:gridCol w:w="109"/>
        <w:gridCol w:w="109"/>
        <w:gridCol w:w="109"/>
        <w:gridCol w:w="233"/>
        <w:gridCol w:w="1081"/>
        <w:gridCol w:w="170"/>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1,951,762 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Warehouse Credit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of the Company’s revolving warehouse credit facilities:</w:t>
      </w:r>
    </w:p>
    <w:tbl>
      <w:tblPr>
        <w:tblW w:w="11302"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535"/>
        <w:gridCol w:w="250"/>
        <w:gridCol w:w="251"/>
        <w:gridCol w:w="109"/>
        <w:gridCol w:w="109"/>
        <w:gridCol w:w="109"/>
        <w:gridCol w:w="395"/>
        <w:gridCol w:w="395"/>
        <w:gridCol w:w="396"/>
        <w:gridCol w:w="109"/>
        <w:gridCol w:w="109"/>
        <w:gridCol w:w="109"/>
        <w:gridCol w:w="211"/>
        <w:gridCol w:w="826"/>
        <w:gridCol w:w="109"/>
        <w:gridCol w:w="109"/>
        <w:gridCol w:w="109"/>
        <w:gridCol w:w="109"/>
        <w:gridCol w:w="211"/>
        <w:gridCol w:w="826"/>
        <w:gridCol w:w="109"/>
        <w:gridCol w:w="109"/>
        <w:gridCol w:w="109"/>
        <w:gridCol w:w="109"/>
        <w:gridCol w:w="231"/>
        <w:gridCol w:w="790"/>
        <w:gridCol w:w="120"/>
        <w:gridCol w:w="109"/>
        <w:gridCol w:w="109"/>
        <w:gridCol w:w="109"/>
        <w:gridCol w:w="211"/>
        <w:gridCol w:w="826"/>
        <w:gridCol w:w="109"/>
        <w:gridCol w:w="109"/>
        <w:gridCol w:w="109"/>
        <w:gridCol w:w="109"/>
        <w:gridCol w:w="211"/>
        <w:gridCol w:w="826"/>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Stated Interest Rate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Termination and Maturity</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Borrowing Capacity</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Collateral</w:t>
            </w:r>
            <w:r>
              <w:rPr>
                <w:rFonts w:ascii="Times New Roman;serif" w:hAnsi="Times New Roman;serif"/>
                <w:b w:val="false"/>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Collateral</w:t>
            </w:r>
            <w:r>
              <w:rPr>
                <w:rFonts w:ascii="Times New Roman;serif" w:hAnsi="Times New Roman;serif"/>
                <w:b w:val="false"/>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Borrowings</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Auto Warehouse Trust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+ 0% - 4.0%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 and August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Loan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+ 1.8% - 3.4%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2027 and June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Small Dollar Loan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2027 and June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(1)The interest rates on our warehouse credit facilities are floating and designed as a reference rate plus a spread. Reference rates include the Compounded Secured Overnight Financing Rate, the Term Secured Overnight Financing Rate, and the weighted-average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commercial paper notes issued by the lender. The stated interest rate excludes maximum unused commitment fees of 1.0%. The undrawn fee for Upstart Small Dollar Loan Trust is the dollar amount of interest and fees that would have been due if the daily average aggregate outstanding principal balance was equal to 75% of the then-applicable borrowing base.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(2)The first date represents the final date the Company may borrow up to the maximum capacity under the warehouse. The second date is the maturity date, when the outstanding principal amount, together with accrued and unpaid interest will be due and payable in full.</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(3)Total capacity is as of March 31, 2026. Upstart Small Dollar Loan Trust has $100.0 million of uncommitted capacity and Upstart Loan Trust has $150.0 million of uncommitted capacity out of the $325.0 million total. </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(4)Represents the aggregate restricted cash and unpaid principal balance of loans pledged as collateral.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warehouse credit facilities contain certain financial covenants. On April 15, 2026, the Company obtained a waiver under the Upstart Loan Trust warehouse facility related to breaches of certain financial covenants for the March 2026 collection period. As of March 31, 2026, the Company was in compliance with all applicable covenants for its other warehouse credit facilities.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Risk Retention Financing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2025, the Company entered into a $100.0 million risk retention financing facility to finance certain securitization notes receivable it retained in a capacity of the risk retention sponsor under applicable risk retention regulations. Under this facility, the Company pledged the securitization notes receivable as collateral. The facility’s maturity aligns with the stated maturities of the underlying notes, which range from 2026 to 2036. The facility is accounted for as a secured borrowing.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March 31, 2026, the outstanding balance of the facility was $80.7 million, presented within borrowings on the condensed consolidated balance sheets. The fair value of the securitization notes receivable pledged was $80.4 million,</w:t>
      </w:r>
      <w:r>
        <w:rPr>
          <w:color w:val="3051F2"/>
        </w:rPr>
        <w:t xml:space="preserve"> </w:t>
      </w:r>
      <w:r>
        <w:rPr>
          <w:rFonts w:ascii="Times New Roman;serif" w:hAnsi="Times New Roman;serif"/>
          <w:b w:val="false"/>
          <w:color w:val="000000"/>
          <w:sz w:val="20"/>
        </w:rPr>
        <w:t>$78.3 million of which is presented within notes receivable and residual certificates (at fair value) on the condensed consolidated balance sheets and $2.1 million related to the consolidated securitization. The financing bears interest at the weighted-average coupon of the pledged securities plus a 0.40% spread.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Pledged collateral levels are monitored and maintained at an agreed-upon percentage of the outstanding borrowings during the life of the borrowing. In the event of a decline in the fair value of the pledged collateral, the Company may be required to transfer cash or pledge additional securities under this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22, 2026 the risk retention financing facility was amended to increase the maximum facility amount from $100.0 million to $200.0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2021, the Company issued $661.3 million in aggregate principal amount of 0.25% convertible senior notes due 2026 (the “2026 Notes”). In September 2024, the Company issued $431.3 million in aggregate principal amount of 2.00% convertible senior notes due 2029 (the “2029 Notes”). In November 2024, the Company issued $500.0 million in aggregate principal amount of 1.00% convertible senior notes due 2030 (the “2030 Notes”). In August 2025, the Company issued $690.0 million in aggregate principal amount of 0% convertible senior notes due 2032 (the “2032 Notes” and, together with the 2026 Notes, 2029 Notes and 2030 Notes, the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Concurrently with the issuance of the 2029 Notes and the 2032 Notes, the Company repurchased portions of the 2026 Notes. In the third quarter of 2024, the Company used approximately $302.4 million</w:t>
      </w:r>
      <w:r>
        <w:rPr>
          <w:color w:val="000000"/>
          <w:shd w:fill="FFFFFF" w:val="clear"/>
        </w:rPr>
        <w:t xml:space="preserve"> </w:t>
      </w:r>
      <w:r>
        <w:rPr>
          <w:rFonts w:ascii="Times New Roman;serif" w:hAnsi="Times New Roman;serif"/>
          <w:b w:val="false"/>
          <w:color w:val="000000"/>
          <w:sz w:val="20"/>
          <w:shd w:fill="FFFFFF" w:val="clear"/>
        </w:rPr>
        <w:t xml:space="preserve">of the net </w:t>
      </w:r>
      <w:r>
        <w:rPr>
          <w:rFonts w:ascii="Times New Roman;serif" w:hAnsi="Times New Roman;serif"/>
          <w:b w:val="false"/>
          <w:color w:val="000000"/>
          <w:sz w:val="20"/>
        </w:rPr>
        <w:t xml:space="preserve">proceeds from the offering of the 2029 Notes to repurchase approximately $334.2 million in aggregate principal amount of the outstanding 2026 Notes in individually negotiated transactions and additionally repurchased approximately $27.9 million of the outstanding 2026 Notes in open-market purchases. In August 2025, the Company used approximately $224.2 million of the net proceeds from the offering of the 2032 Notes to repurchase approximately $232.6 million in aggregate principal amount of the outstanding 2026 Notes in individually negotiated transactions.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repurchases of the 2026 Notes were accounted for as a debt extinguishment. The difference between the consideration paid to repurchase the 2026 Notes and the carrying value of the 2026 Notes, resulted in a gain on debt extinguishment of $33.4 million and $7.2 million</w:t>
      </w:r>
      <w:r>
        <w:rPr>
          <w:color w:val="000000"/>
          <w:shd w:fill="FFFFFF" w:val="clear"/>
        </w:rPr>
        <w:t xml:space="preserve"> </w:t>
      </w:r>
      <w:r>
        <w:rPr>
          <w:rFonts w:ascii="Times New Roman;serif" w:hAnsi="Times New Roman;serif"/>
          <w:b w:val="false"/>
          <w:color w:val="000000"/>
          <w:sz w:val="20"/>
          <w:shd w:fill="FFFFFF" w:val="clear"/>
        </w:rPr>
        <w:t xml:space="preserve">separately reported </w:t>
      </w:r>
      <w:r>
        <w:rPr>
          <w:rFonts w:ascii="Times New Roman;serif" w:hAnsi="Times New Roman;serif"/>
          <w:b w:val="false"/>
          <w:color w:val="000000"/>
          <w:sz w:val="20"/>
        </w:rPr>
        <w:t>on the condensed consolidated statement of operations and comprehensive income (loss) during the third quarter of 2024 and 2025, respectively. The partial extinguishments did not result in any changes to the terms of the 2026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Each series of Notes is governed by its respective indenture (each, an “Indenture”), and represents</w:t>
      </w:r>
      <w:r>
        <w:rPr>
          <w:color w:val="000000"/>
          <w:shd w:fill="FFFFFF" w:val="clear"/>
        </w:rPr>
        <w:t xml:space="preserve"> </w:t>
      </w:r>
      <w:r>
        <w:rPr>
          <w:rFonts w:ascii="Times New Roman;serif" w:hAnsi="Times New Roman;serif"/>
          <w:b w:val="false"/>
          <w:color w:val="000000"/>
          <w:sz w:val="20"/>
          <w:shd w:fill="FFFFFF" w:val="clear"/>
        </w:rPr>
        <w:t xml:space="preserve">senior unsecured obligations of the Company. The </w:t>
      </w:r>
      <w:r>
        <w:rPr>
          <w:rFonts w:ascii="Times New Roman;serif" w:hAnsi="Times New Roman;serif"/>
          <w:b w:val="false"/>
          <w:color w:val="000000"/>
          <w:sz w:val="20"/>
        </w:rPr>
        <w:t>2026 Notes</w:t>
      </w:r>
      <w:r>
        <w:rPr>
          <w:color w:val="000000"/>
          <w:shd w:fill="FFFFFF" w:val="clear"/>
        </w:rPr>
        <w:t xml:space="preserve"> </w:t>
      </w:r>
      <w:r>
        <w:rPr>
          <w:rFonts w:ascii="Times New Roman;serif" w:hAnsi="Times New Roman;serif"/>
          <w:b w:val="false"/>
          <w:color w:val="000000"/>
          <w:sz w:val="20"/>
          <w:shd w:fill="FFFFFF" w:val="clear"/>
        </w:rPr>
        <w:t xml:space="preserve">mature on August 15, 2026, the </w:t>
      </w:r>
      <w:r>
        <w:rPr>
          <w:rFonts w:ascii="Times New Roman;serif" w:hAnsi="Times New Roman;serif"/>
          <w:b w:val="false"/>
          <w:color w:val="000000"/>
          <w:sz w:val="20"/>
        </w:rPr>
        <w:t>2029 Notes mature on</w:t>
      </w:r>
      <w:r>
        <w:rPr>
          <w:color w:val="000000"/>
          <w:shd w:fill="FFFFFF" w:val="clear"/>
        </w:rPr>
        <w:t xml:space="preserve"> </w:t>
      </w:r>
      <w:r>
        <w:rPr>
          <w:rFonts w:ascii="Times New Roman;serif" w:hAnsi="Times New Roman;serif"/>
          <w:b w:val="false"/>
          <w:color w:val="000000"/>
          <w:sz w:val="20"/>
          <w:shd w:fill="FFFFFF" w:val="clear"/>
        </w:rPr>
        <w:t xml:space="preserve">October 1, 2029, the </w:t>
      </w:r>
      <w:r>
        <w:rPr>
          <w:rFonts w:ascii="Times New Roman;serif" w:hAnsi="Times New Roman;serif"/>
          <w:b w:val="false"/>
          <w:color w:val="000000"/>
          <w:sz w:val="20"/>
        </w:rPr>
        <w:t xml:space="preserve">2030 Notes mature on November 15, 2030, and the 2032 Notes mature on February 15, 2032, </w:t>
      </w:r>
      <w:r>
        <w:rPr>
          <w:rFonts w:ascii="Times New Roman;serif" w:hAnsi="Times New Roman;serif"/>
          <w:b w:val="false"/>
          <w:color w:val="000000"/>
          <w:sz w:val="20"/>
          <w:shd w:fill="FFFFFF" w:val="clear"/>
        </w:rPr>
        <w:t xml:space="preserve">unless such </w:t>
      </w:r>
      <w:r>
        <w:rPr>
          <w:rFonts w:ascii="Times New Roman;serif" w:hAnsi="Times New Roman;serif"/>
          <w:b w:val="false"/>
          <w:color w:val="000000"/>
          <w:sz w:val="20"/>
        </w:rPr>
        <w:t>Notes</w:t>
      </w:r>
      <w:r>
        <w:rPr>
          <w:color w:val="000000"/>
          <w:shd w:fill="FFFFFF" w:val="clear"/>
        </w:rPr>
        <w:t xml:space="preserve"> </w:t>
      </w:r>
      <w:r>
        <w:rPr>
          <w:rFonts w:ascii="Times New Roman;serif" w:hAnsi="Times New Roman;serif"/>
          <w:b w:val="false"/>
          <w:color w:val="000000"/>
          <w:sz w:val="20"/>
          <w:shd w:fill="FFFFFF" w:val="clear"/>
        </w:rPr>
        <w:t>are earlier converted, redeemed, or repurchased in accordance with their terms</w:t>
      </w:r>
      <w:r>
        <w:rPr>
          <w:rFonts w:ascii="Times New Roman;serif" w:hAnsi="Times New Roman;serif"/>
          <w:b w:val="false"/>
          <w:color w:val="000000"/>
          <w:sz w:val="20"/>
        </w:rPr>
        <w:t xml:space="preserve">. The Company may redeem for cash all or any portion of the Notes, at its option, on or after August 20, 2024, in the case of the 2026 Notes, on or after </w:t>
      </w:r>
      <w:r>
        <w:rPr>
          <w:rFonts w:ascii="Times New Roman;serif" w:hAnsi="Times New Roman;serif"/>
          <w:b w:val="false"/>
          <w:color w:val="000000"/>
          <w:sz w:val="20"/>
          <w:shd w:fill="FFFFFF" w:val="clear"/>
        </w:rPr>
        <w:t xml:space="preserve">October 6, 2027, in the case of the </w:t>
      </w:r>
      <w:r>
        <w:rPr>
          <w:rFonts w:ascii="Times New Roman;serif" w:hAnsi="Times New Roman;serif"/>
          <w:b w:val="false"/>
          <w:color w:val="000000"/>
          <w:sz w:val="20"/>
        </w:rPr>
        <w:t>2029 Notes, on or after November 20, 2027, in the case of the 2030 Notes, and on or after August 20, 2028, in the case of the 2032 Notes, if the last reported sale price of the Company’s common stock has been at least 130% of the conversion price for the Notes of the applicable series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for the Notes of such series at a redemption price equal to 100% of the principal amount of the Notes of such series to be redeemed, plus any accrued and unpaid interest (or special interest, if any, in the case of the 2032 Notes) to, but excluding, the redemption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details of the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85"/>
        <w:gridCol w:w="250"/>
        <w:gridCol w:w="252"/>
        <w:gridCol w:w="109"/>
        <w:gridCol w:w="109"/>
        <w:gridCol w:w="109"/>
        <w:gridCol w:w="952"/>
        <w:gridCol w:w="952"/>
        <w:gridCol w:w="962"/>
        <w:gridCol w:w="109"/>
        <w:gridCol w:w="109"/>
        <w:gridCol w:w="109"/>
        <w:gridCol w:w="764"/>
        <w:gridCol w:w="764"/>
        <w:gridCol w:w="766"/>
        <w:gridCol w:w="109"/>
        <w:gridCol w:w="109"/>
        <w:gridCol w:w="109"/>
        <w:gridCol w:w="514"/>
        <w:gridCol w:w="514"/>
        <w:gridCol w:w="515"/>
        <w:gridCol w:w="109"/>
        <w:gridCol w:w="109"/>
        <w:gridCol w:w="109"/>
        <w:gridCol w:w="409"/>
        <w:gridCol w:w="409"/>
        <w:gridCol w:w="589"/>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Conversion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Conversion Date</w:t>
            </w:r>
          </w:p>
        </w:tc>
      </w:tr>
      <w:tr>
        <w:trPr/>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0.25%; payable semiannually on February 15 and August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2026</w:t>
            </w:r>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2.00%; payable semiannually on April 1 and October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2029</w:t>
            </w:r>
          </w:p>
        </w:tc>
      </w:tr>
      <w:tr>
        <w:trPr/>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 payable semiannually on May 15 and November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the Notes may convert their Notes at their option any time prior to the close of business on the business day immediately preceding May 15, 2026, in the case of the 2026 Notes; July 1, 2029, in the case of the 2029 Notes; August 15, 2030, in the case of the 2030 Notes; and November 15, 2031, in the case of the 2032 Notes, only under the following circumstances: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during any calendar quarter commencing after December 31, 2021, in the case of the 2026 Notes, December 31, 2024, in the case of the 2029 Notes, March 31, 2025, in the case of the 2030 Notes and December 31, 2025, in the case of the 2032 Notes,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applicable conversion price for the respective Notes on each applicable trading day;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during the five business-day period after any five consecutive trading-day period in which the trading price per $1,000 principal amount of the applicable series of Notes for each trading day of such five consecutive trading-day period was less than 98% of the product of the last reported sale price of the Company’s common stock and the conversion rate of the respective Notes on each such trading day;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if the Company calls any or all of the Notes of the applicable series for redemption, at any time prior to the close of business on the second scheduled trading day immediately preceding the redemption date;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upon the occurrence of specified corporate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or after May 15, 2026, in the case of the 2026 Notes, July 1, 2029, in the case of the 2029 Notes, August 15, 2030, in the case of the 2030 Notes, and November 15, 2031, in the case of the 2032 Notes, holders of the Notes of the applicable series may surrender all or any portion of their Notes of such series for conversion at any time prior to the close of business on the second scheduled trading day immediately preceding the applicable maturity date regardless of the foregoing conditions. Upon conversion, the Company will pay or deliver, as the case may be, either cash, shares of common stock or a combination of cash and shares of common stock, at its election.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price for each series of Notes will be subject to adjustment if certain events occur. In addition, following certain corporate events that may occur prior to the applicable maturity date or following the Company’s issuance of a notice of redemption for a series of Notes, the Company may be required to increase the conversion rate for the holder of the Notes of such series who elect to convert such Notes in connection with such corporate event or during the related redemption period in certain circumstances. Additionally, upon the occurrence of a corporate event that constitutes a “fundamental change” pursuant to the applicable Indenture, holders of the applicable series of Notes may require the Company to repurchase for cash all or a portion of such Notes at a repurchase price equal to 100% of the principal amount of the Notes of such series to be redeemed plus accrued and unpaid interest (or special interest, if any, in the case of the 2032 Notes) to, but excluding, the fundamental change repurchase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accounted for the issuance of each series of the Notes as a single liability at par as the conversion feature of each series of Notes does not require bifurcation as a derivative under ASC 815 and the Notes were not issued at a substantial premium. Debt issuance costs related to the 2026 Notes, 2029 Notes, 2030 Notes and 2032 Notes totaled $15.7 million, $10.4 million, $11.8 million, and $14.4 million respectively, which are amortized to interest expense under the effective interest method over the contractual term.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effective interest rate of the 2026 Notes, 2029 Notes, 2030 Notes and 2032 Notes is 0.7%, </w:t>
      </w:r>
      <w:r>
        <w:rPr>
          <w:rFonts w:ascii="Times New Roman;serif" w:hAnsi="Times New Roman;serif"/>
          <w:b w:val="false"/>
          <w:color w:val="000000"/>
          <w:sz w:val="20"/>
          <w:shd w:fill="FFFFFF" w:val="clear"/>
        </w:rPr>
        <w:t>2.5%</w:t>
      </w:r>
      <w:r>
        <w:rPr>
          <w:rFonts w:ascii="Times New Roman;serif" w:hAnsi="Times New Roman;serif"/>
          <w:b w:val="false"/>
          <w:color w:val="000000"/>
          <w:sz w:val="20"/>
        </w:rPr>
        <w:t xml:space="preserve">, 1.4%, and 0.3%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an immaterial amount of coupon interest expense and an immaterial amount of amortization of debt issuance costs related to the Notes for all periods presented. These amounts were presented within other income, net for the three months ended March 31, 2025 and within interest expense for the three months ended March 31, 2026 in the condensed consolidated statements of operations and comprehensive loss. Accrued interest expenses related to the Notes were immaterial and $6.2 million as of December 31, 2025 and March 31, 2026, respectively.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Notes as of December 31, 2025 and March 31, 2026:</w:t>
      </w:r>
    </w:p>
    <w:tbl>
      <w:tblPr>
        <w:tblW w:w="1345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11"/>
        <w:gridCol w:w="976"/>
        <w:gridCol w:w="109"/>
        <w:gridCol w:w="109"/>
        <w:gridCol w:w="109"/>
        <w:gridCol w:w="109"/>
        <w:gridCol w:w="242"/>
        <w:gridCol w:w="847"/>
        <w:gridCol w:w="12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42"/>
        <w:gridCol w:w="847"/>
        <w:gridCol w:w="127"/>
        <w:gridCol w:w="109"/>
        <w:gridCol w:w="109"/>
        <w:gridCol w:w="109"/>
        <w:gridCol w:w="211"/>
        <w:gridCol w:w="976"/>
        <w:gridCol w:w="109"/>
        <w:gridCol w:w="109"/>
        <w:gridCol w:w="109"/>
        <w:gridCol w:w="109"/>
        <w:gridCol w:w="211"/>
        <w:gridCol w:w="976"/>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Unamortized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Debt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Unamortized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Debt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(31,398)</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(29,786)</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estimated fair value repres</w:t>
      </w:r>
      <w:r>
        <w:rPr>
          <w:rFonts w:ascii="Times New Roman;serif" w:hAnsi="Times New Roman;serif"/>
          <w:b w:val="false"/>
          <w:color w:val="000000"/>
          <w:sz w:val="20"/>
        </w:rPr>
        <w:t>ents Level 2 valuations in the fair value hierarchy and was determined based on the estimated or actual bids and offers of the Notes in an over-the-counter market.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2026 Notes, the 2029 Notes, and the 2032 Notes, the Company entered into separate privately negotiated capped call instruments with certain financial institutions (the “2026 Capped Calls,” with respect to the 2026 Notes, the “2029 Capped Calls,” with respect to the 2029 Notes, the “2032 Capped Calls,” with respect to the 2032 Notes, and the 2026 Capped Calls together with the 2029 Capped Calls and the 2032 Capped Calls, the “Capped Calls”).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Capped Calls are generally expected to reduce the potential dilution to the Company’s common stock upon any conversion of the 2026 Notes, 2029 Notes and 2032 Notes, as applicable, and/or offset any cash payments the Company is required to make in excess of the principal amount of such converted 2026 Notes, 2029 Notes, and 2032 Notes as the case may be, in the event the market price per share of the Company’s common stock, as measured under the terms of the Capped Calls, is greater than the strike price of the Capped Calls, with such reduction and/or offset subject to a cap. If, however, the market price per share of the common stock, as measured under the terms of the Capped Calls, exceeds the cap price of the Capped Calls, there would be dilution and/or there would not be an offset of such potential cash payments, in each case, to the extent that such market price per share of the Company’s common stock exceeds the cap price of the Capped Calls.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other key terms for the Capped Calls related to each series of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708"/>
        <w:gridCol w:w="708"/>
        <w:gridCol w:w="710"/>
        <w:gridCol w:w="109"/>
        <w:gridCol w:w="109"/>
        <w:gridCol w:w="109"/>
        <w:gridCol w:w="695"/>
        <w:gridCol w:w="695"/>
        <w:gridCol w:w="697"/>
        <w:gridCol w:w="109"/>
        <w:gridCol w:w="109"/>
        <w:gridCol w:w="109"/>
        <w:gridCol w:w="799"/>
        <w:gridCol w:w="799"/>
        <w:gridCol w:w="801"/>
        <w:gridCol w:w="109"/>
        <w:gridCol w:w="109"/>
        <w:gridCol w:w="109"/>
        <w:gridCol w:w="381"/>
        <w:gridCol w:w="381"/>
        <w:gridCol w:w="549"/>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Strike Price per Share, Subject to Certain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Cap Price per Share, Subject to Certain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of Common Stock Covered, Subject to Anti-Dilution Adjustments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Final Expiration Date</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2026</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27, 2029</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2032</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Capped Calls were determined to be freestanding financial instruments that meet the criteria for classification in equity; as such, the Capped Calls were recorded as a reduction of additional paid-in capital within stockholders’ equity.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2024 and 2025, in connection with the partial repurchases of the 2026 Notes described above, the Company entered into agreements to terminate portions of the 2026 Capped Calls corresponding to the aggregate principal amounts of the 2026 Notes repurchased. As a result of these partial terminations, the Company received immaterial cash payments which were recorded as an increase to additional paid-in capital within stockholders’ equity.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9.    Stockholders' Equity</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Common Stock Reserved for Future Issuance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tbl>
      <w:tblPr>
        <w:tblW w:w="9519" w:type="dxa"/>
        <w:jc w:val="center"/>
        <w:tblInd w:w="0" w:type="dxa"/>
        <w:tblLayout w:type="fixed"/>
        <w:tblCellMar>
          <w:top w:w="28" w:type="dxa"/>
          <w:left w:w="28" w:type="dxa"/>
          <w:bottom w:w="28" w:type="dxa"/>
          <w:right w:w="28" w:type="dxa"/>
        </w:tblCellMar>
      </w:tblPr>
      <w:tblGrid>
        <w:gridCol w:w="1971"/>
        <w:gridCol w:w="1735"/>
        <w:gridCol w:w="1738"/>
        <w:gridCol w:w="109"/>
        <w:gridCol w:w="109"/>
        <w:gridCol w:w="109"/>
        <w:gridCol w:w="574"/>
        <w:gridCol w:w="574"/>
        <w:gridCol w:w="576"/>
        <w:gridCol w:w="109"/>
        <w:gridCol w:w="109"/>
        <w:gridCol w:w="109"/>
        <w:gridCol w:w="540"/>
        <w:gridCol w:w="541"/>
        <w:gridCol w:w="616"/>
      </w:tblGrid>
      <w:tr>
        <w:trPr/>
        <w:tc>
          <w:tcPr>
            <w:tcW w:w="197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9,204,983 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9,220,829 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2,276,156 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4,743,205 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issuance under 2020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10,922,232 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7,469,133 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4,140,207 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4,943,276 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26,543,578 </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28,103,180 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Share Repurchase Program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three months ended March 31, 2026, the Company repurchased, and subsequently retired, 3.2 million shares of common stock for $100.1 million at an average cost of $31.31 per share. As of March 31, 2026, $122.1 million remains available for future purchases of our common stock under the share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At-the-Market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in connection with the commencement of an “at the market” offering program, the Company entered into a Sales Agreement, under which the Company may offer and sell, from time to time, up to an aggregate of $500.0 million of its common stock. The Company will pay a commission of up to 2% of the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proceeds of shares sold, if any, under the Sales Agreement and intends to use the net proceeds from sales for working capital and general corporate purposes. As of March 31, 2026, no shares were issued under the program.</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2020 Equity Incentive Plan authorizes grants of incentive stock options, non-statutory stock options, stock appreciation rights, restricted stock, restricted stock units (“RSUs”), and performance-based restricted stock units (“PRSUs”) to eligible participants.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693"/>
        <w:gridCol w:w="536"/>
        <w:gridCol w:w="539"/>
        <w:gridCol w:w="109"/>
        <w:gridCol w:w="109"/>
        <w:gridCol w:w="109"/>
        <w:gridCol w:w="109"/>
        <w:gridCol w:w="569"/>
        <w:gridCol w:w="441"/>
        <w:gridCol w:w="330"/>
        <w:gridCol w:w="109"/>
        <w:gridCol w:w="109"/>
        <w:gridCol w:w="109"/>
        <w:gridCol w:w="484"/>
        <w:gridCol w:w="1414"/>
        <w:gridCol w:w="250"/>
        <w:gridCol w:w="109"/>
        <w:gridCol w:w="109"/>
        <w:gridCol w:w="109"/>
        <w:gridCol w:w="778"/>
        <w:gridCol w:w="778"/>
        <w:gridCol w:w="780"/>
        <w:gridCol w:w="109"/>
        <w:gridCol w:w="109"/>
        <w:gridCol w:w="109"/>
        <w:gridCol w:w="211"/>
        <w:gridCol w:w="826"/>
        <w:gridCol w:w="159"/>
      </w:tblGrid>
      <w:tr>
        <w:trPr/>
        <w:tc>
          <w:tcPr>
            <w:tcW w:w="69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Aggregate </w:t>
              <w:br/>
              <w:t xml:space="preserve">Intrinsic </w:t>
              <w:br/>
              <w:t>Value</w:t>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9,204,983 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134,675 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(88,685)</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9,220,829 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7,399,833 </w:t>
            </w:r>
          </w:p>
        </w:tc>
        <w:tc>
          <w:tcPr>
            <w:tcW w:w="3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9,207,104 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is calculated as the difference between the exercise price of the underlying awards and the fair value of the Company’s stock as of March 31, 2026. The aggregate intrinsic value of options exercised for the three months ended March 31, 2025 and 2026 was $37.9 million and $2.4 million respectively. The weighted-average grant date fair value of options granted during the three months ended March 31, 2025 and 2026 was $35.74 and $16.38 per share, respectively. The total fair value of options vested for the three months ended March 31, 2025 and 2026 was $6.5 million and $4.9 million,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total unrecognized stock-based compensation expense related to unvested stock options was $30.9 million, which is expected to be recognized over a remaining weighted-average period of 1.7 years.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grants RSUs to employees and non-employees. RSUs vest upon satisfaction of a service-based condition, which is generally satisfied over one to four years. The following table summarizes RSU activity for the three months ended March 31, 2026:</w:t>
      </w:r>
    </w:p>
    <w:tbl>
      <w:tblPr>
        <w:tblW w:w="9547" w:type="dxa"/>
        <w:jc w:val="left"/>
        <w:tblInd w:w="0" w:type="dxa"/>
        <w:tblLayout w:type="fixed"/>
        <w:tblCellMar>
          <w:top w:w="28" w:type="dxa"/>
          <w:left w:w="28" w:type="dxa"/>
          <w:bottom w:w="28" w:type="dxa"/>
          <w:right w:w="28" w:type="dxa"/>
        </w:tblCellMar>
      </w:tblPr>
      <w:tblGrid>
        <w:gridCol w:w="977"/>
        <w:gridCol w:w="858"/>
        <w:gridCol w:w="864"/>
        <w:gridCol w:w="109"/>
        <w:gridCol w:w="109"/>
        <w:gridCol w:w="109"/>
        <w:gridCol w:w="539"/>
        <w:gridCol w:w="539"/>
        <w:gridCol w:w="541"/>
        <w:gridCol w:w="109"/>
        <w:gridCol w:w="109"/>
        <w:gridCol w:w="109"/>
        <w:gridCol w:w="983"/>
        <w:gridCol w:w="2872"/>
        <w:gridCol w:w="72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total unrecognized stock-based compensation expense related to outstanding unvested RSUs was $131.6 million, which is expected to be recognized over a remaining weighted-average period of 1.4 years.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granted PRSUs to certain executives. The awards are subject to both performance and service-based vesting conditions and the number of shares that may be earned at the end of the four year performance period is based on applicable market-based performance targets with potential adjustment based on financial performance metrics. The expense is recognized on a straight-line basis over the requisite service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PRSU activity for the three months ended March 31, 2026:</w:t>
      </w:r>
    </w:p>
    <w:tbl>
      <w:tblPr>
        <w:tblW w:w="9547" w:type="dxa"/>
        <w:jc w:val="left"/>
        <w:tblInd w:w="0" w:type="dxa"/>
        <w:tblLayout w:type="fixed"/>
        <w:tblCellMar>
          <w:top w:w="28" w:type="dxa"/>
          <w:left w:w="28" w:type="dxa"/>
          <w:bottom w:w="28" w:type="dxa"/>
          <w:right w:w="28" w:type="dxa"/>
        </w:tblCellMar>
      </w:tblPr>
      <w:tblGrid>
        <w:gridCol w:w="977"/>
        <w:gridCol w:w="858"/>
        <w:gridCol w:w="864"/>
        <w:gridCol w:w="109"/>
        <w:gridCol w:w="109"/>
        <w:gridCol w:w="109"/>
        <w:gridCol w:w="539"/>
        <w:gridCol w:w="539"/>
        <w:gridCol w:w="541"/>
        <w:gridCol w:w="109"/>
        <w:gridCol w:w="109"/>
        <w:gridCol w:w="109"/>
        <w:gridCol w:w="983"/>
        <w:gridCol w:w="2872"/>
        <w:gridCol w:w="72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total unrecognized stock-based compensation expense related to outstanding unvested PRSUs was $95.1 million, which is expected to be recognized over a remaining weighted-average period of 3.9 years.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2020 Employee Stock Purchase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employee stock purchase plan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three months ended March 31,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177,378</w:t>
      </w:r>
      <w:r>
        <w:rPr>
          <w:color w:val="000000"/>
          <w:shd w:fill="FFFFFF" w:val="clear"/>
        </w:rPr>
        <w:t xml:space="preserve"> </w:t>
      </w:r>
      <w:r>
        <w:rPr>
          <w:rFonts w:ascii="Times New Roman;serif" w:hAnsi="Times New Roman;serif"/>
          <w:b w:val="false"/>
          <w:color w:val="000000"/>
          <w:sz w:val="20"/>
          <w:shd w:fill="FFFFFF" w:val="clear"/>
        </w:rPr>
        <w:t>shares of c</w:t>
      </w:r>
      <w:r>
        <w:rPr>
          <w:rFonts w:ascii="Times New Roman;serif" w:hAnsi="Times New Roman;serif"/>
          <w:b w:val="false"/>
          <w:color w:val="000000"/>
          <w:sz w:val="20"/>
        </w:rPr>
        <w:t>ommon stock were purchased under the ESPP.</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total unrecognized stock-based compensation expense related to the ESPP was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of Awards Granted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fair value of stock-based awards, the Company uses a Black-Scholes option-pricing model for its options granted and ESPP purchase rights and a Monte Carlo simulation model for its PRSUs. The inputs used for estimating the fair values of options, ESPP purchase rights and PRSUs granted during the period include: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Fair Value of Common Stock</w:t>
      </w:r>
      <w:r>
        <w:rPr>
          <w:color w:val="000000"/>
        </w:rPr>
        <w:t>–</w:t>
      </w:r>
      <w:r>
        <w:rPr>
          <w:rFonts w:ascii="Times New Roman;serif" w:hAnsi="Times New Roman;serif"/>
          <w:b w:val="false"/>
          <w:color w:val="000000"/>
          <w:sz w:val="20"/>
        </w:rPr>
        <w:t xml:space="preserve">The fair value of the Company’s common stock is determined by the closing price, on the date of grant, of its common stock, which is traded on the Nasdaq Global Select Market.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Expected Term</w:t>
      </w:r>
      <w:r>
        <w:rPr>
          <w:color w:val="000000"/>
        </w:rPr>
        <w:t>–</w:t>
      </w:r>
      <w:r>
        <w:rPr>
          <w:rFonts w:ascii="Times New Roman;serif" w:hAnsi="Times New Roman;serif"/>
          <w:b w:val="false"/>
          <w:color w:val="000000"/>
          <w:sz w:val="20"/>
        </w:rPr>
        <w:t>The expected term represents the period that the Company’s stock options and ESPP purchase rights are expected to be outstanding. We estimate the expected term for stock options based on the simplified method, which is the weighted-average time to vesting and the contractual maturity. For ESPP, the expected term represents the term from the first day of the offering period to the purchase date. For PRSUs, the expected term is the simulation term, the time period from the valuation date to the end of the performance measurement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Volatility</w:t>
      </w:r>
      <w:r>
        <w:rPr>
          <w:color w:val="000000"/>
        </w:rPr>
        <w:t>–</w:t>
      </w:r>
      <w:r>
        <w:rPr>
          <w:rFonts w:ascii="Times New Roman;serif" w:hAnsi="Times New Roman;serif"/>
          <w:b w:val="false"/>
          <w:color w:val="000000"/>
          <w:sz w:val="20"/>
        </w:rPr>
        <w:t>The Company estimates the expected volatility for stock options and PRSUs based on the weighted-average historical volatility of the Company’s common stock and the average volatility for comparable publicly-traded companies, over a period equal to the expected term. Previously, expected volatility was based solely on historical volatility of comparable publicly-traded peer companies. For ESPP, the expected volatility is estimated using historical volatility of the Company’s common stock over the expected term.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Risk-free Interest Rate</w:t>
      </w:r>
      <w:r>
        <w:rPr>
          <w:color w:val="000000"/>
        </w:rPr>
        <w:t>–</w:t>
      </w:r>
      <w:r>
        <w:rPr>
          <w:rFonts w:ascii="Times New Roman;serif" w:hAnsi="Times New Roman;serif"/>
          <w:b w:val="false"/>
          <w:color w:val="000000"/>
          <w:sz w:val="20"/>
        </w:rPr>
        <w:t xml:space="preserve">The risk-free interest rate assumption is based on the U.S. Treasury zero coupon issues in effect at the time of grant for periods corresponding with the expected term of the award.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Dividends</w:t>
      </w:r>
      <w:r>
        <w:rPr>
          <w:color w:val="000000"/>
        </w:rPr>
        <w:t>–</w:t>
      </w:r>
      <w:r>
        <w:rPr>
          <w:rFonts w:ascii="Times New Roman;serif" w:hAnsi="Times New Roman;serif"/>
          <w:b w:val="false"/>
          <w:color w:val="000000"/>
          <w:sz w:val="20"/>
        </w:rPr>
        <w:t>The Company has never paid dividends on its common stock and does not anticipate paying dividends on common stock for the foreseeable future. Therefore, the Company uses an expected dividend yield of zero.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options granted:</w:t>
      </w:r>
    </w:p>
    <w:p>
      <w:pPr>
        <w:pStyle w:val="TextBody"/>
        <w:bidi w:val="0"/>
        <w:spacing w:before="0" w:after="0"/>
        <w:ind w:left="0" w:right="0" w:firstLine="720"/>
        <w:jc w:val="both"/>
        <w:rPr/>
      </w:pPr>
      <w:r>
        <w:rPr/>
      </w:r>
    </w:p>
    <w:tbl>
      <w:tblPr>
        <w:tblW w:w="6487"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109"/>
        <w:gridCol w:w="109"/>
        <w:gridCol w:w="520"/>
        <w:gridCol w:w="520"/>
        <w:gridCol w:w="520"/>
        <w:gridCol w:w="301"/>
        <w:gridCol w:w="301"/>
        <w:gridCol w:w="301"/>
        <w:gridCol w:w="409"/>
        <w:gridCol w:w="409"/>
        <w:gridCol w:w="577"/>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 – 7.0</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 – 5.7</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50.66% – 53.33%</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65.70%</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3.96% – 4.09%</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3.51% – 3.62%</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before="0" w:after="0"/>
        <w:ind w:left="0" w:right="0" w:hanging="18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ESPP purchase rights:</w:t>
      </w:r>
    </w:p>
    <w:tbl>
      <w:tblPr>
        <w:tblW w:w="6413"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109"/>
        <w:gridCol w:w="398"/>
        <w:gridCol w:w="398"/>
        <w:gridCol w:w="398"/>
        <w:gridCol w:w="398"/>
        <w:gridCol w:w="398"/>
        <w:gridCol w:w="398"/>
        <w:gridCol w:w="398"/>
        <w:gridCol w:w="109"/>
        <w:gridCol w:w="109"/>
        <w:gridCol w:w="109"/>
        <w:gridCol w:w="228"/>
        <w:gridCol w:w="228"/>
        <w:gridCol w:w="32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107"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71.86%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PRSUs granted:</w:t>
      </w:r>
    </w:p>
    <w:p>
      <w:pPr>
        <w:pStyle w:val="TextBody"/>
        <w:bidi w:val="0"/>
        <w:spacing w:before="0" w:after="0"/>
        <w:ind w:left="0" w:right="0" w:firstLine="720"/>
        <w:jc w:val="both"/>
        <w:rPr/>
      </w:pPr>
      <w:r>
        <w:rPr/>
      </w:r>
    </w:p>
    <w:tbl>
      <w:tblPr>
        <w:tblW w:w="5245"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827"/>
        <w:gridCol w:w="827"/>
        <w:gridCol w:w="1180"/>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 – 4.0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93.23% – 94.73%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3.42% – 3.82%</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in the following expense categories in its condensed consolidated statements of operations and comprehensive loss for employees and non-employees:</w:t>
      </w:r>
    </w:p>
    <w:tbl>
      <w:tblPr>
        <w:tblW w:w="8110" w:type="dxa"/>
        <w:jc w:val="center"/>
        <w:tblInd w:w="0" w:type="dxa"/>
        <w:tblLayout w:type="fixed"/>
        <w:tblCellMar>
          <w:top w:w="28" w:type="dxa"/>
          <w:left w:w="28" w:type="dxa"/>
          <w:bottom w:w="28" w:type="dxa"/>
          <w:right w:w="28" w:type="dxa"/>
        </w:tblCellMar>
      </w:tblPr>
      <w:tblGrid>
        <w:gridCol w:w="1176"/>
        <w:gridCol w:w="1035"/>
        <w:gridCol w:w="1044"/>
        <w:gridCol w:w="109"/>
        <w:gridCol w:w="109"/>
        <w:gridCol w:w="109"/>
        <w:gridCol w:w="109"/>
        <w:gridCol w:w="109"/>
        <w:gridCol w:w="109"/>
        <w:gridCol w:w="241"/>
        <w:gridCol w:w="241"/>
        <w:gridCol w:w="467"/>
        <w:gridCol w:w="1598"/>
        <w:gridCol w:w="241"/>
        <w:gridCol w:w="109"/>
        <w:gridCol w:w="109"/>
        <w:gridCol w:w="109"/>
        <w:gridCol w:w="211"/>
        <w:gridCol w:w="721"/>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10.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operating leases expire between</w:t>
      </w:r>
      <w:r>
        <w:rPr>
          <w:color w:val="000000"/>
          <w:shd w:fill="FFFFFF" w:val="clear"/>
        </w:rPr>
        <w:t xml:space="preserve"> </w:t>
      </w:r>
      <w:r>
        <w:rPr>
          <w:rFonts w:ascii="Times New Roman;serif" w:hAnsi="Times New Roman;serif"/>
          <w:b w:val="false"/>
          <w:color w:val="000000"/>
          <w:sz w:val="20"/>
        </w:rPr>
        <w:t xml:space="preserve">2026 and 2029 and are primarily for its corporate headquarters in San Mateo, California, as well as additional office space in Columbus, Ohio 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amended its operating lease for its San Mateo office space, which revised the remaining lease term and future lease payments. The amendment resulted in a remeasurement of the related operating lease liability and a corresponding adjustment to the right-of-use asset, reducing both balances by $15.4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are as follows:</w:t>
      </w:r>
    </w:p>
    <w:tbl>
      <w:tblPr>
        <w:tblW w:w="4796" w:type="dxa"/>
        <w:jc w:val="center"/>
        <w:tblInd w:w="0" w:type="dxa"/>
        <w:tblLayout w:type="fixed"/>
        <w:tblCellMar>
          <w:top w:w="28" w:type="dxa"/>
          <w:left w:w="28" w:type="dxa"/>
          <w:bottom w:w="28" w:type="dxa"/>
          <w:right w:w="28" w:type="dxa"/>
        </w:tblCellMar>
      </w:tblPr>
      <w:tblGrid>
        <w:gridCol w:w="1081"/>
        <w:gridCol w:w="951"/>
        <w:gridCol w:w="953"/>
        <w:gridCol w:w="109"/>
        <w:gridCol w:w="109"/>
        <w:gridCol w:w="109"/>
        <w:gridCol w:w="288"/>
        <w:gridCol w:w="986"/>
        <w:gridCol w:w="210"/>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17,548 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entered into leases that have not yet commenced with total future lease payments of approximately $66.2 million. These leases are expected to commence during fiscal year 2026, with initial lease terms ranging from 8 to 11 years.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finance lease expense during the three months ended March 31, 2025 and 2026. The Company’s operating lease expense consists of rent and variable lease payments. Variable lease payments such as common area maintenance and parking fees, were included in operating expenses. Rent expense for the Company’s short-term leases was immaterial during the periods presented. The Company had immaterial sublease income during the three months ended March 31, 2025 and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lease expense was as follows:</w:t>
      </w:r>
    </w:p>
    <w:p>
      <w:pPr>
        <w:pStyle w:val="TextBody"/>
        <w:bidi w:val="0"/>
        <w:spacing w:before="0" w:after="0"/>
        <w:ind w:left="0" w:right="0" w:firstLine="630"/>
        <w:jc w:val="both"/>
        <w:rPr/>
      </w:pPr>
      <w:r>
        <w:rPr/>
      </w:r>
    </w:p>
    <w:tbl>
      <w:tblPr>
        <w:tblW w:w="6943" w:type="dxa"/>
        <w:jc w:val="center"/>
        <w:tblInd w:w="0" w:type="dxa"/>
        <w:tblLayout w:type="fixed"/>
        <w:tblCellMar>
          <w:top w:w="28" w:type="dxa"/>
          <w:left w:w="28" w:type="dxa"/>
          <w:bottom w:w="28" w:type="dxa"/>
          <w:right w:w="28" w:type="dxa"/>
        </w:tblCellMar>
      </w:tblPr>
      <w:tblGrid>
        <w:gridCol w:w="755"/>
        <w:gridCol w:w="662"/>
        <w:gridCol w:w="667"/>
        <w:gridCol w:w="109"/>
        <w:gridCol w:w="109"/>
        <w:gridCol w:w="109"/>
        <w:gridCol w:w="109"/>
        <w:gridCol w:w="109"/>
        <w:gridCol w:w="109"/>
        <w:gridCol w:w="109"/>
        <w:gridCol w:w="263"/>
        <w:gridCol w:w="263"/>
        <w:gridCol w:w="510"/>
        <w:gridCol w:w="1489"/>
        <w:gridCol w:w="263"/>
        <w:gridCol w:w="109"/>
        <w:gridCol w:w="109"/>
        <w:gridCol w:w="109"/>
        <w:gridCol w:w="211"/>
        <w:gridCol w:w="61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and non-cash information related to the Company’s operating leases was as follows:</w:t>
      </w:r>
    </w:p>
    <w:tbl>
      <w:tblPr>
        <w:tblW w:w="10205" w:type="dxa"/>
        <w:jc w:val="center"/>
        <w:tblInd w:w="0" w:type="dxa"/>
        <w:tblLayout w:type="fixed"/>
        <w:tblCellMar>
          <w:top w:w="28" w:type="dxa"/>
          <w:left w:w="28" w:type="dxa"/>
          <w:bottom w:w="28" w:type="dxa"/>
          <w:right w:w="28" w:type="dxa"/>
        </w:tblCellMar>
      </w:tblPr>
      <w:tblGrid>
        <w:gridCol w:w="1982"/>
        <w:gridCol w:w="1737"/>
        <w:gridCol w:w="1746"/>
        <w:gridCol w:w="109"/>
        <w:gridCol w:w="109"/>
        <w:gridCol w:w="109"/>
        <w:gridCol w:w="109"/>
        <w:gridCol w:w="109"/>
        <w:gridCol w:w="109"/>
        <w:gridCol w:w="109"/>
        <w:gridCol w:w="251"/>
        <w:gridCol w:w="251"/>
        <w:gridCol w:w="488"/>
        <w:gridCol w:w="1424"/>
        <w:gridCol w:w="251"/>
        <w:gridCol w:w="109"/>
        <w:gridCol w:w="109"/>
        <w:gridCol w:w="109"/>
        <w:gridCol w:w="211"/>
        <w:gridCol w:w="616"/>
        <w:gridCol w:w="158"/>
      </w:tblGrid>
      <w:tr>
        <w:trPr/>
        <w:tc>
          <w:tcPr>
            <w:tcW w:w="1982"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12" w:type="dxa"/>
            <w:gridSpan w:val="6"/>
            <w:tcBorders/>
          </w:tcPr>
          <w:p>
            <w:pPr>
              <w:pStyle w:val="TableContents"/>
              <w:bidi w:val="0"/>
              <w:spacing w:before="0" w:after="283"/>
              <w:jc w:val="left"/>
              <w:rPr>
                <w:sz w:val="4"/>
                <w:szCs w:val="4"/>
              </w:rPr>
            </w:pPr>
            <w:r>
              <w:rPr>
                <w:sz w:val="4"/>
                <w:szCs w:val="4"/>
              </w:rPr>
            </w:r>
          </w:p>
        </w:tc>
      </w:tr>
      <w:tr>
        <w:trPr/>
        <w:tc>
          <w:tcPr>
            <w:tcW w:w="5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operating leases was as follows:</w:t>
      </w:r>
    </w:p>
    <w:p>
      <w:pPr>
        <w:pStyle w:val="TextBody"/>
        <w:bidi w:val="0"/>
        <w:spacing w:before="0" w:after="0"/>
        <w:ind w:left="0" w:right="0" w:firstLine="720"/>
        <w:jc w:val="both"/>
        <w:rPr/>
      </w:pPr>
      <w:r>
        <w:rPr/>
      </w:r>
    </w:p>
    <w:tbl>
      <w:tblPr>
        <w:tblW w:w="8204" w:type="dxa"/>
        <w:jc w:val="center"/>
        <w:tblInd w:w="0" w:type="dxa"/>
        <w:tblLayout w:type="fixed"/>
        <w:tblCellMar>
          <w:top w:w="28" w:type="dxa"/>
          <w:left w:w="28" w:type="dxa"/>
          <w:bottom w:w="28" w:type="dxa"/>
          <w:right w:w="28" w:type="dxa"/>
        </w:tblCellMar>
      </w:tblPr>
      <w:tblGrid>
        <w:gridCol w:w="1495"/>
        <w:gridCol w:w="1312"/>
        <w:gridCol w:w="1317"/>
        <w:gridCol w:w="109"/>
        <w:gridCol w:w="109"/>
        <w:gridCol w:w="109"/>
        <w:gridCol w:w="574"/>
        <w:gridCol w:w="574"/>
        <w:gridCol w:w="576"/>
        <w:gridCol w:w="109"/>
        <w:gridCol w:w="109"/>
        <w:gridCol w:w="109"/>
        <w:gridCol w:w="479"/>
        <w:gridCol w:w="479"/>
        <w:gridCol w:w="481"/>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2029" w:type="dxa"/>
            <w:gridSpan w:val="8"/>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63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11.    Commitments and Contingencies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2025 and March 31, 2026, the total loan purchase commitment included outstanding principal balance of $116.9 million and $120.7 million,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commitments to fund future advances on HELOCs. As of December 31, 2025 and March 31, 2026, these commitments were $18.0 million and $21.6 million, respectively, however, since these commitments could expire without being drawn upon, the total commitment amounts do not necessarily represent future cash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2025 and March 31, 2026, immaterial loss contingencies were recorded in connection with legal proceedings.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Indemnifications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Repurchases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our agreements with lending partners and institutional investors, as well as in agreements with investors in securitizations and pass-through certificate transactions, the Company may, in certain circumstances, become obligated to repurchase loans from or indemnify such lending partners and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lending partners and institutional investors, or a violation of the applicable federal, state, or local lending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maximum potential amount of future payments associated with any repurchase or indemnification obligation is the outstanding balances of the loans held by lending partners and institutional investors, which as of December 31, 2025 and March 31, 2026, was $14,290.4 million and $15,330.5 million, respectively. Actual payments made relating to the Company’s repurchase and indemnification obligations were immaterial and $13.0 million for the three months ended March 31, 2025 and 2026,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have material contingent liabilities related to future loan repurchase obligations as of December 31, 2025 and March 31, 2026. These amounts are included in accrued expenses and other liabilities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Legal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26, 2022, a lawsuit was filed in United States District Court, Southern District of Ohio, captioned Crain v. Upstart Holdings, Inc. et al., Case No. 2:22-cv-02935-ALM-EPD (S.D. Ohio) against the Company, the Company’s Chief Executive Officer, and Chief Financial Officer, alleging that the defendants made false and/or misleading statements or omissions about the Company’s business, operations, and prospects in violation of Section 10(b) of the Securities Exchange Act of 1934, as amended, or the Exchange Act, and Rule 10b-5 promulgated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defendants filed motions to dismiss the consolidated amended complaint. On September 29, 2023, the Court issued an order, granting in part and denying in part the Upstart defendants’ motion, and granting the motion filed by Third Point LLC and its CEO and Third Point Ventures LLC. On November 7, 2023, the Upstart defendants filed a motion for reconsideration, which the Court denied on August 5, 2024. On February 2, 2024, Lead Plaintiff, Universal-Investment-Gesellschaft mbH, and plaintiffs, Kathy Brooks and Kevin Crain, filed a motion for an order to certify this matter, now captioned In re Upstart Holdings Securities Litigation, as a class action, appoint themselves as class representatives, and approve their selection of Motley Rice LLC and Robbins Geller Rudman &amp; Dowd LLP as co-class counsel, which motion the Court granted on March 27, 2025. On December 6, 2024, plaintiffs filed a motion for leave to file a first amended complaint, which motion the Court granted on September 29, 2025. The first amended complaint adds back as defendants Third Point LLC and its CEO and Third Point Ventures LLC. On November 14, 2025, Third Point LLC, its CEO, Third Point Ventures LLC, and its managing partner moved to dismiss the claims asserted against them in the first amended complaint, which motion plaintiffs opposed on January 8, 2026. On January 29, 2026, Third Point LLC, its CEO, Third Point Ventures LLC, and its managing partner filed a reply in support of their motion to dismiss. No hearing has been set on the motion to dismiss. The Company believes the remaining claims in the action are without merit and intends to defend itself vigorously.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12, 2022, in response to a joint motion by the parties, the Court consolidated the OConnor and Chung matters, appointed co-lead counsel, and stayed the consolidated case until resolution of the related securities class action. On April 24, 2024, the plaintiffs in the consolidated action filed an amended complaint. The amended complaint includes allegations similar to those in the initial complaint in the OConnor action, and names the same defendants as the initial complaint, along with an additional Company executive and another former board member. The amended complaint brings the same claims as the initial complaint in the OConnor action but adds claims under Section 14(a) of the Exchange Act and Rule 14a-9 promulgated thereunder, for contribution under Sections 10(b) and 21D of the Exchange Act, and for abuse of control and gross mismanagement. The amended complaint seeks similar relief to that sought in the initial complaint in the OConnor action. The matter remains stayed until resolution of the class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securities class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securities class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5, 2023, a fifth derivative lawsuit was filed, in the Court of Chancery of the State of Delaware, captioned Okhai v. Girouard, et al., C.A. No. 2023-0401-BWD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2023, in response to a motion to stay by the defendants in the Okhai action, the Court stayed the Okhai action until resolution of the motion to dismiss in the related securities class action. Following the issuance of the September 29, 2023 order on the motion to dismiss in the related securities class action, on November 16, 2023, in response to a joint stipulation and proposed order submitted by the parties, the Court stayed the Okhai action until resolution of the motion for reconsideration of the September 29, 2023 order on the motion to dismiss in the related securities class action. Following denial of the motion for reconsideration in the related securities class action, the parties in the Okhai action finished briefing and argued the defendants’ motion to continue the stay. On October 24, 2024, the Court continued the stay until February 1, 2025. On January 31, 2025, the parties submitted to the Court a proposed schedule for briefing Defendants’ motion to continue the stay. On April 11, 2025, in response to a joint stipulation and proposed order submitted by the parties, the Court ordered that the case remain stayed pending plaintiffs filing a consolidated amended complaint on or before May 7, 2025, after which Defendants filed a renewed motion to stay. Subsequent developments are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13, 2023, a sixth derivative lawsuit was filed, in the Court of Chancery of the State of Delaware, captioned Romanyshyn v. Girouard, et al., C.A. No. 2023-1029-BWD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pending the outcome of the motion to stay in the related Okhai derivative action. Subsequent developments are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24, 2023, a seventh derivative lawsuit was filed, in the Court of Chancery of the State of Delaware, captioned Agarwal v. Girouard, et al., C.A. No. 2023-1075-BWD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pending the outcome of the motion to stay in the related Okhai derivative action. Subsequent developments are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22, 2024, in response to a joint stipulation and proposed order submitted by the parties, the Court consolidated the Okhai, Romanyshyn, and Agarwal matters under the consolidated caption In re Upstart Holdings, Inc. Derivative Litigation, Consolidated C.A. No. 2023-0401-BWD and appointed co-lead plaintiffs and co-lead counsel. On May 7, 2025, the plaintiffs in the consolidated action filed a consolidated amended complaint. The consolidated amended complaint names as plaintiffs Evan Levitan and Charlie Romanyshyn and removes plaintiffs Okhai and Agarwal. The consolidated amended complaint includes allegations similar to those in the initial Okhai complaint and names the same defendants as the initial Okhai complaint, along with the CEO of Third Point LLC. The consolidated amended complaint brings the same claims as the initial Okhai complaint and seeks similar relief. On June 4, 2025, Defendants filed a renewed motion to stay, which motion the Court granted on August 25,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12.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months ended March 31, 2025 and 2026, are as follows:</w:t>
      </w:r>
    </w:p>
    <w:p>
      <w:pPr>
        <w:pStyle w:val="TextBody"/>
        <w:bidi w:val="0"/>
        <w:spacing w:before="0" w:after="0"/>
        <w:jc w:val="left"/>
        <w:rPr/>
      </w:pPr>
      <w:r>
        <w:rPr/>
      </w:r>
    </w:p>
    <w:tbl>
      <w:tblPr>
        <w:tblW w:w="5875" w:type="dxa"/>
        <w:jc w:val="left"/>
        <w:tblInd w:w="0" w:type="dxa"/>
        <w:tblLayout w:type="fixed"/>
        <w:tblCellMar>
          <w:top w:w="28" w:type="dxa"/>
          <w:left w:w="28" w:type="dxa"/>
          <w:bottom w:w="28" w:type="dxa"/>
          <w:right w:w="28" w:type="dxa"/>
        </w:tblCellMar>
      </w:tblPr>
      <w:tblGrid>
        <w:gridCol w:w="825"/>
        <w:gridCol w:w="726"/>
        <w:gridCol w:w="729"/>
        <w:gridCol w:w="109"/>
        <w:gridCol w:w="109"/>
        <w:gridCol w:w="109"/>
        <w:gridCol w:w="292"/>
        <w:gridCol w:w="500"/>
        <w:gridCol w:w="375"/>
        <w:gridCol w:w="151"/>
        <w:gridCol w:w="151"/>
        <w:gridCol w:w="151"/>
        <w:gridCol w:w="292"/>
        <w:gridCol w:w="500"/>
        <w:gridCol w:w="375"/>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and the resulting effective tax rate for interim periods are determined based upon its estimated annual effective tax rate adjusted for the effect of discrete items arising during the period. The increase in the Company's effective tax rate for the three months ended March 31, 2026, compared to the same periods in 2025, was primarily driven by an increase in the Company's state tax liabilities, despite maintaining a full valuation allowance. The effective tax rate differs from the U.S. statutory tax rate primarily due to the valuation allowance on the Company’s deferred tax assets as it is more likely than not that some or all of these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13.    Net Income (Loss) Per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loss per common share is based on the weighted-average common shares outstanding during the relevant period. Diluted loss per share is based on the weighted-average common shares outstanding during the relevant period, adjusted for the dilutive effect of share-based awards and convertible debt.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periods in which the Company reports net losses, basic and diluted net loss per share are the same because potentially dilutive common shares are not assumed to have been issued if their effect is anti-dilutive.</w:t>
      </w:r>
    </w:p>
    <w:tbl>
      <w:tblPr>
        <w:tblW w:w="10205" w:type="dxa"/>
        <w:jc w:val="left"/>
        <w:tblInd w:w="0" w:type="dxa"/>
        <w:tblLayout w:type="fixed"/>
        <w:tblCellMar>
          <w:top w:w="28" w:type="dxa"/>
          <w:left w:w="28" w:type="dxa"/>
          <w:bottom w:w="28" w:type="dxa"/>
          <w:right w:w="28" w:type="dxa"/>
        </w:tblCellMar>
      </w:tblPr>
      <w:tblGrid>
        <w:gridCol w:w="1720"/>
        <w:gridCol w:w="1300"/>
        <w:gridCol w:w="1315"/>
        <w:gridCol w:w="109"/>
        <w:gridCol w:w="109"/>
        <w:gridCol w:w="109"/>
        <w:gridCol w:w="109"/>
        <w:gridCol w:w="109"/>
        <w:gridCol w:w="109"/>
        <w:gridCol w:w="109"/>
        <w:gridCol w:w="109"/>
        <w:gridCol w:w="109"/>
        <w:gridCol w:w="109"/>
        <w:gridCol w:w="109"/>
        <w:gridCol w:w="109"/>
        <w:gridCol w:w="565"/>
        <w:gridCol w:w="565"/>
        <w:gridCol w:w="566"/>
        <w:gridCol w:w="109"/>
        <w:gridCol w:w="270"/>
        <w:gridCol w:w="811"/>
        <w:gridCol w:w="109"/>
        <w:gridCol w:w="109"/>
        <w:gridCol w:w="109"/>
        <w:gridCol w:w="109"/>
        <w:gridCol w:w="270"/>
        <w:gridCol w:w="811"/>
        <w:gridCol w:w="159"/>
      </w:tblGrid>
      <w:tr>
        <w:trPr/>
        <w:tc>
          <w:tcPr>
            <w:tcW w:w="172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2866" w:type="dxa"/>
            <w:gridSpan w:val="10"/>
            <w:tcBorders/>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calculate net loss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96,901,974 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calculate net loss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96,901,974 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The following securities were excluded from the computation of diluted net loss per share for the periods presented, due to their anti-dilutive effect: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6"/>
        <w:gridCol w:w="1086"/>
        <w:gridCol w:w="1090"/>
        <w:gridCol w:w="109"/>
        <w:gridCol w:w="109"/>
        <w:gridCol w:w="109"/>
        <w:gridCol w:w="109"/>
        <w:gridCol w:w="109"/>
        <w:gridCol w:w="109"/>
        <w:gridCol w:w="109"/>
        <w:gridCol w:w="109"/>
        <w:gridCol w:w="109"/>
        <w:gridCol w:w="109"/>
        <w:gridCol w:w="892"/>
        <w:gridCol w:w="892"/>
        <w:gridCol w:w="894"/>
        <w:gridCol w:w="109"/>
        <w:gridCol w:w="540"/>
        <w:gridCol w:w="541"/>
        <w:gridCol w:w="176"/>
        <w:gridCol w:w="109"/>
        <w:gridCol w:w="109"/>
        <w:gridCol w:w="109"/>
        <w:gridCol w:w="540"/>
        <w:gridCol w:w="541"/>
        <w:gridCol w:w="241"/>
      </w:tblGrid>
      <w:tr>
        <w:trPr/>
        <w:tc>
          <w:tcPr>
            <w:tcW w:w="124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015" w:type="dxa"/>
            <w:gridSpan w:val="10"/>
            <w:tcBorders/>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10,122,309 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9,220,829 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3,826,545 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rights committed under the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15,929,353 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23,477,838 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29,944,263 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39,308,155 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organization and management structure is designed to support development of different lending product offerings, which are grouped into three operating segments - Personal Lending (unsecured personal loans and small dollar loans), Auto Lending (auto refinance, auto retail loans, and auto secured personal loans</w:t>
      </w:r>
      <w:r>
        <w:rPr>
          <w:rFonts w:ascii="Times New Roman;serif" w:hAnsi="Times New Roman;serif"/>
          <w:b w:val="false"/>
          <w:color w:val="000000"/>
          <w:sz w:val="13"/>
        </w:rPr>
        <w:t>(1)</w:t>
      </w:r>
      <w:r>
        <w:rPr>
          <w:rFonts w:ascii="Times New Roman;serif" w:hAnsi="Times New Roman;serif"/>
          <w:b w:val="false"/>
          <w:color w:val="000000"/>
          <w:sz w:val="20"/>
        </w:rPr>
        <w:t>), and Other (HELOCs and other). These operating segments are separately managed and evaluated by the Chief Operating Decision Maker (“CODM”), the Company’s Chief Executive Officer, who allocates resources and assesses performance at this level. The Company has determined that only one operating segment, Personal Lending, meets the definition of a reportable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generates all its revenue in the U.S. and a majority is earned in exchange for the use of the Company’s platform and for borrower referrals as well as for loan servicing activities provided to its lending partners and institutional investors. Refer to “</w:t>
      </w:r>
      <w:r>
        <w:rPr>
          <w:rFonts w:ascii="Times New Roman;serif" w:hAnsi="Times New Roman;serif"/>
          <w:b w:val="false"/>
          <w:i/>
          <w:color w:val="000000"/>
          <w:sz w:val="20"/>
        </w:rPr>
        <w:t>Note 2. Revenue”</w:t>
      </w:r>
      <w:r>
        <w:rPr>
          <w:color w:val="000000"/>
        </w:rPr>
        <w:t xml:space="preserve"> </w:t>
      </w:r>
      <w:r>
        <w:rPr>
          <w:rFonts w:ascii="Times New Roman;serif" w:hAnsi="Times New Roman;serif"/>
          <w:b w:val="false"/>
          <w:color w:val="000000"/>
          <w:sz w:val="20"/>
        </w:rPr>
        <w:t>for further information related to the Company's disaggregation of revenue from fees by type of service.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Contribution Profit is the primary measure of segment profit and loss reviewed by the CODM to assess business performance and strategy, prepare the Company’s annual operating budget and financial forecasts, and communicate with the Company’s Board of Directors concerning the Company’s financial performance. The significant segment expenses regularly reviewed by the CODM in evaluating Contribution Profit include borrower acquisition costs and borrower verification and servicing costs. To derive Contribution Profit, the Company subtracts the sum of borrower acquisition costs as well as borrower verification and servicing costs from 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financial information, including Contribution Profit, for the Company’s Personal Lending segment:</w:t>
      </w:r>
    </w:p>
    <w:p>
      <w:pPr>
        <w:pStyle w:val="TextBody"/>
        <w:bidi w:val="0"/>
        <w:spacing w:before="0" w:after="0"/>
        <w:ind w:left="0" w:right="0" w:firstLine="720"/>
        <w:jc w:val="both"/>
        <w:rPr/>
      </w:pPr>
      <w:r>
        <w:rPr/>
      </w:r>
    </w:p>
    <w:tbl>
      <w:tblPr>
        <w:tblW w:w="7429" w:type="dxa"/>
        <w:jc w:val="left"/>
        <w:tblInd w:w="0" w:type="dxa"/>
        <w:tblLayout w:type="fixed"/>
        <w:tblCellMar>
          <w:top w:w="28" w:type="dxa"/>
          <w:left w:w="28" w:type="dxa"/>
          <w:bottom w:w="28" w:type="dxa"/>
          <w:right w:w="28" w:type="dxa"/>
        </w:tblCellMar>
      </w:tblPr>
      <w:tblGrid>
        <w:gridCol w:w="1312"/>
        <w:gridCol w:w="1149"/>
        <w:gridCol w:w="1154"/>
        <w:gridCol w:w="109"/>
        <w:gridCol w:w="109"/>
        <w:gridCol w:w="109"/>
        <w:gridCol w:w="224"/>
        <w:gridCol w:w="880"/>
        <w:gridCol w:w="116"/>
        <w:gridCol w:w="116"/>
        <w:gridCol w:w="116"/>
        <w:gridCol w:w="116"/>
        <w:gridCol w:w="224"/>
        <w:gridCol w:w="880"/>
        <w:gridCol w:w="116"/>
        <w:gridCol w:w="109"/>
        <w:gridCol w:w="109"/>
        <w:gridCol w:w="109"/>
        <w:gridCol w:w="109"/>
        <w:gridCol w:w="109"/>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Personal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acquisition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verification and servicing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 for Personal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(1)Beginning in the third quarter of 2025, the Company reclassified auto secured personal loans from Personal Lending to Auto Lending operating segment. Prior period segment information reflects the change, which was immaterial to the Company’s condensed consolidated financial statements.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total Contribution Profit to Net loss before income taxes:</w:t>
      </w:r>
    </w:p>
    <w:p>
      <w:pPr>
        <w:pStyle w:val="TextBody"/>
        <w:bidi w:val="0"/>
        <w:spacing w:before="0" w:after="0"/>
        <w:ind w:left="0" w:right="0" w:firstLine="720"/>
        <w:jc w:val="both"/>
        <w:rPr/>
      </w:pPr>
      <w:r>
        <w:rPr/>
      </w:r>
    </w:p>
    <w:tbl>
      <w:tblPr>
        <w:tblW w:w="9678"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109"/>
        <w:gridCol w:w="109"/>
        <w:gridCol w:w="224"/>
        <w:gridCol w:w="880"/>
        <w:gridCol w:w="116"/>
        <w:gridCol w:w="116"/>
        <w:gridCol w:w="116"/>
        <w:gridCol w:w="116"/>
        <w:gridCol w:w="224"/>
        <w:gridCol w:w="880"/>
        <w:gridCol w:w="116"/>
        <w:gridCol w:w="109"/>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Personal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Contribution Profit/(Loss)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net of borrower acquisition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operations, net of borrower verification and servicing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(1)Includes Auto Lending and Other operating segments, which did not meet the separate reporting or aggregation criteria under GAAP.</w:t>
      </w:r>
    </w:p>
    <w:p>
      <w:pPr>
        <w:pStyle w:val="TextBody"/>
        <w:bidi w:val="0"/>
        <w:spacing w:lineRule="auto" w:line="288" w:before="0" w:after="0"/>
        <w:ind w:left="0" w:right="0" w:hanging="540"/>
        <w:jc w:val="both"/>
        <w:rPr/>
      </w:pPr>
      <w:r>
        <w:rPr>
          <w:rFonts w:ascii="Times New Roman;serif" w:hAnsi="Times New Roman;serif"/>
          <w:b w:val="false"/>
          <w:color w:val="000000"/>
          <w:sz w:val="16"/>
        </w:rPr>
        <w:t>(2)Borrower acquisition costs were $48.6 million</w:t>
      </w:r>
      <w:r>
        <w:rPr>
          <w:color w:val="000000"/>
          <w:shd w:fill="FFFFFF" w:val="clear"/>
        </w:rPr>
        <w:t xml:space="preserve"> </w:t>
      </w:r>
      <w:r>
        <w:rPr>
          <w:rFonts w:ascii="Times New Roman;serif" w:hAnsi="Times New Roman;serif"/>
          <w:b w:val="false"/>
          <w:color w:val="000000"/>
          <w:sz w:val="16"/>
          <w:shd w:fill="FFFFFF" w:val="clear"/>
        </w:rPr>
        <w:t>a</w:t>
      </w:r>
      <w:r>
        <w:rPr>
          <w:rFonts w:ascii="Times New Roman;serif" w:hAnsi="Times New Roman;serif"/>
          <w:b w:val="false"/>
          <w:color w:val="000000"/>
          <w:sz w:val="16"/>
        </w:rPr>
        <w:t>nd $92.3 million for the three months ended March 31, 2025 and 2026, respectively. 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(3)Borrower verification and servicing costs were $34.5 million and $47.5 million for the three months ended March 31, 2025 and 2026,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does not evaluate operating segments using asset information and, accordingly, the Company does not report asset information by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events that have occurred through the filing date of this Quarterly Report on Form 10-Q. Based on its evaluation, other than any items recorded or disclosed within the condensed consolidated financial statements and related notes, the Company has determined no subsequent events were required to be recognized or disclosed.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36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63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Upstart is the leading artificial intelligence (“AI”) lending marketplace. We aim to radically reduce the cost and complexity of borrowing for all Americans by using our proprietary AI models to remake the entire lending process. Today, Upstart’s marketplace supports personal loans, including small dollar “relief” loans, auto loans, including retail, refinance, and auto secured personal loans, and home loans in the form of home equity lines of credit (“HELOCs”). Long-term, our vision is to become the always-on, everything-store for credit, where we can automatically approve borrowers at the right prices – instantly and effortlessly.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applies AI to more accurately quantify the true risk of a loan, a capability we refer to as “risk separation.” This differentiated approach to underwriting has generally led to higher approvals and lower interest rates relative to traditional lending practices, with more predictable returns to our capital partners including banks and credit unions (collectively our “lending partners”) and institutional investors. With this as the foundation, we’ve added layers of automation, macroeconomic calibration, and personalization that can support increasing scale and greater business resilience over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Beyond core underwriting, we apply our proprietary AI models to other areas of our business, such as income and identity verification, fraud detection, and identifying loan stacking behavior, among others. The result is an exceptional digital-first experience with significant levels of automation. For example, during the three months ended March 31, 2026, 91% of loans on our platform were fully automated, with no human intervention by Upstart. Consumer acquisition is another area where we apply our AI, making these activities increasingly efficient. Consumers primarily access Upstart-powered loans through Upstart.com and, for automotive retail in particular, through auto dealerships that use Upstart’s Auto Finance software.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dynamic marketplace allows us to serve borrowers across the credit spectrum. Loans issued through our marketplace are purchased by our network of institutional investors, retained or purchased by our lending partners, or in certain instances, held on our balance sheet. Out of the total principal of loans transacted on our marketplace during the three months ended March 31, 2026, 55% were purchased by institutional investors, 33% were retained or purchased by our lending partners, and 12% were held on our balance sheet. Investors may also invest in securities collateralized by Upstart-powered loans through our pass-through and securitization programs.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Institutional investors play an important role in our lending marketplace by providing capital for higher risk loans that may not be economically feasible for traditional banks and credit unions to hold. Today, more than 50% of the loan funding on our platform is through committed capital and other co-investment arrangements with institutional investors and lending partners, which provide valuable stability and resilience on the funding side of our platform.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retain certain loans on our balance sheet for research and development purposes (“R&amp;D Loans”), including to test and evaluate our AI models for newer products, to fill gaps in investor demand, and to aid in price discovery. As of March 31, 2026, 62% of loans held on our balance sheet were for R&amp;D purposes, primarily related to our auto refinance and auto retail loan products, small dollar loans and HELOCs.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Credit Performance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credit performance of Upstart-powered loans to be one of the most important measures of the effectiveness of our AI models. However, credit performance is impacted by multiple factors, including factors that our models do not predict, such as macroeconomic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evaluate the credit performance of our</w:t>
      </w:r>
      <w:r>
        <w:rPr>
          <w:color w:val="0E32E1"/>
        </w:rPr>
        <w:t xml:space="preserve"> </w:t>
      </w:r>
      <w:r>
        <w:rPr>
          <w:rFonts w:ascii="Times New Roman;serif" w:hAnsi="Times New Roman;serif"/>
          <w:b w:val="false"/>
          <w:color w:val="000000"/>
          <w:sz w:val="20"/>
        </w:rPr>
        <w:t>loans by comparing the target returns expected at the time of origination to the returns received by our lending partners, institutional investors, or us.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equal investment in all vintages of Upstart-powered personal loans (excluding small dollar loans) originated in the first quarter of 2024 through the fourth quarter of 2025 is currently expected to deliver annual returns in line with a blended target of approximately 11.3% after servicing fees. Looking at performance over a longer period, an equal investment in all vintages of Upstart-powered personal loans (excluding smaller dollar loans) originated in the first quarter of 2023 through the fourth quarter of 2025 is currently expected to deliver annual returns in line with a blended target of approximately 10.8% after servicing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a more granular level, the quarterly vintages originated in the first quarter of 2023 through the first quarter of 2024 are currently forecasted to underperform relative to their target returns and quarterly vintages originated in the second quarter of 2024 or later are currently forecasted to deliver returns in line with target yields. This reversion in performance to target yields reflects a combination of factors including increased conservatism in underwriting, the relative stabilization of macroeconomic conditions, and improvements in our more recent models.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Impact of Macroeconomic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impacting credit performance, the macroeconomic environment has a direct and indirect impact on our business financial condition, and results of operation. 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example, loan funding provided by institutional investors started to become constrained in 2022, largely due to concerns about the macroeconomic environment. Rising interest rates also led to more expensive loan offers across borrower categories, which decreased borrower demand. In order to create greater stability for our business, we began securing committed capital and co-investment arrangements with institutional investors and other third parties that provide loan funding over longer durations. While we believe that the macroeconomic environment started to improve in 2024, disruption in financial markets could once again lower borrower demand or impair our lending partners and result in constrained funding, which would adversely impact our business, financial condition and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respond to macroeconomic changes and provide relevant and up-to-date information to our lending partners, we introduced a new metric, the Upstart Macro Index (“UMI”), in 2023. As of March 31, 2026, UMI remained elevated, measured at approximately 1.38, meaning that current macroeconomic conditions contributed an incremental risk of approximately 38% to the repayment performance of an Upstart-powered unsecured personal loan, compared to the baseline measurement of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Key Operating and Non-GAAP Financial Metrics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focus on several key operating and Non-GAAP financial metrics to measure the performance of our business and help determine strategic direction. The following presents our key operating and financial metrics:</w:t>
      </w:r>
    </w:p>
    <w:p>
      <w:pPr>
        <w:pStyle w:val="TextBody"/>
        <w:bidi w:val="0"/>
        <w:spacing w:before="0" w:after="0"/>
        <w:jc w:val="left"/>
        <w:rPr/>
      </w:pPr>
      <w:r>
        <w:rPr/>
      </w:r>
    </w:p>
    <w:tbl>
      <w:tblPr>
        <w:tblW w:w="8068" w:type="dxa"/>
        <w:jc w:val="left"/>
        <w:tblInd w:w="0" w:type="dxa"/>
        <w:tblLayout w:type="fixed"/>
        <w:tblCellMar>
          <w:top w:w="28" w:type="dxa"/>
          <w:left w:w="28" w:type="dxa"/>
          <w:bottom w:w="28" w:type="dxa"/>
          <w:right w:w="28" w:type="dxa"/>
        </w:tblCellMar>
      </w:tblPr>
      <w:tblGrid>
        <w:gridCol w:w="1237"/>
        <w:gridCol w:w="1089"/>
        <w:gridCol w:w="1094"/>
        <w:gridCol w:w="109"/>
        <w:gridCol w:w="109"/>
        <w:gridCol w:w="109"/>
        <w:gridCol w:w="496"/>
        <w:gridCol w:w="465"/>
        <w:gridCol w:w="466"/>
        <w:gridCol w:w="256"/>
        <w:gridCol w:w="256"/>
        <w:gridCol w:w="256"/>
        <w:gridCol w:w="496"/>
        <w:gridCol w:w="465"/>
        <w:gridCol w:w="466"/>
        <w:gridCol w:w="109"/>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Volume,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2,133,608</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3,445,142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Volume, Number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240,706</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Conversion Rate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Percentage of Loans Fully Automated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Profit</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102,372</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Contribution Margin</w:t>
            </w:r>
            <w:r>
              <w:rPr>
                <w:rFonts w:ascii="Times New Roman;serif" w:hAnsi="Times New Roman;serif"/>
                <w:b w:val="false"/>
                <w:i/>
                <w:color w:val="000000"/>
                <w:sz w:val="13"/>
              </w:rPr>
              <w:t>(4)</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42,577</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i/>
                <w:color w:val="000000"/>
                <w:sz w:val="20"/>
              </w:rPr>
              <w:t>Adjusted EBITDA Margin</w:t>
            </w:r>
            <w:r>
              <w:rPr>
                <w:rFonts w:ascii="Times New Roman;serif" w:hAnsi="Times New Roman;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(1)Transaction Volume, Number of Loans, is shown in ones for the periods presented.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(2)Beginning in the fourth quarter of 2025, we revised the definition and underlying calculation methodology of Conversion Rate. Prior period figures have been recast to conform to the new definition and methodology. For additional information regarding this change, see “Key Operating and Non-GAAP Financial Metrics” in our Annual Report on Form 10-K for the year ended December 31, 2025.</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(3)Beginning in the fourth quarter of 2025, we revised the definition and underlying calculation methodology of Percentage of Loans Fully Automated. Prior periods have not been adjusted, as the impact was immaterial. For additional information regarding this change, see “Key Operating and Non-GAAP Financial Metrics” in our Annual Report on Form 10-K for the year ended December 31, 2025.</w:t>
      </w:r>
    </w:p>
    <w:p>
      <w:pPr>
        <w:pStyle w:val="TextBody"/>
        <w:bidi w:val="0"/>
        <w:spacing w:lineRule="auto" w:line="288" w:before="0" w:after="0"/>
        <w:ind w:left="0" w:right="0" w:hanging="540"/>
        <w:jc w:val="both"/>
        <w:rPr/>
      </w:pPr>
      <w:r>
        <w:rPr>
          <w:rFonts w:ascii="Times New Roman;serif" w:hAnsi="Times New Roman;serif"/>
          <w:b w:val="false"/>
          <w:color w:val="000000"/>
          <w:sz w:val="16"/>
        </w:rPr>
        <w:t>(4)Represents a non-GAAP financial measure. See the section titled “</w:t>
      </w:r>
      <w:r>
        <w:rPr>
          <w:rFonts w:ascii="Times New Roman;serif" w:hAnsi="Times New Roman;serif"/>
          <w:b w:val="false"/>
          <w:i/>
          <w:color w:val="000000"/>
          <w:sz w:val="16"/>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16"/>
        </w:rPr>
        <w:t>for further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Transaction Volume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Transaction Volume, Dollars as the total principal of loan originations (or committed amounts for HELOCs) facilitated on our marketplace during the periods presented. We define Transaction Volume, Number of Loans as the number of loan originations (or commitments issued for HELOCs) facilitated on our marketplace during the periods presented. We believe these metrics are good proxies for our overall scale and reach as a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Volume is driven by improvements in our AI models and technology, including our ability to streamline and automate the loan application and origination process. Transaction Volume can also be driven by several other factors, including borrower acceptance rates and their sensitivity to the interest rates offered through our platform. Transaction Volume is dependent on the availability of platform funding which is influenced by factors such as volatility in the capital markets and macroeconomic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Transaction Volume, Dollars increased 61% in the </w:t>
      </w:r>
      <w:r>
        <w:rPr>
          <w:rFonts w:ascii="Times New Roman;serif" w:hAnsi="Times New Roman;serif"/>
          <w:b w:val="false"/>
          <w:color w:val="000000"/>
          <w:sz w:val="20"/>
          <w:shd w:fill="FFFFFF" w:val="clear"/>
        </w:rPr>
        <w:t xml:space="preserve">three months ended March 31, 2026 compared to the </w:t>
      </w:r>
      <w:r>
        <w:rPr>
          <w:rFonts w:ascii="Times New Roman;serif" w:hAnsi="Times New Roman;serif"/>
          <w:b w:val="false"/>
          <w:color w:val="000000"/>
          <w:sz w:val="20"/>
        </w:rPr>
        <w:t>same period of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Transaction Volume, Number of Loans increased 77% in the </w:t>
      </w:r>
      <w:r>
        <w:rPr>
          <w:rFonts w:ascii="Times New Roman;serif" w:hAnsi="Times New Roman;serif"/>
          <w:b w:val="false"/>
          <w:color w:val="000000"/>
          <w:sz w:val="20"/>
          <w:shd w:fill="FFFFFF" w:val="clear"/>
        </w:rPr>
        <w:t>three months ended March 31, 2026</w:t>
      </w:r>
      <w:r>
        <w:rPr>
          <w:color w:val="000000"/>
        </w:rPr>
        <w:t xml:space="preserve"> </w:t>
      </w:r>
      <w:r>
        <w:rPr>
          <w:rFonts w:ascii="Times New Roman;serif" w:hAnsi="Times New Roman;serif"/>
          <w:b w:val="false"/>
          <w:color w:val="000000"/>
          <w:sz w:val="20"/>
        </w:rPr>
        <w:t>compared to the same period of 2025. These increases were primarily due to model improvements and product initiatives, which resulted in an increase in the number of qualified borrowers and more attractive loan offers. The increase in Transaction Volume, Number of Loans was higher than the increase in Transaction Volume, Dollars due to the decrease in average loan size, primarily as underwriting model improvements drove higher approval rates in smaller dollar categories of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Conversion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Conversion Rate as the Transaction Volume, Number of Loans in a period divided by the total number of rate inquiries received that we estimate to be legitimate, which we record when a borrower actively requests a loan offer on our platform. We track this metric to understand the impact of improvements to the efficiency of our borrower funnel on our overall growth.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Historically, our Conversion Rate has benefited from improvements to our technology, which have made our evaluation of risk more accurate and our verification process more automated, or from the addition of capital partners that have made our offers more competitive. However, our Conversion Rate can be impacted by a variety of internal factors such as changes in the amount of platform and referral fees that we charge or changes in the rate of returns we target for our lending partners and institutional investors. External factors such as shifts in macroeconomic conditions, including interest rate changes, also impact our Conversion Rate. Our ability to continue to improve our Conversion Rate depends in part on our ability to continue to improve our AI models and Percentage of Loans Fully Automated and the mix of marketing channels in any given peri</w:t>
      </w:r>
      <w:r>
        <w:rPr>
          <w:rFonts w:ascii="Times New Roman;serif" w:hAnsi="Times New Roman;serif"/>
          <w:b w:val="false"/>
          <w:color w:val="000000"/>
          <w:sz w:val="20"/>
          <w:shd w:fill="FFFFFF" w:val="clear"/>
        </w:rPr>
        <w:t>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Our Conversion </w:t>
      </w:r>
      <w:r>
        <w:rPr>
          <w:rFonts w:ascii="Times New Roman;serif" w:hAnsi="Times New Roman;serif"/>
          <w:b w:val="false"/>
          <w:color w:val="000000"/>
          <w:sz w:val="20"/>
        </w:rPr>
        <w:t>Rate increased to 18.5% in the three months ended March 31, 2026 fr</w:t>
      </w:r>
      <w:r>
        <w:rPr>
          <w:rFonts w:ascii="Times New Roman;serif" w:hAnsi="Times New Roman;serif"/>
          <w:b w:val="false"/>
          <w:color w:val="000000"/>
          <w:sz w:val="20"/>
          <w:shd w:fill="FFFFFF" w:val="clear"/>
        </w:rPr>
        <w:t xml:space="preserve">om </w:t>
      </w:r>
      <w:r>
        <w:rPr>
          <w:rFonts w:ascii="Times New Roman;serif" w:hAnsi="Times New Roman;serif"/>
          <w:b w:val="false"/>
          <w:color w:val="000000"/>
          <w:sz w:val="20"/>
        </w:rPr>
        <w:t>17.5%</w:t>
      </w:r>
      <w:r>
        <w:rPr>
          <w:color w:val="000000"/>
          <w:shd w:fill="FFFFFF" w:val="clear"/>
        </w:rPr>
        <w:t xml:space="preserve"> </w:t>
      </w:r>
      <w:r>
        <w:rPr>
          <w:rFonts w:ascii="Times New Roman;serif" w:hAnsi="Times New Roman;serif"/>
          <w:b w:val="false"/>
          <w:color w:val="000000"/>
          <w:sz w:val="20"/>
          <w:shd w:fill="FFFFFF" w:val="clear"/>
        </w:rPr>
        <w:t xml:space="preserve">in the same period of </w:t>
      </w:r>
      <w:r>
        <w:rPr>
          <w:rFonts w:ascii="Times New Roman;serif" w:hAnsi="Times New Roman;serif"/>
          <w:b w:val="false"/>
          <w:color w:val="000000"/>
          <w:sz w:val="20"/>
        </w:rPr>
        <w:t>2025, primarily driven by underwriting model improvements and product and pricing initiatives, coupled with continued optimization in our acquisition channels.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Percentage of Loans Fully Automated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driver of our Contribution Margin and operating efficiency is the Percentage of Loans Fully Automated, which is defined as the total number of loans in a given period originated end-to-end with no human involvement required by the Company divided by the Transaction Volume, Number of Loans in the same period. Under this definition, “originated end-to-end” means (i) from initial rate request to final funding for personal loans, including small dollar loans, and (ii) from initial rate request to loan approval for auto loans and HELOCs, due to certain jurisdictions’ local requirements and external dependencies that require human action prior to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been successful in increasing the level of loan automation on the platform over the years while simultaneously holding fraud rates at very low levels. We believe this growth has been driven in part by our ability to streamline and automate the loan application and o</w:t>
      </w:r>
      <w:r>
        <w:rPr>
          <w:rFonts w:ascii="Times New Roman;serif" w:hAnsi="Times New Roman;serif"/>
          <w:b w:val="false"/>
          <w:color w:val="000000"/>
          <w:sz w:val="20"/>
          <w:shd w:fill="FFFFFF" w:val="clear"/>
        </w:rPr>
        <w:t>rigination process on our platform. As we expand our loan offerings, however, this percentage may fluctuate from period to period depending on the loan offering mix and other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Our Percentage of Loans Fully A</w:t>
      </w:r>
      <w:r>
        <w:rPr>
          <w:rFonts w:ascii="Times New Roman;serif" w:hAnsi="Times New Roman;serif"/>
          <w:b w:val="false"/>
          <w:color w:val="000000"/>
          <w:sz w:val="20"/>
        </w:rPr>
        <w:t xml:space="preserve">utomated decreased slightly to 91% in the </w:t>
      </w:r>
      <w:r>
        <w:rPr>
          <w:rFonts w:ascii="Times New Roman;serif" w:hAnsi="Times New Roman;serif"/>
          <w:b w:val="false"/>
          <w:color w:val="000000"/>
          <w:sz w:val="20"/>
          <w:shd w:fill="FFFFFF" w:val="clear"/>
        </w:rPr>
        <w:t xml:space="preserve">three months ended March 31, 2026 from </w:t>
      </w:r>
      <w:r>
        <w:rPr>
          <w:rFonts w:ascii="Times New Roman;serif" w:hAnsi="Times New Roman;serif"/>
          <w:b w:val="false"/>
          <w:color w:val="000000"/>
          <w:sz w:val="20"/>
        </w:rPr>
        <w:t xml:space="preserve">92% </w:t>
      </w:r>
      <w:r>
        <w:rPr>
          <w:rFonts w:ascii="Times New Roman;serif" w:hAnsi="Times New Roman;serif"/>
          <w:b w:val="false"/>
          <w:color w:val="000000"/>
          <w:sz w:val="20"/>
          <w:shd w:fill="FFFFFF" w:val="clear"/>
        </w:rPr>
        <w:t xml:space="preserve">in the same period of </w:t>
      </w:r>
      <w:r>
        <w:rPr>
          <w:rFonts w:ascii="Times New Roman;serif" w:hAnsi="Times New Roman;serif"/>
          <w:b w:val="false"/>
          <w:color w:val="000000"/>
          <w:sz w:val="20"/>
        </w:rPr>
        <w:t>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Contribution Profit and Contribution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Contribution Profit and Contribution Margin have limitations as analytical tools,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to variable expenses is not necessarily indicative of future performance. Contribution Profit and Contribution Margin reflect all expenses that we consider to be variable, which may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derive Contribution Profit, we subtract the sum of borrower acquisition costs as well as borrower verification and servicing costs from revenue from fees, net. To calculate Contribution Margin we divide Contribution Profit by revenue from fees, net. Contribution Profit and Contribution Margin may fluctuate between periods due to various factors, including changes in the product mix of loans originated on our platform and marketing efforts.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calculation of Contribution Profit and Contribution Margin:</w:t>
      </w:r>
    </w:p>
    <w:p>
      <w:pPr>
        <w:pStyle w:val="TextBody"/>
        <w:bidi w:val="0"/>
        <w:spacing w:before="0" w:after="0"/>
        <w:jc w:val="left"/>
        <w:rPr/>
      </w:pPr>
      <w:r>
        <w:rPr/>
      </w:r>
    </w:p>
    <w:tbl>
      <w:tblPr>
        <w:tblW w:w="7584" w:type="dxa"/>
        <w:jc w:val="left"/>
        <w:tblInd w:w="0" w:type="dxa"/>
        <w:tblLayout w:type="fixed"/>
        <w:tblCellMar>
          <w:top w:w="28" w:type="dxa"/>
          <w:left w:w="28" w:type="dxa"/>
          <w:bottom w:w="28" w:type="dxa"/>
          <w:right w:w="28" w:type="dxa"/>
        </w:tblCellMar>
      </w:tblPr>
      <w:tblGrid>
        <w:gridCol w:w="1307"/>
        <w:gridCol w:w="1152"/>
        <w:gridCol w:w="1156"/>
        <w:gridCol w:w="109"/>
        <w:gridCol w:w="109"/>
        <w:gridCol w:w="109"/>
        <w:gridCol w:w="211"/>
        <w:gridCol w:w="826"/>
        <w:gridCol w:w="271"/>
        <w:gridCol w:w="109"/>
        <w:gridCol w:w="109"/>
        <w:gridCol w:w="109"/>
        <w:gridCol w:w="211"/>
        <w:gridCol w:w="826"/>
        <w:gridCol w:w="271"/>
        <w:gridCol w:w="109"/>
        <w:gridCol w:w="109"/>
        <w:gridCol w:w="109"/>
        <w:gridCol w:w="109"/>
        <w:gridCol w:w="109"/>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acquisition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verification and servicing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direct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the section titled “</w:t>
      </w:r>
      <w:r>
        <w:rPr>
          <w:rFonts w:ascii="Times New Roman;serif" w:hAnsi="Times New Roman;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20"/>
        </w:rPr>
        <w:t>for a reconciliation of loss from operations to Contribution Profit.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Adjusted EBITDA and Adjusted EBITDA Margin are useful for investors to use in comparing our financial performance with the performance of other companies for the following reasons: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Adjusted EBITDA and Adjusted EBITDA Margin eliminate the impact of certain items such as stock-based compensation expense and certain payroll tax expense, expense on convertible n</w:t>
      </w:r>
      <w:r>
        <w:rPr>
          <w:rFonts w:ascii="Times New Roman;serif" w:hAnsi="Times New Roman;serif"/>
          <w:b w:val="false"/>
          <w:color w:val="000000"/>
          <w:sz w:val="20"/>
          <w:shd w:fill="FFFFFF" w:val="clear"/>
        </w:rPr>
        <w:t>otes, gain on debt extinguishment, net gain on lease modification and reorganization expenses, as applicable, that may obscure trends in the underlying performance of our business; and</w:t>
      </w:r>
    </w:p>
    <w:p>
      <w:pPr>
        <w:pStyle w:val="TextBody"/>
        <w:bidi w:val="0"/>
        <w:spacing w:lineRule="auto" w:line="276"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and Adjusted EBITDA Margin provide consistency and comparability with o</w:t>
      </w:r>
      <w:r>
        <w:rPr>
          <w:rFonts w:ascii="Times New Roman;serif" w:hAnsi="Times New Roman;serif"/>
          <w:b w:val="false"/>
          <w:color w:val="000000"/>
          <w:sz w:val="20"/>
        </w:rPr>
        <w:t>ur past financial performance, and facilitate comparisons with other companies, many of which use similar non-GAAP financial measures to supplement their GAAP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firstLine="720"/>
        <w:jc w:val="both"/>
        <w:rPr/>
      </w:pPr>
      <w:r>
        <w:rPr>
          <w:rFonts w:ascii="Times New Roman;serif" w:hAnsi="Times New Roman;serif"/>
          <w:b w:val="false"/>
          <w:color w:val="000000"/>
          <w:sz w:val="20"/>
        </w:rPr>
        <w:t>We calculate Adjusted EBITDA as net income (loss) adjusted to exclude stock-based compensation expense and certain payroll tax expenses, depreciation and amortization, expense on convertible notes, provision for income taxes, gain on debt extinguishment, net gain on lease modification and reorganization expenses, as applicable.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serif" w:hAnsi="Times New Roman;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20"/>
        </w:rPr>
        <w:t>for a reconciliation of net income (loss) to Adjusted EBITDA and Adjusted EBITDA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from Fees, Net</w:t>
      </w:r>
    </w:p>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Platform and Referral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recognize subscription fees in relation to contracts with auto dealers for the use of Upstart Auto Finance software, a cloud-based solution that facilitates dealership operations and enables them to provide consumers with access to Upstart-powered auto loans. In addition, we recognize origination fees charged to our borrowers on HELOCs that we originate. Refer to “</w:t>
      </w:r>
      <w:r>
        <w:rPr>
          <w:rFonts w:ascii="Times New Roman;serif" w:hAnsi="Times New Roman;serif"/>
          <w:b w:val="false"/>
          <w:i/>
          <w:color w:val="000000"/>
          <w:sz w:val="20"/>
        </w:rPr>
        <w:t>Note 2. Revenue</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 for more information.</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Servicing and Other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Servicing fees are calculated as a percentage of outstanding principal and are charged monthly to lending partners and institutional investors, including securitization trusts and pass-through entities, that hold loans facilitated through our marketplace. These fees compensate us for servicing activities performed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servicer for substantially all outstanding loans facilitated through our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Interest income, interest expense,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interest expense, and fair value adjustments, net includes realized gain or loss on the sale of loans. For the three months ended March 31, 2026, interest income, interest expense, and fair value adjustments, net also includes coupon interest expense and amortization of debt issuance costs related to our convertible senior notes and dividend income earned on certain cash accounts, which were previously included in other income, net. Refer to </w:t>
      </w:r>
      <w:r>
        <w:rPr>
          <w:color w:val="000000"/>
        </w:rPr>
        <w:t>“</w:t>
      </w:r>
      <w:r>
        <w:rPr>
          <w:rFonts w:ascii="Times New Roman;serif" w:hAnsi="Times New Roman;serif"/>
          <w:b w:val="false"/>
          <w:i/>
          <w:color w:val="000000"/>
          <w:sz w:val="20"/>
        </w:rPr>
        <w:t>Note 1. Description of Business and Significant Accounting Policies”</w:t>
      </w:r>
      <w:r>
        <w:rPr>
          <w:color w:val="000000"/>
        </w:rPr>
        <w:t xml:space="preserve"> </w:t>
      </w:r>
      <w:r>
        <w:rPr>
          <w:rFonts w:ascii="Times New Roman;serif" w:hAnsi="Times New Roman;serif"/>
          <w:b w:val="false"/>
          <w:color w:val="000000"/>
          <w:sz w:val="20"/>
        </w:rPr>
        <w:t>in Part I, Item 1 of this Quarterly Report on Form 10-Q for additional information. Interest income, interest expense,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Customer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Engineering and Product Development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Administrative and Other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Other income, net primarily consists of dividend income earned on certain restricted cash balances. For the three months ended March 31, 2025, it included dividend income earned on all unrestricted cash and cash equivalents and restricted cash balances. Beginning in the three months ended March 31, 2026, dividend income earned on certain cash accounts is presented within interest income, interest expense, and fair value adjustments, net. Refer to </w:t>
      </w:r>
      <w:r>
        <w:rPr>
          <w:color w:val="000000"/>
        </w:rPr>
        <w:t>“</w:t>
      </w:r>
      <w:r>
        <w:rPr>
          <w:rFonts w:ascii="Times New Roman;serif" w:hAnsi="Times New Roman;serif"/>
          <w:b w:val="false"/>
          <w:i/>
          <w:color w:val="000000"/>
          <w:sz w:val="20"/>
        </w:rPr>
        <w:t>Note 1. Description of Business and Significant Accounting Policies”</w:t>
      </w:r>
      <w:r>
        <w:rPr>
          <w:color w:val="000000"/>
        </w:rPr>
        <w:t xml:space="preserve"> </w:t>
      </w:r>
      <w:r>
        <w:rPr>
          <w:rFonts w:ascii="Times New Roman;serif" w:hAnsi="Times New Roman;serif"/>
          <w:b w:val="false"/>
          <w:color w:val="000000"/>
          <w:sz w:val="20"/>
        </w:rPr>
        <w:t>in Part I, Item 1 of this Quarterly Report on Form 10-Q for additional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Expense on Convertible Notes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Expense on convertible notes for the three months ended March 31, 2025 comprised of coupon interest expense and amortization of debt issuance costs related to our convertible senior notes. Expense on convertible notes for the three months ended March 31, 2026 is presented within interest income, interest expense, and fair value adjustments, net.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historical condensed consolidated statements of operations data: </w:t>
      </w:r>
    </w:p>
    <w:p>
      <w:pPr>
        <w:pStyle w:val="TextBody"/>
        <w:bidi w:val="0"/>
        <w:spacing w:before="0" w:after="0"/>
        <w:ind w:left="0" w:right="0" w:firstLine="720"/>
        <w:jc w:val="both"/>
        <w:rPr/>
      </w:pPr>
      <w:r>
        <w:rPr/>
      </w:r>
    </w:p>
    <w:tbl>
      <w:tblPr>
        <w:tblW w:w="9619" w:type="dxa"/>
        <w:jc w:val="left"/>
        <w:tblInd w:w="0" w:type="dxa"/>
        <w:tblLayout w:type="fixed"/>
        <w:tblCellMar>
          <w:top w:w="28" w:type="dxa"/>
          <w:left w:w="28" w:type="dxa"/>
          <w:bottom w:w="28" w:type="dxa"/>
          <w:right w:w="28" w:type="dxa"/>
        </w:tblCellMar>
      </w:tblPr>
      <w:tblGrid>
        <w:gridCol w:w="2096"/>
        <w:gridCol w:w="1850"/>
        <w:gridCol w:w="1859"/>
        <w:gridCol w:w="109"/>
        <w:gridCol w:w="109"/>
        <w:gridCol w:w="109"/>
        <w:gridCol w:w="224"/>
        <w:gridCol w:w="880"/>
        <w:gridCol w:w="116"/>
        <w:gridCol w:w="116"/>
        <w:gridCol w:w="116"/>
        <w:gridCol w:w="116"/>
        <w:gridCol w:w="224"/>
        <w:gridCol w:w="880"/>
        <w:gridCol w:w="116"/>
        <w:gridCol w:w="109"/>
        <w:gridCol w:w="109"/>
        <w:gridCol w:w="109"/>
        <w:gridCol w:w="109"/>
        <w:gridCol w:w="109"/>
        <w:gridCol w:w="154"/>
      </w:tblGrid>
      <w:tr>
        <w:trPr/>
        <w:tc>
          <w:tcPr>
            <w:tcW w:w="209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and 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308,214 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315,732 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(1)For the three months ended March 31, 2026, interest income and interest expense include dividend income earned on certain cash accounts and expense on convertible notes, respectively, which were previously included in other income, net. Refer to “</w:t>
      </w:r>
      <w:r>
        <w:rPr>
          <w:rFonts w:ascii="Times New Roman;serif" w:hAnsi="Times New Roman;serif"/>
          <w:b w:val="false"/>
          <w:i/>
          <w:color w:val="000000"/>
          <w:sz w:val="16"/>
        </w:rPr>
        <w:t>Note 1. Description of Business and Significant Accounting Policies</w:t>
      </w:r>
      <w:r>
        <w:rPr>
          <w:color w:val="000000"/>
        </w:rPr>
        <w:t xml:space="preserve">” </w:t>
      </w:r>
      <w:r>
        <w:rPr>
          <w:rFonts w:ascii="Times New Roman;serif" w:hAnsi="Times New Roman;serif"/>
          <w:b w:val="false"/>
          <w:color w:val="000000"/>
          <w:sz w:val="16"/>
        </w:rPr>
        <w:t>in Part I, Item 1 of this Quarterly Report on Form 10-Q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(2)Includes stock-based compensation expense as follows:</w:t>
      </w:r>
    </w:p>
    <w:p>
      <w:pPr>
        <w:pStyle w:val="TextBody"/>
        <w:bidi w:val="0"/>
        <w:spacing w:before="0" w:after="0"/>
        <w:ind w:left="0" w:right="0" w:hanging="180"/>
        <w:jc w:val="both"/>
        <w:rPr/>
      </w:pPr>
      <w:r>
        <w:rPr/>
      </w:r>
    </w:p>
    <w:tbl>
      <w:tblPr>
        <w:tblW w:w="7069" w:type="dxa"/>
        <w:jc w:val="left"/>
        <w:tblInd w:w="0" w:type="dxa"/>
        <w:tblLayout w:type="fixed"/>
        <w:tblCellMar>
          <w:top w:w="28" w:type="dxa"/>
          <w:left w:w="28" w:type="dxa"/>
          <w:bottom w:w="28" w:type="dxa"/>
          <w:right w:w="28" w:type="dxa"/>
        </w:tblCellMar>
      </w:tblPr>
      <w:tblGrid>
        <w:gridCol w:w="1176"/>
        <w:gridCol w:w="1035"/>
        <w:gridCol w:w="1044"/>
        <w:gridCol w:w="109"/>
        <w:gridCol w:w="109"/>
        <w:gridCol w:w="109"/>
        <w:gridCol w:w="244"/>
        <w:gridCol w:w="835"/>
        <w:gridCol w:w="126"/>
        <w:gridCol w:w="126"/>
        <w:gridCol w:w="126"/>
        <w:gridCol w:w="126"/>
        <w:gridCol w:w="244"/>
        <w:gridCol w:w="835"/>
        <w:gridCol w:w="126"/>
        <w:gridCol w:w="109"/>
        <w:gridCol w:w="109"/>
        <w:gridCol w:w="109"/>
        <w:gridCol w:w="109"/>
        <w:gridCol w:w="109"/>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Revenue</w:t>
      </w:r>
      <w:r>
        <w:rPr>
          <w:color w:val="000000"/>
        </w:rPr>
        <w:t xml:space="preserv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from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from fees, net in the periods shown:</w:t>
      </w:r>
    </w:p>
    <w:p>
      <w:pPr>
        <w:pStyle w:val="TextBody"/>
        <w:bidi w:val="0"/>
        <w:spacing w:before="0" w:after="0"/>
        <w:jc w:val="left"/>
        <w:rPr/>
      </w:pPr>
      <w:r>
        <w:rPr/>
      </w:r>
    </w:p>
    <w:tbl>
      <w:tblPr>
        <w:tblW w:w="9596" w:type="dxa"/>
        <w:jc w:val="left"/>
        <w:tblInd w:w="0" w:type="dxa"/>
        <w:tblLayout w:type="fixed"/>
        <w:tblCellMar>
          <w:top w:w="28" w:type="dxa"/>
          <w:left w:w="28" w:type="dxa"/>
          <w:bottom w:w="28" w:type="dxa"/>
          <w:right w:w="28" w:type="dxa"/>
        </w:tblCellMar>
      </w:tblPr>
      <w:tblGrid>
        <w:gridCol w:w="897"/>
        <w:gridCol w:w="787"/>
        <w:gridCol w:w="790"/>
        <w:gridCol w:w="109"/>
        <w:gridCol w:w="109"/>
        <w:gridCol w:w="109"/>
        <w:gridCol w:w="109"/>
        <w:gridCol w:w="224"/>
        <w:gridCol w:w="880"/>
        <w:gridCol w:w="116"/>
        <w:gridCol w:w="116"/>
        <w:gridCol w:w="116"/>
        <w:gridCol w:w="116"/>
        <w:gridCol w:w="224"/>
        <w:gridCol w:w="880"/>
        <w:gridCol w:w="116"/>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09"/>
        <w:gridCol w:w="109"/>
        <w:gridCol w:w="109"/>
        <w:gridCol w:w="109"/>
        <w:gridCol w:w="109"/>
        <w:gridCol w:w="109"/>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and referral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other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from fees, net increased $91.6 million, or 49%, in the three months ended March 31, 2026, compared to the same period in 2025, which included an increase of $73.6 million in revenue from platform and referral fees, net, and an increase of $17.9 million in servicing and other fees, net. The increase of the platform and referral fees, net was primarily driven by a 61% increase in the Transaction Volume, Dollars from $2,134 million in the three months ended March 31, 2025 to $3,445 million in the same period in 2026, partially offset by lower fee rates, including those related to prime borrowers. The increase in servicing and other fees, net was primarily due to the increase in outstanding principal of serviced loans, borrower fees, as well as fees recognized in connection with sale of our loans, including securitizations.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54"/>
        <w:gridCol w:w="949"/>
        <w:gridCol w:w="956"/>
        <w:gridCol w:w="109"/>
        <w:gridCol w:w="109"/>
        <w:gridCol w:w="109"/>
        <w:gridCol w:w="109"/>
        <w:gridCol w:w="224"/>
        <w:gridCol w:w="768"/>
        <w:gridCol w:w="116"/>
        <w:gridCol w:w="116"/>
        <w:gridCol w:w="116"/>
        <w:gridCol w:w="116"/>
        <w:gridCol w:w="224"/>
        <w:gridCol w:w="768"/>
        <w:gridCol w:w="116"/>
        <w:gridCol w:w="109"/>
        <w:gridCol w:w="109"/>
        <w:gridCol w:w="109"/>
        <w:gridCol w:w="211"/>
        <w:gridCol w:w="721"/>
        <w:gridCol w:w="109"/>
        <w:gridCol w:w="109"/>
        <w:gridCol w:w="109"/>
        <w:gridCol w:w="109"/>
        <w:gridCol w:w="251"/>
        <w:gridCol w:w="254"/>
        <w:gridCol w:w="271"/>
        <w:gridCol w:w="109"/>
        <w:gridCol w:w="109"/>
        <w:gridCol w:w="109"/>
        <w:gridCol w:w="109"/>
        <w:gridCol w:w="109"/>
        <w:gridCol w:w="109"/>
        <w:gridCol w:w="109"/>
        <w:gridCol w:w="109"/>
        <w:gridCol w:w="109"/>
        <w:gridCol w:w="109"/>
        <w:gridCol w:w="109"/>
        <w:gridCol w:w="109"/>
        <w:gridCol w:w="109"/>
        <w:gridCol w:w="158"/>
      </w:tblGrid>
      <w:tr>
        <w:trPr/>
        <w:tc>
          <w:tcPr>
            <w:tcW w:w="125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entities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securitization entities: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income, interest expense, and fair value adjustments, net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(1)Consists of balances recognized by entities participating in ongoing operating activities of the Company, excluding entities associated with the UPST 2023-2 consolidated securitization.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 increased $3.3 million, or 12% in the three months ended March 31, 2026, compared to the same period in 2025. The increase was driven by a $15.5 million increase in interest income, partially offset by a $8.9 million increase in unfavorable fair value adjustments and a $3.4 million increase in interest expense. The increase in interest income was due to dividend income earned on certain cash accounts during the three months ended March 31, 2026, which was previously included in other income, net, as well as the increase in balances of loans and notes receivable and residual certificates held on the condensed consolidated balance sheets by operating entities, partially offset by a decrease in the balance of loans held in the consolidated securitization during the period. The increase in unfavorable fair value adjustments is attributable to a $7.5 million increase in realized loss on loan sales, and a $4.5 million decrease in fair value and realized gains on beneficial interests during the three months ended March 31, 2026 compared to the same period in 2025, partially offset by a $3.1 million decrease in unrealized losses and loan charge-offs. The increase in interest expense was due to $5.1 million expense on convertible senior notes incurred during the three months ended March 31, 2026, which was previously included in other income, net, partially offset by $2.5 million decrease in interest expense on loans recognized by operating entities and a $0.7 million decrease in interest expense recognized by consolidated securitization entities due to lower payable to securitization note holders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8473"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109"/>
        <w:gridCol w:w="390"/>
        <w:gridCol w:w="201"/>
        <w:gridCol w:w="501"/>
        <w:gridCol w:w="201"/>
        <w:gridCol w:w="201"/>
        <w:gridCol w:w="201"/>
        <w:gridCol w:w="390"/>
        <w:gridCol w:w="224"/>
        <w:gridCol w:w="557"/>
        <w:gridCol w:w="109"/>
        <w:gridCol w:w="109"/>
        <w:gridCol w:w="109"/>
        <w:gridCol w:w="211"/>
        <w:gridCol w:w="338"/>
        <w:gridCol w:w="338"/>
        <w:gridCol w:w="109"/>
        <w:gridCol w:w="109"/>
        <w:gridCol w:w="109"/>
        <w:gridCol w:w="180"/>
        <w:gridCol w:w="181"/>
        <w:gridCol w:w="271"/>
        <w:gridCol w:w="109"/>
        <w:gridCol w:w="109"/>
        <w:gridCol w:w="109"/>
        <w:gridCol w:w="109"/>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58,970</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by $45.5 million, or 77%, in the three months ended March 31, 2026 compared to the same period in 2025, which was driven primarily by a $43.7 million increase in advertising and borrower acquisition costs, a $1.4 million increase in payroll and other personnel-related expenses, and a $0.4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million increase in marketing operation expense. As a percentage of total revenue, sales and marketing expenses increased from 28% to 34%.</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 Operations</w:t>
      </w:r>
    </w:p>
    <w:tbl>
      <w:tblPr>
        <w:tblW w:w="8396"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109"/>
        <w:gridCol w:w="390"/>
        <w:gridCol w:w="201"/>
        <w:gridCol w:w="501"/>
        <w:gridCol w:w="201"/>
        <w:gridCol w:w="201"/>
        <w:gridCol w:w="201"/>
        <w:gridCol w:w="390"/>
        <w:gridCol w:w="201"/>
        <w:gridCol w:w="501"/>
        <w:gridCol w:w="109"/>
        <w:gridCol w:w="109"/>
        <w:gridCol w:w="109"/>
        <w:gridCol w:w="211"/>
        <w:gridCol w:w="338"/>
        <w:gridCol w:w="338"/>
        <w:gridCol w:w="109"/>
        <w:gridCol w:w="109"/>
        <w:gridCol w:w="109"/>
        <w:gridCol w:w="160"/>
        <w:gridCol w:w="160"/>
        <w:gridCol w:w="160"/>
        <w:gridCol w:w="109"/>
        <w:gridCol w:w="109"/>
        <w:gridCol w:w="109"/>
        <w:gridCol w:w="109"/>
        <w:gridCol w:w="109"/>
        <w:gridCol w:w="109"/>
        <w:gridCol w:w="109"/>
        <w:gridCol w:w="109"/>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40,501</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612"/>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increased by $14.6 million, or 36%, in the three months ended March 31, 2026, compared to the same period in 2025. The increase was primarily due to a $8.4 million increase in information verification expenses and systems expenses, a $4.0 million increase in payroll and other personnel-related expenses, and a $2.1 million increase in servicing expenses. As a percentage of total revenue, customer operations expenses decreased from 19% to 18%.</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Engineering and Product Development</w:t>
      </w:r>
    </w:p>
    <w:tbl>
      <w:tblPr>
        <w:tblW w:w="9852" w:type="dxa"/>
        <w:jc w:val="left"/>
        <w:tblInd w:w="0" w:type="dxa"/>
        <w:tblLayout w:type="fixed"/>
        <w:tblCellMar>
          <w:top w:w="28" w:type="dxa"/>
          <w:left w:w="28" w:type="dxa"/>
          <w:bottom w:w="28" w:type="dxa"/>
          <w:right w:w="28" w:type="dxa"/>
        </w:tblCellMar>
      </w:tblPr>
      <w:tblGrid>
        <w:gridCol w:w="1180"/>
        <w:gridCol w:w="1035"/>
        <w:gridCol w:w="1040"/>
        <w:gridCol w:w="109"/>
        <w:gridCol w:w="109"/>
        <w:gridCol w:w="109"/>
        <w:gridCol w:w="109"/>
        <w:gridCol w:w="390"/>
        <w:gridCol w:w="201"/>
        <w:gridCol w:w="501"/>
        <w:gridCol w:w="201"/>
        <w:gridCol w:w="201"/>
        <w:gridCol w:w="201"/>
        <w:gridCol w:w="390"/>
        <w:gridCol w:w="201"/>
        <w:gridCol w:w="501"/>
        <w:gridCol w:w="109"/>
        <w:gridCol w:w="109"/>
        <w:gridCol w:w="109"/>
        <w:gridCol w:w="211"/>
        <w:gridCol w:w="338"/>
        <w:gridCol w:w="338"/>
        <w:gridCol w:w="109"/>
        <w:gridCol w:w="109"/>
        <w:gridCol w:w="109"/>
        <w:gridCol w:w="160"/>
        <w:gridCol w:w="160"/>
        <w:gridCol w:w="160"/>
        <w:gridCol w:w="109"/>
        <w:gridCol w:w="109"/>
        <w:gridCol w:w="109"/>
        <w:gridCol w:w="109"/>
        <w:gridCol w:w="109"/>
        <w:gridCol w:w="109"/>
        <w:gridCol w:w="109"/>
        <w:gridCol w:w="109"/>
        <w:gridCol w:w="109"/>
        <w:gridCol w:w="109"/>
        <w:gridCol w:w="109"/>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57,838</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Engineering and product development expenses increased by $22.3 million, or 39%, for the three months ended March 31, 2026, compared to the same period in 2025. The increase was primarily due to a $15.6 million increase in payroll and other personnel-related expenses and a $6.6 million increase in other engineering operating expenses driven by data and infrastructure costs. As a percentage of total revenue, engineering and product development expenses decreased from 27% to 26%.</w:t>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erif" w:hAnsi="Times New Roman;serif"/>
          <w:b/>
          <w:i/>
          <w:color w:val="000000"/>
          <w:sz w:val="20"/>
        </w:rPr>
        <w:t>General, Administrative, and Other</w:t>
      </w:r>
      <w:r>
        <w:rPr>
          <w:color w:val="000000"/>
        </w:rPr>
        <w:t> </w:t>
      </w:r>
    </w:p>
    <w:tbl>
      <w:tblPr>
        <w:tblW w:w="9613" w:type="dxa"/>
        <w:jc w:val="left"/>
        <w:tblInd w:w="0" w:type="dxa"/>
        <w:tblLayout w:type="fixed"/>
        <w:tblCellMar>
          <w:top w:w="28" w:type="dxa"/>
          <w:left w:w="28" w:type="dxa"/>
          <w:bottom w:w="28" w:type="dxa"/>
          <w:right w:w="28" w:type="dxa"/>
        </w:tblCellMar>
      </w:tblPr>
      <w:tblGrid>
        <w:gridCol w:w="1036"/>
        <w:gridCol w:w="910"/>
        <w:gridCol w:w="918"/>
        <w:gridCol w:w="109"/>
        <w:gridCol w:w="109"/>
        <w:gridCol w:w="109"/>
        <w:gridCol w:w="109"/>
        <w:gridCol w:w="390"/>
        <w:gridCol w:w="201"/>
        <w:gridCol w:w="501"/>
        <w:gridCol w:w="201"/>
        <w:gridCol w:w="201"/>
        <w:gridCol w:w="201"/>
        <w:gridCol w:w="390"/>
        <w:gridCol w:w="201"/>
        <w:gridCol w:w="501"/>
        <w:gridCol w:w="109"/>
        <w:gridCol w:w="109"/>
        <w:gridCol w:w="109"/>
        <w:gridCol w:w="211"/>
        <w:gridCol w:w="338"/>
        <w:gridCol w:w="338"/>
        <w:gridCol w:w="109"/>
        <w:gridCol w:w="109"/>
        <w:gridCol w:w="109"/>
        <w:gridCol w:w="180"/>
        <w:gridCol w:w="181"/>
        <w:gridCol w:w="271"/>
        <w:gridCol w:w="109"/>
        <w:gridCol w:w="109"/>
        <w:gridCol w:w="109"/>
        <w:gridCol w:w="109"/>
        <w:gridCol w:w="109"/>
        <w:gridCol w:w="109"/>
        <w:gridCol w:w="109"/>
        <w:gridCol w:w="109"/>
        <w:gridCol w:w="109"/>
        <w:gridCol w:w="109"/>
        <w:gridCol w:w="109"/>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60,558</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administrative, and other expenses increased by $15.5 million, or 26%, in the three months ended March 31, 2026, compared to the same period in 2025. The increase was primarily due to a $13.2 million increase in payroll and other personnel-related expenses, a $1.8 million increase in office and administrative operating related expenses, and a $1.1 million increase in professional fees, partially offset by a $0.5 million decrease in amortization and depreciation expenses. As a percentage of total revenue, general, administrative, and other expenses decreased from 28% to 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tbl>
      <w:tblPr>
        <w:tblW w:w="8726" w:type="dxa"/>
        <w:jc w:val="left"/>
        <w:tblInd w:w="0" w:type="dxa"/>
        <w:tblLayout w:type="fixed"/>
        <w:tblCellMar>
          <w:top w:w="28" w:type="dxa"/>
          <w:left w:w="28" w:type="dxa"/>
          <w:bottom w:w="28" w:type="dxa"/>
          <w:right w:w="28" w:type="dxa"/>
        </w:tblCellMar>
      </w:tblPr>
      <w:tblGrid>
        <w:gridCol w:w="564"/>
        <w:gridCol w:w="497"/>
        <w:gridCol w:w="499"/>
        <w:gridCol w:w="109"/>
        <w:gridCol w:w="109"/>
        <w:gridCol w:w="109"/>
        <w:gridCol w:w="109"/>
        <w:gridCol w:w="287"/>
        <w:gridCol w:w="839"/>
        <w:gridCol w:w="148"/>
        <w:gridCol w:w="148"/>
        <w:gridCol w:w="148"/>
        <w:gridCol w:w="148"/>
        <w:gridCol w:w="287"/>
        <w:gridCol w:w="634"/>
        <w:gridCol w:w="148"/>
        <w:gridCol w:w="109"/>
        <w:gridCol w:w="109"/>
        <w:gridCol w:w="109"/>
        <w:gridCol w:w="211"/>
        <w:gridCol w:w="691"/>
        <w:gridCol w:w="109"/>
        <w:gridCol w:w="109"/>
        <w:gridCol w:w="109"/>
        <w:gridCol w:w="109"/>
        <w:gridCol w:w="218"/>
        <w:gridCol w:w="218"/>
        <w:gridCol w:w="271"/>
        <w:gridCol w:w="109"/>
        <w:gridCol w:w="109"/>
        <w:gridCol w:w="109"/>
        <w:gridCol w:w="109"/>
        <w:gridCol w:w="109"/>
        <w:gridCol w:w="109"/>
        <w:gridCol w:w="109"/>
        <w:gridCol w:w="109"/>
        <w:gridCol w:w="109"/>
        <w:gridCol w:w="109"/>
        <w:gridCol w:w="109"/>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three months ended March 31, 2026, other income, net decreased by $1.1 million, or 54%, compared to the same period in 2025. The decrease was primarily driven by dividend income earned on certain cash accounts and expense on convertible notes for the three months ended March 31, 2026, which were included within interest income and interest expense, respectively, compared to other income, net for the three months ended March 31, 2025. Excluding the impact of this change, other income, net remained consistent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Reconciliation of Non-GAAP Financial Measures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our condensed consolidated financial statements prepared and presented in accordance with GAAP, we use the non-GAAP financial measures of Contribution Profit, Contribution Margin, Adjusted EBITDA, and Adjusted EBITDA Margin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some of the limitations with respect to Adjusted EBITDA and Adjusted Margin are as follows: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 </w:t>
      </w:r>
    </w:p>
    <w:p>
      <w:pPr>
        <w:pStyle w:val="TextBody"/>
        <w:bidi w:val="0"/>
        <w:spacing w:before="0" w:after="0"/>
        <w:ind w:left="0" w:right="0" w:firstLine="61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address these limitations, we provide a reconciliation of Contribution Profit, Contribution Margin, Adjusted EBITDA, and Adjusted EBITDA Margin to income (loss) from operations and net income (loss). We encourage investors and others to review our financial information in its entirety, not to rely on any single financial measure and to view Contribution Profit, Contribution Margin, Adjusted EBITDA, and Adjusted EBITDA Margin in conjunction with their respective related GAAP financial measures.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Contribution Profit and Contribution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loss from operations to Contribution Profit and Contribution Margin. We define Operating Margin as our loss from operations divided by revenue from fees, net.</w:t>
      </w:r>
    </w:p>
    <w:p>
      <w:pPr>
        <w:pStyle w:val="TextBody"/>
        <w:bidi w:val="0"/>
        <w:spacing w:before="0" w:after="0"/>
        <w:ind w:left="0" w:right="0" w:firstLine="720"/>
        <w:jc w:val="both"/>
        <w:rPr/>
      </w:pPr>
      <w:r>
        <w:rPr/>
      </w:r>
    </w:p>
    <w:tbl>
      <w:tblPr>
        <w:tblW w:w="9833" w:type="dxa"/>
        <w:jc w:val="left"/>
        <w:tblInd w:w="0" w:type="dxa"/>
        <w:tblLayout w:type="fixed"/>
        <w:tblCellMar>
          <w:top w:w="28" w:type="dxa"/>
          <w:left w:w="28" w:type="dxa"/>
          <w:bottom w:w="28" w:type="dxa"/>
          <w:right w:w="28" w:type="dxa"/>
        </w:tblCellMar>
      </w:tblPr>
      <w:tblGrid>
        <w:gridCol w:w="2120"/>
        <w:gridCol w:w="1869"/>
        <w:gridCol w:w="1875"/>
        <w:gridCol w:w="109"/>
        <w:gridCol w:w="109"/>
        <w:gridCol w:w="109"/>
        <w:gridCol w:w="211"/>
        <w:gridCol w:w="826"/>
        <w:gridCol w:w="271"/>
        <w:gridCol w:w="109"/>
        <w:gridCol w:w="109"/>
        <w:gridCol w:w="109"/>
        <w:gridCol w:w="211"/>
        <w:gridCol w:w="826"/>
        <w:gridCol w:w="271"/>
        <w:gridCol w:w="109"/>
        <w:gridCol w:w="109"/>
        <w:gridCol w:w="109"/>
        <w:gridCol w:w="109"/>
        <w:gridCol w:w="109"/>
        <w:gridCol w:w="154"/>
      </w:tblGrid>
      <w:tr>
        <w:trPr/>
        <w:tc>
          <w:tcPr>
            <w:tcW w:w="2120"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net of borrower acquisition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operations, net of borrower verification and servicing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(1)Borrower acquisition costs were $48.6 million, and $92.3 million for the three months ended March 31, 2025 and 2026,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(2)Borrower verification and servicing costs were $34.5 million, and $47.5 million for the three months ended March 31, 2025 and 2026,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Adjusted EBITDA and Adjusted EBITDA Margin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loss and Net Loss Margin to Adjusted EBITDA and Adjusted EBITDA Margin. We define Net Loss Margin as net loss divided by total revenue.</w:t>
      </w:r>
    </w:p>
    <w:p>
      <w:pPr>
        <w:pStyle w:val="TextBody"/>
        <w:bidi w:val="0"/>
        <w:spacing w:before="0" w:after="0"/>
        <w:ind w:left="0" w:right="0" w:firstLine="720"/>
        <w:jc w:val="both"/>
        <w:rPr/>
      </w:pPr>
      <w:r>
        <w:rPr/>
      </w:r>
    </w:p>
    <w:tbl>
      <w:tblPr>
        <w:tblW w:w="9193" w:type="dxa"/>
        <w:jc w:val="left"/>
        <w:tblInd w:w="0" w:type="dxa"/>
        <w:tblLayout w:type="fixed"/>
        <w:tblCellMar>
          <w:top w:w="28" w:type="dxa"/>
          <w:left w:w="28" w:type="dxa"/>
          <w:bottom w:w="28" w:type="dxa"/>
          <w:right w:w="28" w:type="dxa"/>
        </w:tblCellMar>
      </w:tblPr>
      <w:tblGrid>
        <w:gridCol w:w="1850"/>
        <w:gridCol w:w="1629"/>
        <w:gridCol w:w="1636"/>
        <w:gridCol w:w="109"/>
        <w:gridCol w:w="109"/>
        <w:gridCol w:w="109"/>
        <w:gridCol w:w="109"/>
        <w:gridCol w:w="211"/>
        <w:gridCol w:w="826"/>
        <w:gridCol w:w="271"/>
        <w:gridCol w:w="109"/>
        <w:gridCol w:w="109"/>
        <w:gridCol w:w="109"/>
        <w:gridCol w:w="211"/>
        <w:gridCol w:w="826"/>
        <w:gridCol w:w="271"/>
        <w:gridCol w:w="109"/>
        <w:gridCol w:w="109"/>
        <w:gridCol w:w="109"/>
        <w:gridCol w:w="109"/>
        <w:gridCol w:w="109"/>
        <w:gridCol w:w="154"/>
      </w:tblGrid>
      <w:tr>
        <w:trPr/>
        <w:tc>
          <w:tcPr>
            <w:tcW w:w="18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Net Loss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and certain payroll tax expenses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on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12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(1)Payroll tax expenses include the employer payroll tax-related expense on employee stock transactions, as the amount is dependent on our stock price and other factors that are beyond our control and do not correlate to the operation of our business.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Sources and Uses of Cash and Cash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primary source of liquidity was cash and cash equivalents of $472.9 million. Changes in the balance of cash and cash equivalents are generally a result of working capital fluctuations and the timing of purchases and sales of loans facilitated through our marketplace. To finance purchases of certain loans facilitated through our lending marketplace, we rely on our warehouse credit facilities through special-purpose trusts and corporate cash.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During the three months ended March 31, 2026, we repurchased 3.2 million shares of common stock for $100.1 million. As of March 31, 2026, $122.1 million remains available for future purchases of our common stock under our share repurchase program. Refer to “</w:t>
      </w:r>
      <w:r>
        <w:rPr>
          <w:rFonts w:ascii="Times New Roman;serif" w:hAnsi="Times New Roman;serif"/>
          <w:b w:val="false"/>
          <w:i/>
          <w:color w:val="000000"/>
          <w:sz w:val="20"/>
        </w:rPr>
        <w:t>Note 9. Stockholders’ Equity</w:t>
      </w:r>
      <w:r>
        <w:rPr>
          <w:color w:val="000000"/>
        </w:rPr>
        <w:t xml:space="preserve">” </w:t>
      </w:r>
      <w:r>
        <w:rPr>
          <w:rFonts w:ascii="Times New Roman;serif" w:hAnsi="Times New Roman;serif"/>
          <w:b w:val="false"/>
          <w:color w:val="000000"/>
          <w:sz w:val="20"/>
        </w:rPr>
        <w:t>in Part I, Item 1 of this Quarterly Report on Form 10-Q for further details on our share repurchase program.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“at the market” offering program pursuant to which we may offer and sell, from time to time, shares of our common stock with an aggregate offering price of up to $500.0 million, as described in the prospectus supplement dated February 14, 2025 filed with the U.S. Securities and Exchange Commission. As of March 31, 2026, no shares were issued under the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convertible senior notes have an aggregate principal balance of $1,687.8 million which matures between 2026 to 2032, unless earlier converted, redeemed, or repurchased in accordance with their terms. The 2026 Notes which are current and due August 2026 have a principal balance of $66.5 million.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in Part I, Item 1 of this Quarterly Report on Form 10-Q for further details on our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warehouse credit facilities, which mature between August 2027 and June 2028, allow us to borrow up to an aggregate of $575.0 million to purchase loans. Our risk retention financing facility, which allows us to borrow up to $100.0 million, has a maturity which aligns with the stated maturities of the underlying securitization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pPr>
      <w:r>
        <w:rPr>
          <w:rFonts w:ascii="Times New Roman;serif" w:hAnsi="Times New Roman;serif"/>
          <w:b w:val="false"/>
          <w:color w:val="000000"/>
          <w:sz w:val="20"/>
        </w:rPr>
        <w:t>receivable pledged as collateral, which range from 2026 to 2036. As of March 31, 2026, we have drawn an aggregate of $183.3 million on our warehouse credit facilities and $80.7 million on our risk retention financing facility.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in Part I, Item 1 of this Quarterly Report on Form 10-Q for further details on our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cash requirements related to operating lease agreements is $19.6 million, of which $8.2 million is expected to be paid within the next 12 months. Our cash requirements related to leases entered into that have not yet commenced is $66.2 million, an immaterial amount of which is expected to be paid within the next 12 months. Refer to “</w:t>
      </w:r>
      <w:r>
        <w:rPr>
          <w:rFonts w:ascii="Times New Roman;serif" w:hAnsi="Times New Roman;serif"/>
          <w:b w:val="false"/>
          <w:i/>
          <w:color w:val="000000"/>
          <w:sz w:val="20"/>
        </w:rPr>
        <w:t>Note 10. Leases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 for further details on our operating lease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committed to purchase loans from certain lending partners at the conclusion of the required holding period, which is generally equal to three business days. As of March 31, 2026, the total loan purchase commitment was $120.7 million. The Company also has commitments to fund future advances on HELOCs. As of March 31, 2026, these commitments were $21.6 million, however since we can limit these commitments under certain conditions or these commitments could expire without being drawn upon, the total commitment amounts do not necessarily represent future cash requirements. See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 for further details on our commitments.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our maximum exposure to losses under severe, hypothetical circumstances, for which we believe the possibility is remote. As of March 31, 2026, our aggregate maximum exposure to losses was $1,078.3 million. Refer to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in Part I, Item 1 of this Quarterly Report on Form 10-Q for further details. Our cash requirements for the next 12 months related to investments in these existing arrangements is estimated to be up to $87.3 million from cash and cash equivalents and up to $23.0 million from restricted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our cash and cash equivalents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Additionally, we have repurchased, and may in the future repurchase, shares of our common stock under our share repurchase program.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and cash equivalents balances and cash generated by operations are insufficient to satisfy liquidity needs, our results of operations and financial condition would be materially and adversely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during the periods indicated: </w:t>
      </w:r>
    </w:p>
    <w:p>
      <w:pPr>
        <w:pStyle w:val="TextBody"/>
        <w:bidi w:val="0"/>
        <w:spacing w:before="0" w:after="0"/>
        <w:ind w:left="0" w:right="0" w:firstLine="720"/>
        <w:jc w:val="both"/>
        <w:rPr/>
      </w:pPr>
      <w:r>
        <w:rPr/>
      </w:r>
    </w:p>
    <w:tbl>
      <w:tblPr>
        <w:tblW w:w="9386" w:type="dxa"/>
        <w:jc w:val="left"/>
        <w:tblInd w:w="0" w:type="dxa"/>
        <w:tblLayout w:type="fixed"/>
        <w:tblCellMar>
          <w:top w:w="28" w:type="dxa"/>
          <w:left w:w="28" w:type="dxa"/>
          <w:bottom w:w="28" w:type="dxa"/>
          <w:right w:w="28" w:type="dxa"/>
        </w:tblCellMar>
      </w:tblPr>
      <w:tblGrid>
        <w:gridCol w:w="1574"/>
        <w:gridCol w:w="1386"/>
        <w:gridCol w:w="1390"/>
        <w:gridCol w:w="109"/>
        <w:gridCol w:w="109"/>
        <w:gridCol w:w="109"/>
        <w:gridCol w:w="109"/>
        <w:gridCol w:w="109"/>
        <w:gridCol w:w="109"/>
        <w:gridCol w:w="211"/>
        <w:gridCol w:w="211"/>
        <w:gridCol w:w="409"/>
        <w:gridCol w:w="1747"/>
        <w:gridCol w:w="211"/>
        <w:gridCol w:w="109"/>
        <w:gridCol w:w="109"/>
        <w:gridCol w:w="109"/>
        <w:gridCol w:w="211"/>
        <w:gridCol w:w="901"/>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93" w:type="dxa"/>
            <w:gridSpan w:val="6"/>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(136,735)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 Cash from Operating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main sources of cash provided by operating activities is revenue from fees earned under contracts with lending partners and institutional investors and interest income we receive for loans held on our balance sheet.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main uses of cash in our operating activities include payments to marketing partners, vendor payments, payroll and other personnel-related expenses, payments for facilities, and other general business expenditures.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$133.3 million for the three months ended March 31, 2026, which consisted of $80.6 million net changes in operating assets and liabilities, adjustments for non-cash items of $46.1 million, and net loss of $6.6 million. The decrease in non-cash adjustments was primarily related to $62.2 million of changes in fair value of loans, $12.0 million loan premium amortization from the Company’s small dollar loan portfolio, and $7.5 million of gain on loan servicing rights, net, from loan sales, partially offset by $34.8 million of stock-based compensation expense. The decrease in net changes in operating assets and liabilities was primarily related to $88.1 million net payments from purchase and sale of loans held-for-sale, partially offset by $8.0 million in principal payments received for loans held in consolidated securitization.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 Cash from Investing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$0.9 million for the three months ended March 31, 2026 as a result of $88.2 million of principal payments received for loans held-for-investment and notes receivable, $43.6 million of net proceeds from beneficial interest assets (hybrid instruments), and $1.4 million of repayments on the line of credit receivable, partially offset by $125.3 million of net payments from purchase and sale of loans held-for-investment, $4.2 million of capitalized software costs and $2.8 million of purchases of property and equipment.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Cash from 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$6.7 million for the three months ended March 31, 2026 primarily due to $90.9 million of net proceeds from borrowings, $17.9 million of change in payables to investors, and $5.3 million of net proceeds from stock-based award activities, partially offset by $100.1 million of common stock repurchases and $7.2 million of principal payments made on securitization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Composition of Balance Sheet Loan Portfolio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held $1,014.1 million of loans on our condensed consolidated balance sheet. Of this amount, $338.2 million consisted of personal loans, the majority of which would otherwise be purchased by third parties. We also held $631.0 million of loans originated for research and development purposes, primarily in support of our auto lending products, HELOCs, and the expansion of our unsecured personal loan product to new categories of borrowers. In addition, we held $44.9 million of loans through the consolidated securitization. We will continue to utilize our capital to support research and development activities and, at times, as a funding source for loans during periods of marketplace funding constraints or to bridge the timing between origination and sales of loans. The extent and timing of utilizing our capital as a funding source for loans will largely depend on the availability of capital in our marketplace relative to the demand from qualified borrowers and our business priorities. We plan to sell loans held on our balance sheet to lending partners and institutional investors over time in the form of secondary sales or securitizations and pass through issuances.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Off-Balance Sheet Arrangements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committed capital and other co-investment arrangements, and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serif" w:hAnsi="Times New Roman;serif"/>
          <w:b w:val="false"/>
          <w:i/>
          <w:color w:val="000000"/>
          <w:sz w:val="20"/>
        </w:rPr>
        <w:t>Note 3. Variable Interest Entities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critical accounting policies are described in Part II, Item 7, “</w:t>
      </w:r>
      <w:r>
        <w:rPr>
          <w:rFonts w:ascii="Times New Roman;serif" w:hAnsi="Times New Roman;serif"/>
          <w:b w:val="false"/>
          <w:i/>
          <w:color w:val="000000"/>
          <w:sz w:val="20"/>
        </w:rPr>
        <w:t>Critical Accounting Policies and Estimates</w:t>
      </w:r>
      <w:r>
        <w:rPr>
          <w:color w:val="000000"/>
        </w:rPr>
        <w:t xml:space="preserve">” </w:t>
      </w:r>
      <w:r>
        <w:rPr>
          <w:rFonts w:ascii="Times New Roman;serif" w:hAnsi="Times New Roman;serif"/>
          <w:b w:val="false"/>
          <w:color w:val="000000"/>
          <w:sz w:val="20"/>
        </w:rPr>
        <w:t>in our Annual Report on Form 10-K for the year ended December 31, 2025. There have been no material changes to these policies during the three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Refer to </w:t>
      </w:r>
      <w:r>
        <w:rPr>
          <w:color w:val="000000"/>
        </w:rPr>
        <w:t>“</w:t>
      </w:r>
      <w:r>
        <w:rPr>
          <w:rFonts w:ascii="Times New Roman;serif" w:hAnsi="Times New Roman;serif"/>
          <w:b w:val="false"/>
          <w:i/>
          <w:color w:val="000000"/>
          <w:sz w:val="20"/>
        </w:rPr>
        <w:t xml:space="preserve">Note 1. Description of Business and Significant Accounting Policies” </w:t>
      </w:r>
      <w:r>
        <w:rPr>
          <w:rFonts w:ascii="Times New Roman;serif" w:hAnsi="Times New Roman;serif"/>
          <w:b w:val="false"/>
          <w:color w:val="000000"/>
          <w:sz w:val="20"/>
        </w:rPr>
        <w:t>in Part I, Item 1 of this Quarterly Report on Form 10-Q for recently adopted accounting pronouncements and recently issued accounting pronouncements not yet adopted when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warehouse credit facilities. Our inability or failure to manage market risks could harm our business, financial condition or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Discount Rate Risk </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Discount rate sensitivity refers to the risk of loss to future earnings, values or future cash flows that may result from changes in market discount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March 31, 2026, we were exposed to market discount rate risk on $930.8 million and $969.2 million, respectively, of loans held on our condensed consolidated balance sheets, excluding loans held in the consolidated securitization. The fair value of these loans is estimated using a discounted cash flow methodology, where the discount rate represents an estimate of the required rate of return by market participants.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$12.0 million and $23.6 million decrease, respectively, in the fair value of loans as of December 31, 2025 and a $12.7 million and $25.3 million decrease, respectively, as of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March 31, 2026, we held $53.8 million and $44.9 million, respectively, of loans held in the consolidated securitization which are included in loans, at fair value, on the condensed consolidated balance sheets. The fair value of these loans is determined by the sum of the fair value of the related securitization notes receivable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does not result in a material impact to the fair value of loans held in consolidated securitization as of December 31, 2025 and March 31,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March 31, 2026, we were exposed to market discount rate risk on payable to securitization note holders of $46.5 million and $39.2 million, respectively. A hypothetical 100 basis point and 200 basis point increase in the discount rate does not result in a material impact to the fair value of payable to securitization note holders as of December 31, 2025 and March 31,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March 31, 2026, we were exposed to market discount rate risk on other financial instruments, including $396.2 million and $474.8 million of beneficial interest assets, respectively. Beneficial interest assets are estimated at fair value using a discounted cash flow model which considers projected defaults, losses and recoveries to project future losses and net cash flows on the underlying loans. We use different discount rates depending on the type of underlying collateral well as for expected cash flows associated with demonstrated to-date credit performance and those associated with future credit performance. A hypothetical 100 basis point and 200 basis point increase in the discount rate would result in a $4.9 million and $9.7 million decrease, respectively, in the fair value of beneficial interest assets as of December 31, 2025, and a $5.9 million and $11.6 million decrease, respectively,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Credit risk refers to the risk of loss of loans arising from individual borrower default due to inability or unwillingness to meet their financial obligations. The fair value of certain financial instruments, including loans, beneficial interests, securitization notes receivable and residual certificates, and payable to securitization note holders on our condensed consolidated balance sheets are dependent on credit performance of the loans. To manage this risk, we monitor borrower payment performance through our lending marketplace and utilize our AI capabilities to price loans in a manner that we believe is reflective of their 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loans and beneficial interests are estimated based on a discounted cash flow model which involves the use of significant unobservable inputs and assumptions. These instruments are sensitive to changes in 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March 31, 2026, we were exposed to credit risk on $930.8 million and $969.2 million, respectively, of loans held on our condensed consolidated balance sheets, excluding loans held in the consolidated securitization. Loans bear fixed interest rates and are carried on our condensed consolidated balance sheets at fair value. As of December 31, 2025, a hypothetical 10% and 20% increase in credit risk would result in a $10.5 million and $20.4 million decrease, and as of March 31, 2026, a hypothetical 10% and 20% increase in credit risk would result in a $11.6 million and $22.7 million decrease in the fair value of loans,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March 31, 2026, we held $53.8 million and $44.9 million, respectively, of loans held in the consolidated securitization which are included in loans, at fair value, on the condensed consolidated balance sheets. The fair value of these loans is determined by the sum of the fair value of the related securitization notes receivable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 and 20% increase in the credit risk does not result in a material impact to the fair value of loans held in the consolidated securitization as of December 31, 2025 and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also exposed to credit risk through credit risk rate spreads on beneficial interest assets and beneficial interest liabilities held on the condensed consolidated balance sheet of $396.2 million and $5.1 million, respectively, as of December 31, 2025, and $474.8 million and $3.2 million, respectively, as of March 31, 2026. These assets and liabilities are associated with committed capital and other co-investment arrangements with third parties, in which the Company puts certain amounts of assets at risk. See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 for additional information on maximum exposure to losses from these arrangements. A hypothetical 10% and 20% adverse change in the credit risk spread would result in a $80.1 million and $158.2 million decrease, respectively, in the fair value of beneficial interest assets held on our condensed consolidated balance sheet, and $22.4 million and $44.4 million increase in the fair value of beneficial interest liabilities on our condensed consolidated balance sheet, respectively, as of December 31, 2025. A hypothetical 10% and 20% adverse change in the credit risk spread would result in a $99.3 million and $196.2 million decrease, respectively, in the fair value of beneficial interest assets, and $12.9 million and $26.1 million increase in the fair value of beneficial interest liabilities, respectively, as of March 31, 2026.</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Counterparty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risk that arises from our line of credit receivable,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March 31, 2026, we held $1,057.0 million and $931.3 million, respectively, related to cash, cash equivalents and restricted cash in business checking accounts and interest-bearing deposit accounts as well as money market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cash equivalents and restricted cash in reputable institutions.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March 31, 2026, $191.6 million and $190.2 million, respectively, of the Company’s cash was held by one of our institutional investors in relation to the line of credit receivable and beneficial interest asset. We mitigate our risk exposure through corporate guarantees provided by the investor.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borrower bankruptcies and charge-offs, and decreasing recoveries, all of which could have a material adverse effect on our business. We expect these outcomes would generally invert in an environment of decreasing interest rates.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increase or decrease in interest rates may also impact our exposure to interest rate risk on our warehouse credit facilities. As of December 31, 2025 and March 31, 2026, we were exposed to interest rate risk on $97.3 million and $183.3 million, respectively, under our warehouse credit facilities, which bear floating interest rates. Changes in interest rates may impact our cost of borrowing.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Investment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non-marketable equity securities are subject to a wide variety of market-related risks that could substantially reduce or increase the carrying value of our investments.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loss upon recognition of such adjustments or impairments. As of December 31, 2025 and March 31, 2026, the carrying value of our non-marketable equity securities, which do not have readily determinable fair values totaled $41.3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Chief Financial Officer, has evaluated the effectiveness of our disclosure controls and procedures as defined in Rules 13a-15(e) and 15d-15(e) under the Exchange Act. Based on that evaluation, our Chief Executive Officer and Chief Financial Officer have concluded that, as of March 31, 2026,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b.Changes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13a-15(d) and 15d-15(d) under the Exchange Act) that occurred during the quarter ended March 31, 2026 that has materially affected, or is reasonably likely to materially affect, our internal control over financial reporting.</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c.Limitations on Effectiveness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a description of our material pending legal proceedings, please see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 and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of this Quarterly Report on Form 10-Q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0" w:after="0"/>
        <w:jc w:val="center"/>
        <w:rPr>
          <w:rFonts w:ascii="Times New Roman;serif" w:hAnsi="Times New Roman;serif"/>
          <w:b/>
          <w:color w:val="000000"/>
          <w:sz w:val="22"/>
        </w:rPr>
      </w:pPr>
      <w:bookmarkStart w:id="1" w:name="ib3d02eb52e5e4e21be96da8403d7ce32_132075"/>
      <w:bookmarkEnd w:id="1"/>
      <w:r>
        <w:rPr>
          <w:rFonts w:ascii="Times New Roman;serif" w:hAnsi="Times New Roman;serif"/>
          <w:b/>
          <w:color w:val="000000"/>
          <w:sz w:val="22"/>
        </w:rPr>
        <w:t>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bookmarkStart w:id="2" w:name="ib3d02eb52e5e4e21be96da8403d7ce32_132078"/>
      <w:bookmarkEnd w:id="2"/>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material risks that may affect our business, financial condition or results of operations include, but are not limited to, those relating to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has been and will continue to be adversely affected by economic conditions and other factors that we cannot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loan funding and financing arrangements with lending partners, institutional investors, securitization programs, and warehouse credit and risk retention financing facilities expose us to certain risks, and if we fail to successfully manage such risks, our supply of capital may decrease or we may be required to seek more costly or less efficient capital for our marketplace.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continue to improve our artificial intelligence (“AI”) models or if our AI models are ineffective, including by failing to accurately or timely reflect changes in economic conditions on borrowers’ credit risk, our growth prospects, business, financial condition and results of operations would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approve a significant number of borrowers for loans through our marketplace, our growth prospects, business, financial condition and results of operations would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limited number of lending partners account for a significant portion of loan originations and revenue on our marketplace, and our business depends on our ability to retain existing lending partners and attract new ones.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incurred net losses in the past, and we may not be able to sustain or achieve profitability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risks associated with the loans on our balance sheet, our business, financial condition and results of operations may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quarterly results may fluctuate significantly, which could adversely affect our business and the trading price of our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the risks associated with the Upstart Macro Index (UMI), our credibility, reputation,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reputation and brand are important to our success, and failure to maintain, protect and promote our brand may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the risks related to our loan servicing and collections obligations,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significant portion of our business has historically depended on a single loan product, and shifts in product demand or mix could adversely affect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continuing to introduce and develop new loan products and service offerings, and if these products are not successful or we are unable to manage the related risks, our growth prospects,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Security breaches, improper access to our or borrowers’ data, or other security incidents may harm our reputation, adversely affect our results of operations and expose us to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significant disruption of, or failure in, our technology systems, including our AI lending platform, could adversely affect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rely on strategic relationships with loan aggregators to attract applicants to our marketplace, and if we cannot maintain effective relationships with loan aggregators or successfully replace their services, our business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is subject to a wide range of laws and regulations, many of which are evolving, and failure or perceived failure to comply with such laws and regulations could harm our business, financial condition and results of operations.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bookmarkStart w:id="3" w:name="ib3d02eb52e5e4e21be96da8403d7ce32_132076"/>
      <w:bookmarkEnd w:id="3"/>
      <w:r>
        <w:rPr>
          <w:rFonts w:ascii="Times New Roman;serif" w:hAnsi="Times New Roman;serif"/>
          <w:b/>
          <w:color w:val="000000"/>
          <w:sz w:val="20"/>
        </w:rPr>
        <w:t>RISKS RELATED TO OUR BUSINESS AND INDUSTRY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business has been and will continue to be adversely affected by economic conditions and other factors that we cannot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for Upstart-powered loans, and borrowers’ ability and willingness to repay their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macroeconomic conditions and resulting uncertainty and volatility have had, and may have in the future, a material adverse effect on our business and results of operations. Such conditions can reduce borrower demand, approval and acceptance rates, loan origination volume and loan funding from lending partners and institutional investors, reduce liquidity in the capital markets, increase funding costs, and increase our reliance on our balance sheet. Many borrowers that access our marketplace have poor, limited or no credit history and may be disproportionately affected by inflation, higher interest rates, cost of living pressures, unemployment or recessionary conditions, which can reduce their ability or willingness to borrow or repay loans. During economic downturns, borrowers may prioritize secured obligations over unsecured personal loans or home equity lines of credit, and higher interest rates may further increase payment burdens, leading to higher delinquencies, defaults, charge-offs and lower recoveries. Because our operations are concentrated in U.S. consumer credit, adverse developments affecting the U.S. economy or consumer credit markets could have a disproportionate impact on our business. In addition, changes in fiscal, monetary, regulatory or foreign policy priorities across presidential administrations may contribute to economic volatility and uncertainty. Any sustained decline in borrower approvability, loan acceptance or origination volume, or any increase in delinquencies or defaults beyond our expectations, could materially adversely affect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depends on sourcing and maintaining diverse and resilient sources of capital from institutional investors to our marketplace, including through the purchase of whole loans and interests in loans through pass-through certificates and asset-backed securities. A significant portion of loans transacted on our marketplace are purchased by institutional investors. The availability and capacity of capital from institutional investors depends on many factors that are outside of our control, such as economic and market conditions, interest rates, liquidity in the capital markets and regulatory requirements or restrictions, which are subject to change. We cannot be sure that the existing capital sources will continue to be available, or any new capital sources will become available, on commercially reasonable terms or at all. Decreased capital from institutional investors has negatively impacted our business in the past, and may negatively impact us in the future. Any sustained decline in investor demand for Upstart-powered loans or securities secured by such loans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loan funding from institutional investors comes from committed capital and other co-investment arrangements, which may include downside credit risk protection, subject to certain limits and conditions. Under these arrangements, we may be required to compensate investors if loan credit performance deviates from expectations. We may also be required to compensate investors if committed loan sale volumes are not achieved. If loans do not perform as expected for any reason, including due to changes in borrower behavior or ability to pay, borrower demand declines, or our credit performance expectations are inaccurate, our financial results could be adversely affected, including through unfavorable fair value adjustments. We may also experience declines in revenue and transaction volume if existing arrangements do not provide funding on agreed terms or if we are unable to secure additional arrangements on commercially reasonable terms or at all.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arrangements entered into during periods of higher interest rates may become more costly if interest rates decline and the terms of such arrangements remain in place. Despite our efforts, marketplace capital constraints may persist, and we may be required to rely more heavily on our balance sheet, incur higher funding costs or agree to less favorable terms to maintain loan origination volume,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loan funding and financing arrangements with lending partners, institutional investors, securitization programs, and warehouse credit and risk retention financing facilities expose us to certain risks, and if we fail to successfully manage such risks, our supply of capital may decrease or we may be required to seek more costly or less efficient capital for our marketplace.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facilitated securitizations, and may in the future facilitate additional securitizations, of Upstart-powered loans to allow institutional investors, certain lending partners, and/or us to liquidate or finance such loans through the asset-backed securities markets or other capital markets products. In securitization transactions, we sell and convey pools of loans to special purpose entities (“SPEs”), which issue notes or certificates pursuant to indentures and trust agreements. We also finance certain loans on our balance sheet through warehouse credit facilities, including by selling loans to warehouse trust SPEs and borrowing under associated credit facilities. Securities issued by securitization SPEs and borrowings under warehouse facilities are secured by the loan pools owned by the applicable SPEs, and we, our lending partners and/or institutional investors may contribute loans to such SPEs in exchange for cash and/or debt or equity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we act as sole sponsor of securitizations, we are required under Regulation RR to retain a portion of the credit risk of the underlying loans for a specified period of time. We may finance some or all of these retained interests through risk retention financing facilities. If retained interests decline in value, or if we are unable to finance or refinance retained risk positions on acceptable terms, our liquidity, funding costs and results of operations could be adversely affected. We may also retain subordinated or residual interests beyond minimum risk retention requirements, which are exposed to greater credit risk and may lose value, including becoming worthless. Regulatory requirements applicable to securitizations, including under the Dodd-Frank Act, the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 Act of 1940, and the “Volcker Rule,” as well as changes in state licensing requirements, may limit the type or structure of securitizations we are able to complete, and failure to comply with applicable securitization laws or regulations could restrict our ability to access securitization markets or require us to restructure or discontinue certain financing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Servicing fees generated by our loan servicing activities for loans sold to institutional investors or contributed to asset-based securitizations and pass-through certificate transactions also represent a material portion of our earnings, and investor demand for Upstart-powered loans and related securities may fluctuate based on loan performance, pricing and servicing economics, macroeconomic conditions, investor risk appetite, regulatory or accounting considerations and the availability of funding and liquidity in the capital markets.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our asset-backed securitizations, pass-through certificate transactions, warehouse credit facilities and whole loan sale arrangements, we make representations and warranties concerning the loans transferred. If such representations and warranties are inaccurate and are not timely cured, we may be required to repurchase loans, make payments or provide indemnification to financing parties. Failure to satisfy these obligations could constitute a default or termination event under the applicable agreements and could require us to fund repurchases or make other payments at a time when liquidity may be constrained. If repurchase or payment obligations were to increase, or if we are unable to fund such obligations when required, our liquidity, financial condition and results of operations could be adversely affected, and a high volume of repurchases or payments could harm our reputation as a loan seller and servicer. If securitizations, warehouse facilities or risk retention financing are not available or economical, we may need to seek alternative financing, rely more heavily on our balance sheet or reduce loan originations, which could adversely affect our business, financial condition and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subject to counterparty risk arising from derivative instruments, beneficial interests, warehouse facilities and custodial arrangements, and a counterparty’s failure to perform could result in losses and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continue to improve our AI models or if our AI models are ineffective, including by failing to accurately or timely reflect changes in economic conditions on borrowers’ credit risk, our growth prospects, business, financial condition and results of operations would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attract borrowers and facilitate loan originations on our marketplace depends in large part on the effectiveness of our AI models in evaluating borrower creditworthiness and pricing loans appropriately. Our overall operating efficiency and margins further depend in part on our ability to maintain a high degree of automation in our application process and achieve incremental improvements in the degree of automation. If our AI models contain errors, rely on inaccurate assumptions or data, or otherwise fail to perform as expected, loans may be sub-optimally priced or incorrectly decisioned, which could result in losses that are higher than expected, reduced borrower demand, and decreased loan originations. For example, as of March 31, 2026, the quarterly vintages of all personal loans excluding small dollar loans that originated in the first quarter of 2023 through the first quarter of 2024 are forecasted to underperform relative to their target returns set at the time of loan origination. Our AI models and related decisioning processes also depend on the availability, accuracy and timeliness of data and other inputs, including information provided by applicants and third-party sources. If the data or inputs used to train, operate, calibrate or monitor our AI models are inaccurate, incomplete, biased or otherwise unreliable, or if our access to key data sources is terminated or interrupted, our models may not perform as expected and our ability to evaluate credit risk or price loans may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make errors in the development, validation, testing, governance, or implementation of our AI models or related tools and processes, and such errors may not be detected prior to deployment. Or, our AI models may not be able to accurately predict borrower behavior or loan performance under all circumstances, particularly during periods of economic uncertainty or rapid changes in macroeconomic conditions.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Underperformance of Upstart-powered loans relative to expectations may also reduce demand from lending partners and institutional investors, constrain capital and negatively affect our financial results. If our AI models do not accurately or timely reflect changes in economic conditions affecting borrowers’ credit risk, the performance of Upstart-powered loans may be worse than anticipated, which could harm our reputation, erode trust with lending partners and institutional investors, and adversely affect our business, financial condition and results of operations. If model performance deteriorates, our lending partners and investors may change or tighten their underwriting or pricing requirements, reduce demand for Upstart-powered loans, require additional credit enhancement or other structural protections, or impose less favorable terms across our loan funding arrangements, any of which could adversely affect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associated with the Upstart Macro Index (UMI), our credibility, reputation,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UMI is our effort to quantify the level of macroeconomic risk, in terms of the losses or defaults, within Upstart-powered unsecured personal loan portfolios, excluding small dollar loans. As we continue to refine UMI, we have revised previously published values and may further revise current or historical values in the future. Significant changes or revisions to UMI could harm our credibility and reputation with lending partners and institutional investors, which could adversely affect our business. Furthermore, the correlation between UMI and actual macroeconomic risk, including loan losses or defaults, may not be as meaningful or reliable as we expect. If UMI fails to accurately or adequately reflect macroeconomic risk, or is perceived as misaligned or misleading, lending partners and institutional investors may distrust or disregard UMI, which could negatively affect their willingness to use our marketplace or fund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UMI is based on our analysis of the losses within Upstart-powered unsecured personal loan portfolios, excluding small dollar loans, and is specific to our borrower base, which changes over time. UMI may not be an appropriate indicator of risk for specific loan products, borrower segments or non-Upstart loan portfolios, and it is not intended to measure or predict broader economic conditions, future loan performance, our results of operations or our stock price. Investors, lending partners or analysts may misunderstand, misinterpret or misuse UMI for unintended purposes, which could harm our reputation, reduce confidence in our disclosures and impair our ability to attract and retain lending partners and institutional investors. Any failure to manage these risks could adversely affect our ability to maintain diverse and resilient loan funding and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approve a significant number of borrowers for loans through our marketplace, our growth prospects,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vast majority of our revenue comes from platform and referral fees and servicing fees on loans facilitated through our marketplace. To increase the number of loans facilitated through our marketplace, we must have an adequate supply of capital from lending partners and institutional investors, and borrowers must satisfy the requirements for approval established by our models and our lending partners.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continue to improve the accuracy of our AI models, which we believe is key to our long-term success, such improvements may not result in an increase in the number of borrowers approved on our platform. These improvements have led us in the past and may lead us in the future to reevaluate our credit decisioning process, including the risks associated with certain borrowers. Changes in borrower default patterns and credit performance have in the past and could in the future result in fewer borrowers being approved for loans on our platform.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lending partners’ credit requirements and the target returns our lending partners and institutional investors demand in order to provide capital to our marketplace have, and could continue to, negatively impact our ability to extend loan offers with competitive terms or at all to certain borrowers on our marketplace. If we are not able to fill purchase commitments for our institutional investors or maintain a platform meeting the origination requirements of our lending partners, we risk jeopardizing our marketplace.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Macroeconomic environments fluctuate over time, and the costs and risks associated with consumer borrowing evolve in response to economic conditions. During periods of challenging macroeconomic conditions, including periods of elevated borrowing costs and heightened consumer credit risk, the pool of qualified borrowers may become smaller, and fewer applicants may receive or accept loan offers on our marketplace. Approving more borrowers can also be limited as we have historically limited the maximum annual percentage rates offered on Upstart-powered loans due to regulatory reasons. These factors have adversely affected, and may in the future adversely affect, transaction volume on our marketplace and therefore our revenue. If we are not able to maintain or increase transaction volume on our marketplace, or attract and retain qualified borrowers, our growth prospects,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 limited number of lending partners account for a significant portion of loan originations and revenue on our marketplace, and our business depends on our ability to retain existing lending partners and attract new ones.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significant part on the continued participation of lending partners in our marketplace, which provide both loan funding and a substantial portion of our revenue. A limited number of lending partners account for a significant portion of loan originations and revenue on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one or more significant lending partners reduce, suspend or cease their business with us for any reason, or if we are unable to attract and onboard new lending partners to replace or supplement existing relationships, loan origination volume and revenue could decline. Our ability to attract new lending partners may be limited by lengthy or complex onboarding processes, prospective partners’ diligence requirements, or changes in target returns, funding costs or risk tolerance. Prospective lending partners may also be cautious in adopting our platform or in purchasing loans originated on the Upstart platform due to regulatory uncertainty, AI model governance or fair lending compliance considerations, as well as the time, cost and operational changes required to integrate our technology, which can delay onboarding and make the timing and volume of related revenue difficult to predict.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 into a separate agreement with each of our lending partners. These agreements are non-exclusive and may contain minimum fee amounts. Lending partners may decide to stop working with us, seek to modify agreement terms in a cost-prohibitive manner when their agreement is up for renewal, or enter into exclusive or more favorable relationships with our competitors. In addition, lending partners may adjust or terminate their business with us based on macroeconomic conditions, funding costs, regulatory requirements, credit performance, internal priorities, competitive dynamics or changes in business strategy. Federal or state regulators may also require lending partners to terminate or limit their business with us, or impose regulatory pressure that constrains their ability or willingness to participate in our marketplace. If we are unable to retain existing lending partners or attract new lending partners on acceptable terms, our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incurred net losses in the past, and we may not be able to sustain or achieve profitability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have been profitable in certain periods, we have also incurred net losses and may do so again in the future. We have made, and expect to continue to make, significant investments in our business, and we may not be able to increase revenue sufficiently to offset these costs, which could prevent us from achieving or sustaining profitability. These investments include investment in our proprietary AI models, product development, borrower acquisition, platform enhancements and expansion of our loan offerings. Our ability to sustain or achieve profitability in any given period may also be affected by the mix of loan products facilitated through our marketplace and fluctuations in our borrower acquisition costs. Changes in product mix, including the growth of products with lower margins, as well as increases in borrower acquisition costs, may adversely affect our financial results and limit our ability to sustain profitability.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incurred losses in the past, and may incur losses in the future, due to a variety of factors, including the other risks described in this section, macroeconomic conditions, unforeseen expenses, operational challenges, and delays in executing our business strategies. Any failure to maintain or increase revenue at a pace sufficient to support our investment levels and other operating expenses could adversely affect our ability to achieve or sustain profitability. If we are unable to successfully address these risks and challenges as they arise,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submitted an application for a national bank charter. The application may be delayed, denied, approved, or subject to conditions. Even if we obtain the requisite regulatory approvals to form a national bank, we may not realize the anticipated benefits of operating a bank.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submitted an application to the Office of the Comptroller of the Currency (OCC) and the Federal Deposit Insurance Corporation (FDIC) to establish an insured national bank, Upstart Bank, N.A. We will also apply to the Federal Reserve for approval for Upstart Holdings, Inc. to become a bank holding company. Regulatory approvals for the bank charter, deposit insurance, and bank holding company applications are subject to a number of requirements, including minimum capital and liquidity requirements, compliance and risk management requirements, and a determination that the proposed activities are legally permissible, among others. The application may be denied, regulatory approval may be delayed or subject to conditions, and there may be changes to applicable laws or supervisory expectations that govern the bank’s operations. Once opened, a bank subsidiary will also subject us to various regulations with respect to our activities and will introduce additional operational complexity, including the need to build and maintain bank-specific infrastructure, risk management, compliance, and reporting capabilities. Operating a bank is also likely to result in new costs, which may be significant and could reduce or offset some or all of the anticipated benefits of the bank charter. For these and other reasons, we may be unable to fully realize the benefits, efficiencies, cost reductions, or funding advantages that we expect by obtaining a bank charter, and our business, financial condition, and results of operations may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risks associated with the loans on our balance sheet, our business, financial condition and results of operations may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held more Upstart-powered loans on our balance sheet in recent years and may continue to do so in the future. We have used, and may continue to use, our balance sheet to support our research and development activities for new loan products and borrower segments. In addition to research and development activities, we have used and may continue to use our balance sheet to purchase Upstart-powered loans from lending partners to address fluctuations in supply and demand in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loans on our balance sheet at fair value and estimate fair value using a discounted cash flow methodology. Increases in market interest rates may reduce the fair value of loans held on our balance sheet, which have negatively affected, and may in the future negatively affect, the fair value of such loans. In addition, for loans held on our balance sheet and any future loans to be held on our balance sheet, we bear the credit risk in the event of borrower default. Our exposure to rising borrower default rates and their volatility has increased, and may continue to increase, as we hold more Upstart-powered loans on our balance sheet. Also, loans for research and development purposes make up a substantial portion of the loans held on our balance sheet and are generally more risky and more likely to default than personal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times, default rates and charge-offs for certain loan categories have been higher than expected, resulting in unfavorable fair value adjustments to the loans on our balance sheet. Unfavorable fair value adjustments have negatively impacted our revenue in the past and may do so again in the future if loan performance deteriorates or fails to meet expectations. Furthermore, a portion of our revenue is interest income derived from loans held on our balance sheet, and increasing the number of loans we hold would increase the mix of our revenue that comes from interest on loans. From a liquidity perspective, a growing number of loans on our balance sheet increases our liquidity risk. If we are unable to sell loans held on our balance sheet on commercially reasonable terms or at all, our liquidity position could be adversely affected. Any of the foregoing could adversely affect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quarterly results may fluctuate significantly, which could adversely affect our business and the trading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and financial results have, in the past, and may, in the future, fluctuate significantly from period to period due to a variety of factors, many of which are outside of our control. Factors that may cause these fluctuations include, among others, changes in macroeconomic conditions; fluctuations in borrower demand and loan origination volume, including seasonal patterns; changes in the availability and cost of loan funding; changes in credit performance; shifts in product mix; the timing and success of new products, partnerships or funding arrangements; changes in interest rates; changes in regulatory requirements or enforcement priorities; and changes in our operating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typically experience seasonality in the demand for Upstart-powered loans, which has been generally lower in the first quarter. This seasonal slowdown has been primarily attributable to high loan demand around the holidays in the fourth quarter and the general increase in borrowers’ available cash flows in the first quarter, including cash received from tax refunds, which temporarily reduces borrowing needs.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factors, our operating and financial results for any given period may fall below the expectations of investors or securities analysts, which could cause the trading price of our common stock to decline. Fluctuations in our operating results may also make it difficult for investors to evaluate our business and future prospects, which could further contribute to volatility in the market price of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reputation and brand are important to our success, and failure to maintain, protect and promote our brand may harm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maintaining a strong brand and trustworthy reputation is critical to our success and our ability to attract borrowers to our marketplace, attract new lending partners, maintain diverse and resilient loan funding and sustain good relations with regulators. The maintenance of our brand and reputation depend on a number of factors, including the performance and perceived effectiveness of our proprietary AI models, the quality and pricing of our products, the reliability and scalability of our platform, regulatory compliance, loan performance outcomes and our ability to innovate and respond to evolving customer and partner needs. In addition, the availability and perceived attractiveness of alternative products or platforms from our competitors may influence how our brand and value proposition are perceived. Competitive pressures may result in reduced demand for Upstart-powered loans, pricing pressure, increased costs or loss of market share, any of which would harm our reputation and brand. If we are unable to differentiate our platform and maintain trust with borrowers, lending partners, institutional investors, and other third parties,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negative publicity about us or the consumer lending industry, including regarding our AI-powered credit decisioning models, loan performance, servicing or collections practices, marketplace model, use of AI, regulatory compliance, data privacy and cybersecurity practices, litigation or regulatory actions, or the experience of participants on our platform, even if inaccurate or unfounded, could harm our reputation and reduce confidence in our platform. Such reputational harm could reduce usage of our platform and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related to our loan servicing and collections obligations,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loan servicing and collection efforts. A meaningful portion of our revenue from fees is generated from loan servicing fees. The vast majority of Upstart-powered loans are unsecured and are not guaranteed or insured by any third party or backed by any governmental authority. As a result, our ability to collect amounts owed on such loans on behalf of lending partners, Upstart, institutional investors, and financing lenders is limited if borrowers are unwilling or unable to repay. Even where loans are secured, including auto loans or HELOCs, we may be limited in our ability to recover amounts owed if collateral cannot be located or recovered or if collateral values decline.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collect on loans is largely dependent on borrowers’ financial health and may be adversely affected by factors such as unemployment, illness, bankruptcy, economic downturns or other circumstances beyond a borrower’s control. Federal and state laws, including bankruptcy and insolvency laws, may further limit recoveries. If delinquencies, defaults or bankruptcies increase, our collections and recovery rates may decline, which could reduce fees payable to us, negatively affect lending partner and institutional investor demand for Upstart-powered loans, erode trust in our marketplace or increase loan funding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conduct collection activities for certain lending partners, institutional investors, and financing lenders. Because we have limited experience conducting first-party or in-house collection activities, we cannot be certain that we will be able to effectively manage risks associated with such activities. We also rely on third-party collection agencies and, in certain cases, litigation strategies to collect from certain delinquent borrowers. If our collection efforts or those of third-party vendors are ineffective, inconsistent, unprofessional or otherwise harm borrowers, our reputation could be damaged, borrower demand could decline and delinquencies and charge-offs could increase.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act as servicer for most loans facilitated through our marketplace, including loans sold in whole loan transactions, contributed to securitizations and pass-through securities, and pledged in warehouse facilities. Loan servicing is a highly regulated and operationally complex activity, involving manual processes and regulatory compliance obligations. Errors in servicing, failures to comply with servicing requirements or inadequate performance could expose us to liability to borrowers, lending partners, institutional investors or financing lenders, and harm our reputation. If the costs of servicing exceed the servicing fees we earn, our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Auto loans facilitated through our marketplace and retail installment contracts purchased from motor vehicle dealers are secured by vehicles that may depreciate rapidly and may be difficult to locate. We rely on third-party repossession vendors to recover collateral, and repossession may not result in full recovery of amounts owed. Failures by such vendors to adhere to applicable law and regulations could result in loss of the collateral, regulatory action, litigation and/or reputational harm. As we scale our auto lending business, we may face increased operational and compliance risk in coordinating repossession activity and managing title and other collateral requirements that vary by state. For home-secured products such as HELOCs, collections and recovery may involve enforcing liens or pursuing foreclosure-related remedies that can be time-consuming, costly and subject to heightened regulatory and reputational scrutiny.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Servicing and collection activities are subject to extensive and evolving federal and state laws and regulatory oversight. If we fail to comply with applicable servicing, collection or licensing requirements, we could lose licenses, become subject to enforcement actions, sanctions or litigation, or be restricted from servicing loans or operating in certain jurisdictions,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 significant portion of our business has historically depended on a single loan product, and shifts in product demand or mix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the loan originations facilitated through our marketplace has historically consisted of unsecured personal loans. While the market for unsecured personal loans has experienced periods of growth, the extent to which this market will continue to grow, or remain attractive to borrowers and capital providers, is uncertain. A variety of factors could adversely affect demand for unsecured personal loans, including macroeconomic conditions, increased interest rates, changes in consumer credit behavior, competition, regulatory developments and other conditions in the credit markets. If demand for unsecured personal loans declines or grows more slowly than expected, our business, financial condition and results of operations could be adversely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Unsecured personal loans are seen as a more risky credit product because they are not backed by collateral. As such, borrowers may choose not to prioritize repayment of unsecured personal loans, particularly during an economic down cycle, and instead prioritize repayment of secured indebtedness obligations over unsecured personal loans. If we are unable to effectively manage risks associated with our personal loan product,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unsecured personal loan product represents the majority of our business, we offer other loan products on our marketplace and may continue to expand and scale additional products over time. Newer loan products may have different margins or default rates than our personal loan products. Offering and scaling multiple products introduces additional operational, regulatory, funding and servicing complexity and exposes us to risks that differ from those associated with a single product offering. In order to preserve and expand our relationships with lending partners and institutional investors, it may become important for us to offer a broader range of loan products than we have historically offered. Our competitors may also seek to gain or maintain market share by underpricing certain loan products or accepting lower returns, even if such practices result in losses. These competitive dynamics could reduce demand for loans facilitated through our marketplace or adversely affect the economics of our platform.</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continuing to introduce and develop new loan products and service offerings, and if these products are not successful or we are unable to manage the related risks, our growth prospects,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introduced auto loans, retail installment contracts purchased from motor vehicle dealers, small dollar loans, and home equity lines of credit products and are continuing to invest in developing these products and other new credit products and service offerings. We have limited operating history with respect to certain of these products, and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growth strategy, we may continue to offer and scale multiple loan products with distinct borrower profiles, underwriting considerations, regulatory requirements, funding sources and servicing obligations. While these newer products currently represent a small portion of our business, they are expected to grow at a different rate than our personal loan product. We cannot be sure that we will be able to develop, commercially market and achieve market acceptance of any new products and services. In addition, our investment of resources to develop new products and services may be insufficient or result in expenses that are excessive in light of the benefits actually derived from these new offerings, particularly in the near term. Investment in new products or services may also need to be delayed, modified or deferred due to market, macroeconomic or other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have difficulty securing adequate loan funding from lending partners or institutional investors for new loan products and services, which may require us to hold more loans on our balance sheet for extended periods of time. If the borrower profile for new products differs from that of existing products, our AI models may not accurately evaluate credit risk and we may not be able to obtain loan funding for such products on commercially reasonable terms, or at all. New products may also experience higher levels of delinquencies or defaults as our models calibrate to different borrower populations or data sets. Furthermore, new products and services may raise new or complex regulatory compliance obligations, increase our costs, reduce margins or take longer than anticipated to achieve target margins. Our development efforts may also divert management attention and resources from existing operations. If we are unable to effectively manage these risks, our growth prospects,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do not compete effectively in our target markets, our business, results of operations and financial condition could be harmed.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consumer lending market is highly competitive and increasingly dynamic as emerging technologies continue to enter the marketplace. Our inability to compete effectively could result in reduced loan volumes, reduced average loan sizes, reduced fees, increased marketing and borrower acquisition costs or a failure of our marketplace to achieve or maintain broader market acceptance, any of which could adversely affect our business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compete to varying degrees with other sources of consumer credit, including banks, non-bank lenders, retail-based lenders and other financial technology platforms. Because personal loans may serve as a replacement for credit cards, we also compete with the convenience and ubiquity of credit cards and buy now, pay later products. Many competitors operate under different business models, have different funding sources, cost structures or regulatory obligations, or focus on different segments of the market. We may also face competition from banks or companies that have not previously competed in consumer lending, including companies with access to large amounts of consumer-related data that could be used to develop their own credit risk models, and many current or potential competitors have significantly greater financial, technical and marketing resources than we do.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competitors may have longer operating histories, greater brand recognition and loyalty, lower costs of capital, more diversified products, broader borrower or partner relationships, more diversified funding sources or greater balance sheet capacity than we do. Competitors may also modify their pricing or business models to compete more directly with us, including by offering lower pricing or more flexible terms. Our ability to compete will also depend on our ability to provide lending partners with a competitive suite of loan products and services. In addition, competitors may pursue acquisitions or strategic alliances that provide access to lower-cost capital, expanded distribution or enhanced regulatory capabilities, further intensifying competition.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industry is driven by constant innovation, including rapid advances in AI and machine learning. If we fail to anticipate or respond adequately to technological developments, or if competitors develop credit models or technologies that are superior to ours, our ability to compete effectively could be adversely affected. If we are unable to compete effectively or keep pace with innovation in our industry, demand for our marketplace could stagnate or decline,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associated with fraudulent activity, our brand and reputation,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Fraud is prevalent in the financial services industry and may increase as perpetrators become more sophisticated. We are subject to the risk of fraudulent activity associated with borrowers, employees and third parties that handle borrower information, and in limited circumstances we cover certain fraud-related losses of our lending partners and institutional investors. Fraud rates may also increase during economic downturns.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a combination of proprietary AI models and third-party tools to detect and prevent fraud by validating applicant-reported data and information obtained from third-party sources. However, these efforts may not be sufficient to identify all fraudulent activity. If fraud detection controls are ineffective, fraud-related losses on Upstart-powered loans could increase, erode confidence in our marketplace, and adversely affect our financial condition and results of operations. Fraud perpetrators may also target our platform due to the high degree of automation in our credit decisioning processes. In addition, we, our lending partners or institutional investors may be unable to recover amounts disbursed on loans made in connection with inaccurate statements, omissions or fraudulent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increases in fraudulent activity could result in heightened regulatory scrutiny or intervention, increase compliance and operating costs, and harm our brand and reputation. Further, if higher levels of fraud lead to increased human review of loan applications, the level of automation on our platform could decline, negatively affecting our operating efficiency and unit economics. If we are unable to effectively manage fraud-related risks, our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depend on our key personnel and other highly skilled personnel, and if we fail to attract, retain and motivate our personnel,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on the continued service of our senior management team and other highly skilled personnel. Our success also depends on our ability to identify, hire, develop, motivate and retain highly qualified personnel. In the first quarter of 2026, we announced certain changes to our executive leadership team, including the succession of our Chief Executive Officer and the appointment of a new Chief Financial Officer. Although we seek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manage leadership transitions carefully, such changes may create uncertainty or present challenges related to continuity of our business, preservation of our culture, and our ability to attract and retain highly qualified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Competition is high for skilled personnel, including engineering and data analytics personnel, particularly in the San Francisco Bay Area where our headquarters is located. While we have transitioned to what we call a “Digital First” work model that allows us to recruit from a wider talent pool, we have experienced, and expect to continue to face, difficulty identifying and hiring qualified personnel, especially as we pursue our growth strategy. We may not be able to hire or retain such personnel at compensation or flexibility levels consistent with our existing compensation structure and policies. We periodically review our compensation levels to ensure they remain competitive, and we may need to further increase compensation in response to competition, inflation or labor shortages, which would increase our operating costs. Many companies with which we compete for experienced employees have greater resources and may be able to offer more attractive terms of employment. In addition, the current regulatory environment related to immigration is uncertain, including with respect to the availability of H1-B and other U.S. visas. If a new or revised U.S. visa program is implemented, it may impact our ability to recruit, hire, retain, or effectively collaborate with qualified skilled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we have reduced our workforce in the past and may do so again in the future to lower operating costs or streamline operations. Workforce reductions may adversely affect employee morale, culture and productivity, and our ability to attract and retain personnel, result in the loss of institutional knowledge, disrupt operations, or impair our ability to pursue new initiatives due to reduced resources. We may not realize the anticipated benefits or cost savings from workforce reductions, and any failure to effectively manage such actions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Borrowers may prepay a loan at any time without penalty, which could reduce our servicing fees and deter our lending partners and institutional investors from investing in loans facilitated through our lending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borrower may decide to prepay all or a portion of the outstanding principal amount on a loan at any time without penalty. If the entire outstanding unpaid principal amount of a loan is prepaid, we would not receive a servicing fee for the period after the loan is prepaid in full. Our AI models are designed to predict prepayment rates, but prepayment may occur for a variety of reasons. If a significant volume of prepayments occur that our AI models do not accurately predict, the amount of our revenue from servicing fees would decline and returns targeted by our lending partners and institutional investors would be adversely affected, which would harm our business and results or operations and our ability to attract new lending partners and institutional investors.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long-term impact of operating with a Digital First workforce on our business, financial condition and results of operations is uncertain.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announcement of a Digital First work model, remote work with less time in the office has been the primary experience for most of our employees. Our workforce is principally distributed across the U.S., with only limited presence in Canada, and we expect this to continue. There is no guarantee that we will realize any anticipated benefits from this model.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The increase in remote working may also result in increased exposure to consumer privacy and data security incidents, or fraudulent activity. If we are unable to successfully address the foregoing risks and challenges as we encounter them,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Unfavorable outcomes in legal proceedings may harm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and may in the future become, subject to lawsuits by private parties or governmental agencies, other claims, examinations, investigations, enforcement actions, legal and administrative cases and proceedings, whether civil or criminal, all of which may affect our financial condition and results of operations. These claims, lawsuits and proceedings could involve a wide range of legal and regulatory matters, including consumer protection, employment, intellectual property, data privacy, securities and other commercial or statutory claims. For example, we are a defendant in a number of securities class actions and other related lawsuits. See the “</w:t>
      </w:r>
      <w:r>
        <w:rPr>
          <w:rFonts w:ascii="Times New Roman;serif" w:hAnsi="Times New Roman;serif"/>
          <w:b w:val="false"/>
          <w:i/>
          <w:color w:val="000000"/>
          <w:sz w:val="20"/>
        </w:rPr>
        <w:t>Legal</w:t>
      </w:r>
      <w:r>
        <w:rPr>
          <w:color w:val="000000"/>
        </w:rPr>
        <w:t xml:space="preserve">” </w:t>
      </w:r>
      <w:r>
        <w:rPr>
          <w:rFonts w:ascii="Times New Roman;serif" w:hAnsi="Times New Roman;serif"/>
          <w:b w:val="false"/>
          <w:color w:val="000000"/>
          <w:sz w:val="20"/>
        </w:rPr>
        <w:t>section under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addition, due to the consumer-oriented nature of our business and the application of certain laws and regulations, participants in our industry are regularly named as defendants in litigation alleging violations of federal and state laws and regulations, including consumer protection laws. See the risk factor titled </w:t>
      </w:r>
      <w:r>
        <w:rPr>
          <w:color w:val="000000"/>
        </w:rPr>
        <w:t>“—</w:t>
      </w:r>
      <w:r>
        <w:rPr>
          <w:rFonts w:ascii="Times New Roman;serif" w:hAnsi="Times New Roman;serif"/>
          <w:b w:val="false"/>
          <w:i/>
          <w:color w:val="000000"/>
          <w:sz w:val="20"/>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r>
        <w:rPr>
          <w:color w:val="000000"/>
        </w:rPr>
        <w:t xml:space="preserve"> </w:t>
      </w:r>
      <w:r>
        <w:rPr>
          <w:rFonts w:ascii="Times New Roman;serif" w:hAnsi="Times New Roman;serif"/>
          <w:b w:val="false"/>
          <w:color w:val="000000"/>
          <w:sz w:val="20"/>
        </w:rPr>
        <w:t>for more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subject to such litigation or enforcement, then any unfavorable results of pending or future legal proceedings may result in contractual damages, fines, penalties, injunctions, the unenforceability, rescission or other impairment of loans originated through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pursue acquisitions or investments in other businesses or technologies, which could disrupt our business and may not achieve anticipated benefits.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pursue acquisitions or investments in other businesses or technologies as part of our growth strategy. These transactions may require significant management attention, involve the integration of different business models, technologies, systems, controls or cultures, and divert resources from our existing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encounter difficulties integrating acquired businesses, technologies or personnel, or fail to realize anticipated synergies, cost savings or strategic benefits. In addition, acquisitions or investments may expose us to unforeseen liabilities, integration costs, impairment charges, regulatory scrutiny or other risks. If we are unable to successfully manage or integrate these transactions, or if they fail to achieve their intended objectives, our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financial reporting relies on significant estimates, judgments, key operating metrics and effective internal controls, and inaccuracies or control failures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financial statements requires management to make estimates and assumptions that affect reported amounts and disclosures, including with respect to revenue recognition, loan valuation, credit losses, fair value measurements and other areas. Although we believe these estimates and assumptions are reasonable, they are inherently uncertain, may change as new information becomes available, and may differ materially from actual outcomes.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produce timely and accurate financial statements and other periodic reports depends on the maintenance of appropriate information systems, processes and controls. In addition, we regularly assess, and report on, the effectiveness of our internal control over financial reporting. If we or our independent auditors identify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deficiencies in internal controls that are deemed to be material weaknesses, or if significant deficiencies or material weaknesses are identified in the future, our financial reporting may be delayed or unreliable.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and financial results also depend on certain operating and financial metrics that we disclose, including key measures of loan performance, revenue and related performance indicators. These metrics are based on underlying data that involve estimates and assumptions, may not be comparable to similarly titled measures used by other companies, and may change over time as our business evolves. In addition, certain processes used to aggregate, validate and report underlying operating and financial data may involve manual workflows, which may be time-consuming, difficult to scale, and more susceptible to human error. If actual results differ materially from the estimates used in preparing our operating and financial results, or if inaccuracies or incomplete data result from such processes, or if changes in the way we or others define and use key metrics make those metrics less useful or reliable, our business, financial condition and results of operations could be adversely affected. In addition, we may from time to time publish certain operating or performance metrics on a more frequent basis in our Regulation FD channels, which are subject to the same inherent limitations, estimates and potential variability as our other disclosed metrics.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Deficiencies in our disclosure controls or internal control over financial reporting could lead to material errors in our financial statements, restatements, regulatory scrutiny, loss of investor confidence and reputational harm. Any of the foregoing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maintain cash deposits in excess of federally insured limits, and adverse developments affecting financial institutions could adversely affect our liquidity and financial performance.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regularly maintain domestic cash deposits in FDIC insured banks that exceed the FDIC insurance limits. Adverse developments affecting financial institutions or the broader banking system, including bank failures, liquidity constraints or disruptions in the financial or credit markets, could impair our ability to access such funds in a timely manner, which could adversely affect our liquidity, financial condition and results of operations.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is subject to the risks of natural disasters and other catastrophic events, many of which are becoming more acute and frequent due to climate change, and to interruption by human-induced problems.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natural disasters or other catastrophic events, such as earthquakes, fires, hurricanes, blizzards or floods (including those associated with climate change), as well as power losses, telecommunications failures, strikes, epidemics or pandemics, cyber incidents, system failures or failures of financial institutions, could adversely affect our business, results of operations and financial condition. The effects of climate change may increase the frequency or severity of certain natural disasters. Our operations, including our headquarters in the San Francisco Bay Area and our office in Columbus, Ohio, are located in regions that may be vulnerable to earthquakes, wildfires, severe weather events or other climate-related conditions. Although we maintain disaster response plans and insurance, such events could disrupt our business, the operations of our lending partners or third-party suppliers, and result in losses and additional costs to maintain or resume operations. Our insurance coverage may be insufficient to compensate us for all losses that may occur. In addition, for loans secured by collateral, catastrophic events may also damage or impair collateral or adversely affect collateral values, which could reduce recovery amounts and increase losses.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Acts of war, armed conflict, terrorism, geopolitical unrest, disruptions in global trade, or travel restrictions could cause business disruptions and lead to interruptions, delays or loss of critical data. If our business continuity or disaster recovery plans prove inadequate, or if our personnel, systems or data centers are affected, we may experience interruptions or delays in our operations. To the extent these events adversely affect borrowers’ ability to repay their loans, our business, financial condition and results of operations could be negatively affected.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center"/>
        <w:rPr>
          <w:rFonts w:ascii="Times New Roman;serif" w:hAnsi="Times New Roman;serif"/>
          <w:b/>
          <w:color w:val="000000"/>
          <w:sz w:val="20"/>
        </w:rPr>
      </w:pPr>
      <w:bookmarkStart w:id="4" w:name="ib3d02eb52e5e4e21be96da8403d7ce32_132079"/>
      <w:bookmarkEnd w:id="4"/>
      <w:r>
        <w:rPr>
          <w:rFonts w:ascii="Times New Roman;serif" w:hAnsi="Times New Roman;serif"/>
          <w:b/>
          <w:color w:val="000000"/>
          <w:sz w:val="20"/>
        </w:rPr>
        <w:t>RISKS RELATED TO OUR INTELLECTUAL PROPERTY AND PLATFORM DEVELOPMENT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Security breaches, improper access to our or borrowers’ data, or other security incidents may harm our reputation, adversely affect our results of operations and expose us to liability.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increasingly dependent on data, information systems, services and infrastructure to operate our business. In the ordinary course of our business, we collect, transmit, store and otherwise process large amounts of sensitive information, including personal information, credit information, and other sensitive data of borrowers and potential borrowers. It is critical that we do so in a manner designed to maintain the confidentiality, integrity, and availability of such information. We also rely on third-party vendors and service providers, including those that support our information technology infrastructure, and certain of these third parties may have access to our systems or sensitive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as well as those of our third-party vendors and service providers, are vulnerable to inadvertent or intentional security breaches, attacks, outages, disruptions and other incidents. The size, complexity, accessibility and distributed nature of our information technology systems, including systems operated by third parties on our behalf, may increase the likelihood or severity of such incidents. These risks may arise from actions by employees, contractors, vendors, lending partners, institutional investors or other third parties, as well as from malicious threat actors. While we continue to invest in security controls and monitoring, no system can provide absolute security, and our controls and any related actions may fail to prevent, detect, or remediate security incidents promptly or at all. In addition, our use of advanced technologies, including AI, may introduce additional cybersecurity risks or be exploited by threat actors, increasing the complexity of managing our security environment.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Like other financial and technology services firms, we and certain vendors and service providers that support us have been, and continue to be, the targets of actual or attempted unauthorized access, mishandling or misuse of information, computer viruses or malware, distributed denial-of-service attacks, other cyberattacks, security breaches or incidents, or other similar events. Security breaches, attacks, outages, disruptions, or other incidents affecting us or our vendors or service providers could compromise the confidentiality, integrity or availability of our systems, proprietary models, algorithms, or data, cause service interruptions, disrupt our operations, degrade the user experience of our platform, or result in unauthorized access to, disclosure of, or other processing of sensitive information, including borrower data. Such incidents could adversely affect borrowers, lending partners and other third parties that rely on our platform and could harm our reputation, reduce transaction volume or otherwise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Security incidents, whether actual or perceived, may trigger notification obligations, regulatory investigations or enforcement actions, litigation, contractual liability, significant remediation costs, or negative publicity. Any of these consequences could cause borrowers, lending partners, or other third parties to lose confidence in our platform and could harm our reputation. We maintain insurance policies intended to cover certain cybersecurity and privacy-related risks; however, this coverage may be insufficient, unavailable on acceptable terms, subject to exclusions or deductibles, or contested by insurers. Any security incident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Any significant disruption of, or failure in, our technology systems, including our AI lending platform,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depends on the continuous operation, availability and security of our AI lending platform and related technology systems. We rely on these systems to process loan applications, service loans, support underwriting and pricing decisions, and manage data and reporting for our lending partners and institutional investors. Our reliance on electronic loan origination, disclosures and signatures, rather than paper-based processes, may increase the risk of errors or system failures.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dependent on a number of third-party infrastructure and services, including cloud computing, data storage and network services, to operate our platform. If these services are interrupted, degraded or terminated,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whether due to system failures, cyber incidents, human error or other causes, we could experience disruptions in our operations and delays in loan processing or servicing. For example, we host our AI lending platform using Amazon Web Services (“AWS”), a provider of cloud infrastructure services. In the event that our AWS service agreements are terminated, there is a lapse of service, interruption of internet service provider connectivity, or damage to AWS data centers, we could experience interruptions in access to our platform, as well as delays and additional expense if we must secure alternative cloud infrastructure services, which could reduce confidence in the reliability of our platform and cause lending partners or institutional investors to reduce, suspend or cease funding or other participation on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collect, store, and process large volumes of sensitive borrower and applicant information, as well as proprietary information, including data used to develop, train, and operate our AI models and related technologies. Unauthorized access to or use of our systems or data, or other security breaches or incidents could result in service disruptions, loss of data, including proprietary or AI-related data, regulatory investigations and other proceedings, litigation, remediation costs and reputational harm.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disaster recovery, business continuity and information security controls may not be effective in all circumstances. As our business grows and our technology systems become more complex, we may need to make significant investments to maintain the capacity, reliability and security of our platform. Any failure to effectively manage these risks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platform and internal systems rely on software that is highly technical, and if our software contains undetected errors,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and internal systems rely on software that is highly technical and complex and depend on the ability of such software to store, retrieve, process and manage high volumes of data. The software on which we rely has contained, and may in the future contain, errors, bugs or defects, some of which may not be discovered until after deployment.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real or perceived errors, bugs, or defects could result in incorrect or delayed processing of loan applications, inaccurate pricing or disclosures, failures in compliance or fraud-detection controls, disruptions to our platform or services, or other operational issues. Any such failures could harm our reputation, reduce borrower or lending partner confidence, cause lending partners or institutional investors to reduce, suspend or terminate their participation or funding, increase regulatory scrutiny, expose us to fines, penalties or liability, or otherwise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 may be difficult and costly to protect our intellectual property rights, and we may not be able to ensure their protection.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operate our platform depends, in part, upon our proprietary technology. We may be unable to protect our proprietary technology effectively, which may allow competitors to duplicate our AI models or AI lending marketplace and adversely affect our ability to compete with them. We rely on a combination of copyright, trade secret, patent, trademark laws and other rights, as well as confidentiality procedures and contractual provisions, to protect our proprietary technology, processes and other intellectual property. We have limited patent protection, and our current patent applications may not be successful. A third party may attempt to reverse engineer or otherwise obtain and use our proprietary technology without our consent. Our failure to secure, protect and enforce our intellectual property rights could adversely affect our brand and adversely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proprietary technology, including our AI models, may actually or may be alleged to infringe upon third-party intellectual property rights,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be required to cease using certain technology, limit or change our use of certain data, or make changes to our business to avoid such infringement, any of which could reduce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effectiveness of our AI models or otherwise negatively impact our financial performance. Defending such claims could also be costly, time-consuming and divert management attention.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it has become common in recent years for individuals and groups to purchase intellectual property assets for the sole purpose of making claims of infringement and attempting to extract settlements from companies such as ours. Even where we believe such claims are without merit, defending against them may be expensive and time-consuming. In addition, contractual protections or insurance may be insufficient or unavailable to cover all such costs or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Finally, if we are unable to protect, enforce or obtain rights to our proprietary technology, or if third parties successfully challenge those rights, our competitive position and ability to differentiate our platform could be adversely affected, which could in turn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Some aspects of our business processes include open source software, and any failure to comply with the terms of one or more of these open source licenses could negatively affect our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incorporate open source software into processes supporting our business. Some of this open source software is governed by licenses such as the GNU General Public License and the Apache License. The terms of various open source licenses have not been definitively interpreted by U.S. courts, and there is a risk that such licenses could be construed in a manner that limits our use of the software, inhibits certain aspects of our systems or otherwise adversely affects our business operations. Certain open source licenses may require that modifications or derivative works be made available under the same license terms. Third parties may seek to enforce the terms of applicable open source licenses, including by demanding the release or licensing of modifications or derivative works. If portions of our proprietary software or AI models are determined to be subject to an open source license, or if license terms are interpreted or change in a manner that imposes additional obligations, we could be required to publicly release source code, re-engineer portions of our platform or models, obtain alternative licenses or change our business practices, any of which could adversely affect our business operations and competitive position.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open source software is generally provided without warranties or assurances regarding its origin, functionality or performance. As a result, open source software may contain vulnerabilities, defects or other issues that could adversely affect our systems. Many of the risks associated with the use of open source software cannot be eliminated and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use of generative or agentic AI technologies by our employees or contractors could expose us to unexpected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and contractors use generative AI technologies in connection with their work, including internally-built generative AI tools that may be integrated into or otherwise impact customer-facing products or services, and the use of such technologies presents risks and challenges that could adversely affect our business. Despite policies governing their use, employee or contractor errors, misuse or unauthorized use of generative AI technologies could result in security incidents and could otherwise introduce security, legal, compliance, or operational risks. Even authorized use of generative AI technologies may generate content, including software code, that is inaccurate, misleading or contains security vulnerabilities. In particular, generative AI tools may produce outputs that appear accurate but are factually incorrect or incomplete, which could result in incorrect information being relied upon by employees or contractors or incorporated into customer-facing products or services. Furthermore, there can be no assurance that our use of generative AI in customer-facing products or services will improve outcomes, enhance user experience, or benefit our business. Use of generative or agentic AI technologies by employees, contractors or others could result in reputational harm, competitive harm or legal liability. In addition, generative AI technologies may introduce cybersecurity risks if vulnerabilities are incorporated into our systems or products. We also use, or may in the future use, agentic AI tools to support servicing or other customer-facing functions, such as customer support, which may increase the risk of errors, inconsistent outputs or failure to adhere to our policies, regulatory obligations or customer expectations.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aspects of the legal framework governing intellectual property rights, licensing, and liability related to generative AI remains unsettled, and our use of such generative AI technologies may expose us to claims of copyright infringement, other intellectual property claims, or reputational harm. While we have taken, and continue to take, steps designed to mitigate risks associated with the use of generative AI in our business, including through policies and controls governing the use of generative AI technologies, our use of AI may present ethical, reputational, legal, competitive, and regulatory risks that could adversely affect our business, financial condition, results of operations, and future prospects.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bookmarkStart w:id="5" w:name="ib3d02eb52e5e4e21be96da8403d7ce32_132077"/>
      <w:bookmarkEnd w:id="5"/>
      <w:r>
        <w:rPr>
          <w:rFonts w:ascii="Times New Roman;serif" w:hAnsi="Times New Roman;serif"/>
          <w:b/>
          <w:color w:val="000000"/>
          <w:sz w:val="20"/>
        </w:rPr>
        <w:t>RISKS RELATED TO OUR DEPENDENCE ON THIRD PARTIES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proprietary AI models rely in part on the use of loan applicant and borrower data and other third-party data, and if we lose the ability to use such data, or if such data contain inaccuracies,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our proprietary AI models, which are statistical models built using a variety of data sets. Our AI models rely on data collected from applicants and borrowers, data obtained from credit bureaus and other third parties, and our historical credit performance data. If the data used by our AI models are inaccurate, incomplete, outdated, biased or otherwise unreliable, or if our access to such data is limited or interrupted, our models may not perform as expected. Evolving regulatory obligations may limit our ability to access, use or control such data or increase the cost of obtaining it. If our access to applicant, borrower or third-party data is restricted, becomes more costly or is otherwise unavailable, our ability to accurately evaluate borrowers, detect fraud and verify applicant information could be compromised, which could negatively affect pricing accuracy, automation levels and loan volume.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Data obtained from third-party sources or provided by applicants may be inaccurate, incomplete, outdated or misleading, including due to reporting errors, staleness or applicant misrepresentation. In particular, data from credit bureaus, data brokers, or other consumer reporting agencies may not accurately reflect an applicant’s or borrower’s actual credit history due to reporting errors, staleness, incompleteness or other inaccuracies. In addition, limitations on data access or data quality could impair our ability to train, validate and improve our AI models over time, and could require us to modify our models or data-usage arrangements, or to require us to share proprietary data, which could reduce our competitive advantage. Any of the foregoing could adversely affect our ability to attract borrowers, lending partners and institutional investors and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rely on strategic relationships with loan aggregators to attract applicants to our marketplace, and if we cannot maintain effective relationships with loan aggregators or successfully replace their services, our business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number of consumers that apply for a loan on our platform learn about and access our platform through the websites of loan aggregators, typically with hyperlinks from such loan aggregators’ websites to landing pages on our website. While we are continuing to expand our direct acquisition channels, we expect to remain significantly dependent on relationships with loan aggregators to maintain and grow our business. For example, a significant amount of our loan originations has been derived from traffic from Credit Karma, one of the loan aggregators with whom we partner. Loan aggregators are not required to display offers from our lending partners and may work with our competitors. If traffic from loan aggregators decreases in the future for any reason or if loan aggregators implement policies that adversely impact our business, our loan originations and results of operations could be adversely affected. There is no assurance that loan aggregators will continue to partner with us on commercially reasonable terms or at all, and our competitors may be effective in providing incentives to loan aggregators to favor their products or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Loan aggregators also face litigation and regulatory scrutiny for their part in the consumer lending ecosystem, and as a result, their business models may require fundamental change or may not be sustainable in the future. For example, loan aggregators may be required to obtain and maintain licenses or comply with additional regulatory requirements in certain jurisdictions, which could subject them to increased supervision and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stringent business obligations. While we require loan aggregators to make certain disclosures in connection with our lending partners’ offers and restrict how loan aggregators may display such loan offers, loan aggregators may fail to comply with these requirements, which could result in liability to us. Further, we do not have control over any content on loan aggregator websites unrelated to our product, and it is possible that our brand and reputation may be adversely affected by being associated with such content. Borrowers or regulators could also assert claims based on the content presented on a loan aggregator’s website, which could result in litigation, regulatory scrutiny or reputational harm.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We rely on third-party vendors, and if such vendors do not perform adequately or terminate their relationships with us, or if regulatory scrutiny of vendor relationships increases, our business could be adversely affected.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relationships with third-party vendors that provide services critical to the operation of our platform. In some cases, our third-party vendors are one of a limited number of sources of such services. For example, we rely on national consumer reporting agencies for a significant portion of the data used in our AI models, as well as third-party verification technologies and services that are critical to maintaining a high level of automation on our platform. We also rely on third-party payment processors or banks to access payment networks and process loan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our vendor agreements are terminable by either party without penalty and with little notice. If any third-party vendor terminates its relationship with us or refuses to renew its agreement on commercially reasonable terms, we would need to identify an alternative provider and may not be able to secure similar terms or replace such services in an acceptable time frame. We also rely on other software and services supplied by vendors, and our business may be adversely affected if such services do not meet our expectations or experience disruptions or outages.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third-party vendors fail to comply with applicable laws, regulations or contractual obligations, including with respect to privacy, data protection or security, we could experience service disruptions, regulatory enforcement actions, consumer demands or litigation, and suffer economic or reputational harm. Regulators have increasingly emphasized that supervised financial institutions may be held responsible for the actions of their third-party service providers. As a service provider to regulated financial institutions, we are subject to increased regulatory expectations regarding vendor oversight, due diligence and ongoing monitoring. If we or our vendors fail to meet these expectations, we or our lending partners could be subject to supervisory actions, enforcement proceedings or remedial requirements,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subject to counterparty risk with respect to the capped call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counterparties to the capped call transactions entered into in connection with certain of our convertible notes (the “Notes”) are financial institutions, and we are subject to the risk that one or more of the counterparties may default or otherwise fail to perform their obligations under the capped call transactions. Our exposure to the credit risk of the counterparties will not be secured by any collateral. Adverse global economic conditions could affect the financial condition of these counterparties. If a counterparty to a capped call transaction becomes subject to bankruptcy or other insolvency proceedings, we will become an unsecured creditor in those proceedings with a claim equal to our exposure at the time under the relevant capped call transaction. Our exposure will depend on many factors but, generally, our exposure will increase to the extent there is an increase in our common stock market price and in the volatility of the market price of our common stock. In addition, if a counterparty fails to perform or its obligations under a capped call transaction are terminated, we may suffer adverse consequences and may experience greater dilution of our common stock than we otherwise would have expected. We can provide no assurance as to the financial stability or viability of any of the counterparties.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center"/>
        <w:rPr>
          <w:rFonts w:ascii="Times New Roman;serif" w:hAnsi="Times New Roman;serif"/>
          <w:b/>
          <w:color w:val="000000"/>
          <w:sz w:val="20"/>
        </w:rPr>
      </w:pPr>
      <w:bookmarkStart w:id="6" w:name="ib3d02eb52e5e4e21be96da8403d7ce32_132074"/>
      <w:bookmarkEnd w:id="6"/>
      <w:r>
        <w:rPr>
          <w:rFonts w:ascii="Times New Roman;serif" w:hAnsi="Times New Roman;serif"/>
          <w:b/>
          <w:color w:val="000000"/>
          <w:sz w:val="20"/>
        </w:rPr>
        <w:t>RISKS RELATED TO REGULATION AND LITIGATION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Litigation, regulatory actions and compliance issues could subject us to significant fines, penalties, judgments, remediation costs and other adverse consequences.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have been named as a defendant in various legal actions, including securities class action lawsuits and other litigation. These matters may arise from claims relating to consumer protection, lending, servicing, collections, credit reporting, marketing or other aspects of our business. Legal and regulatory actions are inherently unpredictable and, regardless of the merits of the claims, are often expensive, time-consuming, disruptive to our operations and resources, and distracting to management.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matters may involve claims for substantial or indeterminate damages, including statutory damages, penalties assessed on a per-violation basis, or class-wide relief, which could exceed amounts we earned from the underlying activities and may not be fully covered by insurance. Our involvement in any such matters could also cause significant harm to our or our lending partners’ reputations, even if the matters are ultimately resolved in our favor. If resolved against us, such actions could result in significant monetary damages, injunctive or equitable relief, remediation requirements or other adverse consequences that may affect our financial condition and how we operate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participants in the consumer financial services industry, including financial technology companies, have been subject to state attorney general actions and regulatory enforcement proceedings alleging violations of consumer protection, lending, licensing, fair lending or other laws. Any such actions involving us could require significant operational changes, remediation payments or restrictions on our business. In addition, if our arbitration provisions were found to be unenforceable or otherwise limited, our exposure to class action litigation and related costs could increase. From time to time, we may also identify compliance issues that require operational changes or remediation to impacted borrowers, which could result in additional costs, litigation or regulatory scrutiny. The outcome of pending and future legal or regulatory matters could be material to our results of operations, financial condition and cash flows and could materially adversely affect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business is subject to a wide range of laws and regulations, many of which are evolving, and failure or perceived failure to comply with such laws and regulations could harm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federal, state and local laws and regulations aimed at consumer protection in the financial services industry. These laws and regulations are complex, evolving and subject to varying interpretations, including with respect to the application of AI and machine learning technologies and the bank partnership model. The application of these laws and regulations may change over time as new products are introduced, regulatory priorities evolve, or judicial or administrative interpretations develop.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New laws, regulations and regulatory interpretations continue to be adopted and may subject us to increased scrutiny, compliance obligations or operational constraints. As we expand into new markets, introduce new financial products and services and continue to evolve our AI models, additional regulatory requirements may apply. In some cases, we may be required to obtain or maintain licenses or approvals, and regulators could deny applications, delay approvals, impose conditions, levy fines or penalties, or otherwise restrict our ability to operate our marketplace.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subject to heightened regulatory supervision or enforcement at the federal or state level, including by the Consumer Financial Protection Bureau (“CFPB”), state attorneys general or other regulatory agencies. Federal and state regulators have increased scrutiny of fees and practices that may be viewed as unfair, deceptive or abusive, and fees charged in connection with loans facilitated through our marketplace could be subject to challenge or refund.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 regulators have also increased scrutiny of financial technology companies and bank partnership arrangements, including through licensing requirements, enforcement actions or the adoption of laws regulating such relationships. Our business and the activities we facilitate for our lending partners are subject to extensive federal and state laws governing consumer lending, loan servicing and collections, credit reporting, fair lending, privacy and data protection, debt collection, electronic payments, marketing and communications, and related financial services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regulatory framework governing the development and use of AI and machine learning technology is evolving and remains uncertain. Federal and state regulators have increased scrutiny of AI-driven decision-making, including in consumer lending, and have proposed or adopted laws, regulations and guidance addressing AI governance, transparency and discrimination risks. Regulators may require us to demonstrate robust governance, testing, validation, monitoring, documentation and explainability for our AI models and related decisioning processes. In some cases, regulators may seek explanations for specific model outputs or outcomes, which may be difficult, costly or impractical given the complexity of our models. If we are unable to satisfy evolving expectations relating to AI governance or explainability, we may be required to modify, destroy, limit or discontinue certain models, features, data or products, increase manual review or incur additional compliance costs. Certain state laws regulating “high-risk” AI systems may impose additional compliance, governance, disclosure and risk management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use of AI and automated decision-making may also expose us to increased risk of regulatory enforcement actions and other proceedings, supervisory findings or private litigation, including claims alleging discriminatory or disparate impact, unfair or deceptive practices or improper reliance on automated decision making. Such actions or claims, regardless of merit, could result in significant legal costs, remediation requirements, civil penalties, other liabilities, reputational harm or restrictions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While compliance is a business priority, it is costly, time-consuming and may limit our operational flexibility. Changes in law, regulation or regulatory interpretation could restrict interest rates, fees or loan structures, require additional licensing or compliance obligations, or otherwise limit the availability of loans facilitated through our marketplace. If we are found to be non-compliant with applicable laws or regulations, we could be subject to fines, penalties, enforcement actions, loss of licenses or authorizations, litigation or other remedies, and loans facilitated through our marketplace could be rendered void, unenforceable, capped at state specific rates or subject to rescission, any of which could harm our business, financial condition and results of operations. For additional discussion of risks related to regulation of our bank partnership model and true lender considerations, see the risk factor titled </w:t>
      </w:r>
      <w:r>
        <w:rPr>
          <w:color w:val="000000"/>
        </w:rPr>
        <w:t>“—</w:t>
      </w:r>
      <w:r>
        <w:rPr>
          <w:rFonts w:ascii="Times New Roman;serif" w:hAnsi="Times New Roman;serif"/>
          <w:b w:val="false"/>
          <w:i/>
          <w:color w:val="000000"/>
          <w:sz w:val="20"/>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have been in the past and may in the future be subject to federal and state regulatory inquiries, investigations or enforcement actions, which could adversely affect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received, and may continue to receive, inquiries, examinations or investigations from federal, state or local regulatory authorities regarding our business, including our marketplace activities, marketing practices, underwriting and pricing, fair lending compliance, licensing and registration requirements. Responding to such matters can be time-consuming and costly, may divert management attention and resources, and could result in supervisory findings, enforcement actions, fines, penalties, remedial requirements and/or restrictions on our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inquiries or investigations, whether or not they result in formal enforcement action or are ultimately resolved in our favor, may be made public and could harm our reputation, increase scrutiny from other regulators or market participants, and negatively affect borrower, lending partner or investor confidence. The initiation or perception of regulatory investigations could also adversely affect the market price of our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 Any adverse outcomes arising from regulatory matters could materially affect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The CFPB and other consumer protection regulators have broad authority over our business, and increased supervision or enforcement could adversely affect our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CFPB has broad authority to regulate and enforce compliance with federal consumer financial protection laws, including the prohibition on unfair, deceptive or abusive acts or practices (“UDAAP”), and laws governing lending, servicing, collections, credit reporting and related activities. The CFPB also has supervisory authority over certain banks, thrifts and credit unions and certain participants in the consumer financial services market and larger participants in other areas of financial services, including some of our lending partners and our home lending business, and has authority to supervise or investigate other non-bank entities it determines may pose risks to consumers.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Consumer complaints, supervisory findings or enforcement actions, whether involving us, our lending partners, or other market participants, could increase regulatory scrutiny of our business. If the CFPB were to subject us or our subsidiaries to supervision or initiate enforcement proceedings, it could require operational changes, remediation to borrowers, civil monetary penalties, restrictions on our activities or other remedial 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predict how the CFPB or other regulators will exercise their authority in the future or how changes in regulatory priorities or interpretations may affect our business. The CFPB and other regulators have increased scrutiny of the use of alternative data, machine learning and AI-based decision-making in consumer lending, including with respect to fair lending compliance. If regulators determine that aspects of our AI models, disclosures, servicing or collections practices do not comply with applicable laws, we could be required to modify or discontinue products or practices, incur additional compliance costs or face enforcement 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have committed resources to enhancing our compliance programs, regulatory actions involving us, our lending partners, or other market participants could result in reputational harm, loss of lending partners, borrowers or institutional investors, or reduced demand for loans facilitated through our marketplace. Any of the foregoing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establishing the interest rates and fee structures charged to borrowers on loans originated through our marketplace, our lending partners rely on federal law preemption of state law to export the interest rate requirements of their home states. We, our securitization vehicles, our institutional investors, and warehouse credit facilities similarly rely on the ability to enforce the agreed-upon loan terms following the sale or assignment of such loans. States have enacted, and may continue to enact, laws or take regulatory or enforcement actions that seek to limit interest rate exportation, challenge federal preemption, impose additional licensing requirements or otherwise restrict bank-partnership lending models.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Usury, fee and disclosure-related claims involving Upstart-powered loans may be raised through litigation, government enforcement or other challenges. Certain courts, regulators and private plaintiffs have challenged, and may continue to challenge, the enforceability of bank-originated loans following their sale or assignment to non-bank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states have enacted, and may continue to enact, “true lender” or similar laws or apply regulatory or judicial tests to determine whether a non-bank platform is deemed to be the lender for purposes of state consumer lending laws. If a borrower or state authority were to successfully assert that we, rather than our lending partners, are the true lender of loans facilitated through our marketplace, such loans could be unenforceable,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limits on the interest that can be collected, rescission or otherwise impaired, and we or other program participants could face monetary, injunctive or other penalties.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originated through Upstart’s marketplace are originated in reliance on our lending partners being the “true lenders” for such loans. Their status as the originating lender determines various loan program details, including the interest rates and fees permissible at origination, since the loan terms and lending practices are set by duly chartered banks or credit unions. Because the loans facilitated by our marketplace are originated by our lending partners, many state consumer financial regulatory requirements, including state usury restrictions, licensing requirements and certain requirements under state consumer credit laws, are inapplicable to the loans, based on principles of federal preemption.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have taken steps to structure our programs in compliance with applicable laws and guidance, there can be no assurance that future regulatory, legislative or judicial developments will not adversely affect the enforceability or transferability of Upstart-powered loans, or the willingness of lending partners or investors to participate in our marketplace.</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The collection, use, storage, sharing and other processing of personal information subjects us to privacy and data protection laws and regulations, and failures to comply could adversely affect our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receive, transmit, store and otherwise process large volumes of personal information and other sensitive data from applicants and borrowers. In some cases, this information may include sensitive or biometric data as defined by applicable state law. We share personal information with lending partners and, in more limited circumstances, with institutional investors, subject to contractual, legal and regulatory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our lending partners are subject to a growing body of federal and state privacy and data protection laws and regulations governing the collection, use, disclosure, storage, safeguarding and other processing of personal information. These laws and regulations are evolving and subject to differing interpretations, and impose obligations relating to disclosure, consent, data security, data use, data retention, automated decision making and other aspects of data processing. For example, we are subject to privacy and data protection requirements under laws such as the Gramm-Leach-Bliley Act, which are enforced by regulators including the CFPB and the FTC, and violations may be treated as unfair or deceptive acts or practices.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Regulators have increased scrutiny of data security practices, third-party data sharing and user interface or design practices that may be viewed as unfair, deceptive or manipulative. In addition, state privacy laws, including those adopted in California and other jurisdictions, impose additional compliance obligations and have been the basis for increased regulatory enforcement and private litigation.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efforts to comply with current and future privacy and data protection laws and regulations could result in increased compliance, technical or operating costs and may require us to modify our data infrastructure, data processing practices or business operations. Any actual or perceived violations of these laws and regulations could result in regulatory investigations, enforcement actions and other proceedings, litigation, contractual liability with lending partners, investors, or vendors, remediation costs, reputational harm or restrictions on our ability to operate our business, which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deemed to be an investment company, investment adviser or broker-dealer, or if our securities-related activities fail to comply with applicable laws, our business could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neither we nor our subsidiaries are required to register as an investment company under the Investment Company Act of 1940, as amended, because we are primarily engaged in operating an AI-based lending marketplace and providing technology and related services to lending partners. However, the SEC or its staff could disagree with our analysis, including with respect to whether loans or interests in loans held on our balance sheet constitute “investment securities.”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deemed to be an investment company, we could be required to institute burdensome compliance requirements and be subject to restrictions on our activities, transactions with affiliates, borrowings and capital structure, as well as additional reporting and governance obligations, any of which could materially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believe that neither we nor our subsidiaries are required to register as an investment adviser under the Investment Advisers Act of 1940, as amended, or as a broker-dealer under the Securities Exchange Act of 1934, as amended, based on the nature of our activities and applicable guidance. However, regulatory interpretations or guidance could change, or regulators could disagree with our positions. If we or any of our subsidiaries were required to register or notice-file as an investment adviser or broker-dealer, or otherwise become subject to such regulatory regimes, we could be required to make significant changes to our business operations, compensation structures, marketing practices or 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transactions involving institutional investors or loan financing arrangements may rely on exemptions from registration under the Securities Act of 1933, as amended, including Regulation D or Section 4(a)(2). If such transactions were found not to qualify for an exemption or otherwise violate securities laws, we could be subject to rescission claims, enforcement actions, civil penalties or restrictions on future financing activities, including potential “bad actor” disqualification. Any of the foregoing could materially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Anti-money laundering, sanctions and anti-corruption laws could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anti-money laundering, counter-terrorism financing, economic sanctions and anti-corruption laws and regulations, including the Bank Secrecy Act, the USA PATRIOT Act, sanctions administered by the Office of Foreign Assets Control and the Foreign Corrupt Practices Act, either directly or through our lending partners who are subject to such laws. These laws impose obligations related to borrower due diligence, transaction monitoring, recordkeeping, reporting and restrictions on dealings with sanctioned persons or jurisdictions.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Despite our compliance efforts, we cannot provide assurance that our policies, procedures and controls will be effective to prevent violations of these laws by us, our employees, agents, vendors, lending partners or other third parties. Violations or perceived violations of these laws could result in significant fines, penalties, remediation costs, contractual liability, restrictions on our activities and reputational harm, any of which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RISKS RELATED TO INDEBTEDNESS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rely on borrowings under our warehouse credit facilities and risk retention financing facilities to fund certain aspects of our operations, and any inability to meet our obligations as they come due or to comply with various covenants or representations contained in our warehouse credit facilities could harm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borrowings under warehouse credit facilities and risk retention financing facilities to fund certain aspects of our operations, including financing loans and retained interests. These facilities are collateral-based and are secured by loans or securitization-related assets held by special purpose entities. Our ability to access and maintain these facilities depends on the performance and value of the underlying collateral, compliance with applicable covenants and representations, and the continued willingness of lenders to provide financing.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warehouse credit facilities and risk retention financing facilities contain operating and financial covenants and other requirements, and under certain circumstances lenders may reduce availability, require repayment of outstanding borrowings, impose additional conditions or terminate their commitments. If we fail to comply with these requirements or experience an event of default, we could be required to repay borrowings, post additional collateral, liquidate assets at unfavorable prices or seek alternative financing, which may be more costly or unavailable.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reduction, suspension or termination of these financing arrangements could limit our ability to purchase or hold loans, reduce loan origination volumes, increase our funding costs or require greater reliance on our balance sheet. If we are unable to obtain replacement financing on acceptable terms, or at all,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Corporate and asset-backed debt ratings could adversely affect our ability to support loan funding for our marketplace at attractive rates, which could negatively affect our results of operations, financial condition and liquidity.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unsecured senior corporate debt may be unrated or rated by a limited number of credit rating agencies. Asset-backed securities sponsored or co-sponsored by us may be rated by a limited number of credit rating agencies. Ratings assigned to us or to asset-backed securities backed by Upstart-powered loans reflect rating agencies’ opinions regarding the credit performance of the underlying receivables, the ability of cash flows to service interest and repay principal, and the performance of us and other service providers under the applicable transaction documents.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asset-backed securities have been subject to downgrades in the past, and any future downgrade, withdrawal or non-publication of ratings could reduce investor demand, increase funding costs or otherwise limit our ability to provide liquidity or financing to our lending partners and institutional investors. The absence of a corporate debt rating, limited ratings coverage, or adverse rating actions with respect to our asset-backed securities could adversely affect our liquidity,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need to raise additional funds in the future, including through equity, equity-linked, or debt financings, to support business growth, and those funds may not be available on acceptable terms, or at all.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continue to make investments to support our business growth and may require additional funds to respond to business challenges, including developing new loan products, enhancing our AI models, supplementing loan funding, improving our operating infrastructure, acquiring complementary businesses or technologies, or making strategic investments. As a result, we may need to raise additional capital through equity, equity-linked or debt financings.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by issuing equity or equity-linked securities, our stockholders may experience dilution. Debt financing, if available, may involve protective provisions or covenants that restrict our operations or financial flexibility, and any financing we obtain may contain terms that are not favorable to us or our stockholders. If we are unable to obtain adequate financing on satisfactory terms when required, we may be unable to pursue certain business opportunities, respond effectively to business challenges or continue to support our business growth,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issued the Notes and may issue additional equity-linked or debt securities in the future. Holders of the Notes may have the right to require us to repurchase their Notes upon the occurrence of certain events, and upon conversion we may be required to make cash payments unless we elect to settle conversions solely in shares of our common stock. We are also required to repay the Notes in cash at maturity unless earlier converted, redeemed or repurchased. We may not have sufficient cash or be able to obtain financing at the times required to meet these obligations, and our ability to do so may be limited by law, regulatory authority or agreements governing our indebtedness. Any failure to meet these obligations could result in defaults or cross-defaults that adversely affect our liquidity,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Provisions in the Indentures governing the Notes may deter or prevent a business combination that may be favorable to you.</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 fundamental change (as defined in the applicable Indenture governing the Notes (each an “Indenture”)) occurs prior to the maturity date for a series of Notes, holders of the applicable series of Notes will have the right, at their option, to require us to repurchase all or a portion of such Notes. In addition, if a make-whole fundamental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 (as defined in the applicable Indenture governing the Notes) occurs prior to the maturity date of the applicable series of Notes, we may be required to increase the conversion rate for holders that elect to convert their Notes in connection with such make-whole fundamental change, in the manner specified in the applicable Indenture.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Indentures restrict our ability to engage in certain mergers, consolidations or similar transactions unless, among other things, the surviving entity assumes our obligations under the Notes. These and other provisions in the Indentures could discourage, delay or prevent a third party from acquiring us or otherwise engaging in a transaction that may be favorable to our stockholders.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TAXES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ability to use our deferred tax assets to offset future taxable income may be subject to certain limitations, which may have a material impact on our result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we have recorded a valuation allowance to recognize only deferred tax assets that are more likely than not to be realized in the U.S. federal, state and local tax jurisdictions. We assess available positive and negative evidence to determine whether sufficient future taxable income will be generated to utilize our deferred tax assets. Certain deferred tax assets may expire unused or underutilized, which could prevent us from offsetting future taxable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limited in the portion of net operating losses (“NOLs”) that we can use to offset taxable income for U.S. federal and state income tax purposes. The Tax Cuts and Jobs Act made significant changes to the utilization of NOLs. In addition, under Section 382 of the Internal Revenue Code of 1986, as amended, an ownership change may limit our ability to utilize NOLs. Future changes in our stock ownership, including equity issuances, share repurchases or other transactions, could result in an ownership change for this purpose. Limitations may also apply under state and local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continue to assess the realizability of our deferred tax assets, and future adjustments to our valuation allowance may be required, which could materially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Changes in tax laws could have a material adverse effect on our business, financial condition and results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state and local taxes in the jurisdictions in which we operate, and applicable tax laws and rates vary and are subject to interpretation and change. We may be subject to examination by tax authorities on income, employment, and other tax matters. Although we regularly assess the adequacy of our tax provisions, there can be no assurance that such provisions will be sufficient or will not be subject to challenge or that an adverse determination would not have a material effect on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the ultimate amount of tax payable in a given financial statement period may be impacted by changes in tax laws, interpretations, accounting rules or the geographic mix of our earnings, which could cause our tax obligations to differ materially from amounts recorded in our financial statements. As a result, our tax provision involves significant judgment and uncertainty, and fluctuations in our ultimate tax liabilities could materially affect our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application of indirect taxes, such as sales and use tax, value-added tax, digital services tax, gross receipts tax, and other similar taxes to platform and financial technology businesses is complex and evolving. Many of the statutes and regulations that impose these taxes were established before the adoption and growth of the Internet and e-commerce.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Proposed or newly enacted laws or interpretations regarding indirect taxes could increase our compliance obligation. Any failure by us to prepare for or comply with applicable reporting and record-keeping requirements could result in penalties and other sanctions and could adversely affect our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faced, and may face in the future, indirect tax audits in various U.S. jurisdictions. Tax authorities may challenge our calculation, reporting or collection of taxes and may require us to collect taxes in jurisdictions in which we do not currently do so or to remit additional taxes and interest, and could impose associated penalties and fees. Although we have recorded reserves for potential payments of past tax liabilities in our financial statements, a successful assertion by one or more tax authorities could result in substantial tax liabilities in excess of such reserves as well as penalties and interest, and could harm our business, financial condition and results of operations. As a result,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trading price of our common stock may be volatile, and you could lose all or part of your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may be volatile and could fluctuate significantly in response to various factors, many of which are beyond our control. These fluctuations could cause you to lose all or part of your investment. Factors that could affect the trading price of our common stock include general market and economic conditions, volatility in the trading prices of financial technology and technology companies, changes in interest or inflation rates, a reduction in the availability of loan funding and liquidity from lending partners and institutional investors, quarterly fluctuations in demand for the loans we facilitate through our marketplace, changes in our operating performance or results of operations, sales or issuances of shares of our common stock, whether in connection with an acquisition or upon conversion of some or all of the outstanding Notes, analyst coverage or reports, announcements by us or our competitors, litigation or regulatory actions, data security incidents, changes in laws or accounting standards, developments relating to our intellectual property, market perception of our AI models, changes in the competitive landscape, and other events or factors beyond our control.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stock market has experienced extreme price and volume fluctuations that have often been unrelated or disproportionate to the operating performance of individual companies. As a result, the market price of our common stock may be affected by factors unrelated to our operating performance. In addition, securities class action litigation such as the litigation we are subject to has often been instituted following periods of market volatility, which could result in substantial costs and divert management’s attention and resources, potentially harming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capped call transactions entered into in connection with the issuance of certain of the Notes may affect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certain of the Notes, we entered into privately negotiated capped call transactions with certain financial institutions as counterparties. These capped call transactions are expected generally to reduce the potential dilution to our common stock upon any conversion of the applicable Notes and/or offset any cash payments we may be required to make in excess of the principal amount of such converted Notes, as the case may be, with such reduction and/or offset subject to a cap.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This activity could also cause or prevent an increase or a decrease in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Certain insiders have significant voting power, which could limit your ability to influence the outcome of key transactions, including a change of control.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directors, officers, and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large number of shares of our capital stock eligible or registered for public sale could depress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could decline as a result of sales of a large number of shares of our common stock, or the perception that such sales could occur. Subject to applicable vesting conditions and compliance with our insider trading policies, shares issued upon the settlement of equity awards or other equity issuances may be available for resale in the open market. In addition, shares may be sold into the market in connection with “sell-to-cover” transactions to satisfy tax withholding obligations upon the vesting of equity awards, which could increase selling pressure on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register shares for resale or issue shares in connection with financings or other transactions. We have an effective shelf registration statement on Form S-3ASR that permits us to offer and sell shares of our common stock, including through an “at-the-market” offering program. Sales of our shares could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more difficult for us to sell equity securities in the future at times and prices that we deem appropriate, could cause the trading price of our common stock to decline, and could make it more difficult for stockholders to sell their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You may be diluted by the future issuance of additional common stock in connection with our equity incentive plans, acquisitions or otherwise.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issue additional shares of our common stock in the future in connection with financings, acquisitions, investments, our equity incentive plans or otherwise. We expect to continue granting equity awards to employees, directors and consultants under our equity incentive plans, and we may also raise capital through equity financings in the future. Any common stock that we issue pursuant to equity incentive plans, financings or acquisitions could dilute the percentage ownership held by existing stockholders and could result in a decline in the per-share value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Transactions relating to the Notes may dilute the ownership interest of stockholders, or may otherwise depress the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Notes are converted by holders, we are required under the applicable Indentures to pay or deliver, as the case may be, cash, shares of our common stock, or a combination of cash and shares of common stock, at our election. If we elect to deliver shares of common stock upon conversion of the Notes, it would dilute the ownership interests of existing stockholders. Any sales in the public market of the common stock issuable upon such conversion could adversely affect prevailing market prices of our common stock. In addition, certain holders of the Notes may engage in short selling to hedge their position in the Notes. Anticipated future issuances of shares of our common stock upon conversion of the Notes could depress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Delaware law and provisions in our amended and restated certificate of incorporation and amended and restated bylaws could make a merger, tender offer, or proxy contest difficult, thereby depressing the market price of our common stock.</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Board of Directors is classified into three classes with staggered three-year terms and directors may only be removed for cause;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vacancies and newly-created seats on our Board of Directors will be able to be filled only by our Board of Directors and not by stockholders;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only the Chair of our Board of Directors, our Chief Executive Officer, our president, or a majority of our entire Board of Directors are authorized to call a special meeting of stockholders;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certain litigation against us or our directors, stockholders, officers or employees can only be brought in Delaware;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are the sole and exclusive forum for resolving any complaint asserting a cause of action arising under the Securities Act. Although we believe these provisions are enforceable, there is uncertainty as to whether a court would enforce such forum-selection provisions, and if a court were to find them unenforceable, we could incur additional costs associated with resolving disputes in other jurisdictions.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common stock market price and trading volume could decline if equity or industry analysts do not publish research or publish inaccurate or unfavorable research about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could cause the price and trading volume of our common stock to decline.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do not intend to pay dividends for the foreseeable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corporate debt agreements may preclude us from paying dividends. As a result, capital appreciation of our common stock, if any, will be the only way for stockholders to realize any future gains on their investment for the foreseeable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pPr>
      <w:r>
        <w:rPr>
          <w:rFonts w:ascii="Times New Roman;serif" w:hAnsi="Times New Roman;serif"/>
          <w:b/>
          <w:color w:val="000000"/>
          <w:sz w:val="22"/>
        </w:rPr>
        <w:t xml:space="preserve">ITEM 2. UNREGISTERED SALES OF EQUITY SECURITIES </w:t>
      </w:r>
      <w:r>
        <w:rPr>
          <w:rFonts w:ascii="Times New Roman;serif" w:hAnsi="Times New Roman;serif"/>
          <w:b/>
          <w:color w:val="000000"/>
          <w:sz w:val="22"/>
          <w:shd w:fill="FFFFFF" w:val="clear"/>
        </w:rPr>
        <w:t>AND USE OF PROCEEDS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repurchases of our common stock during the three months ended March 31, 2026: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519"/>
        <w:gridCol w:w="401"/>
        <w:gridCol w:w="406"/>
        <w:gridCol w:w="109"/>
        <w:gridCol w:w="109"/>
        <w:gridCol w:w="109"/>
        <w:gridCol w:w="705"/>
        <w:gridCol w:w="468"/>
        <w:gridCol w:w="469"/>
        <w:gridCol w:w="109"/>
        <w:gridCol w:w="109"/>
        <w:gridCol w:w="109"/>
        <w:gridCol w:w="336"/>
        <w:gridCol w:w="646"/>
        <w:gridCol w:w="175"/>
        <w:gridCol w:w="109"/>
        <w:gridCol w:w="109"/>
        <w:gridCol w:w="109"/>
        <w:gridCol w:w="931"/>
        <w:gridCol w:w="702"/>
        <w:gridCol w:w="704"/>
        <w:gridCol w:w="109"/>
        <w:gridCol w:w="109"/>
        <w:gridCol w:w="109"/>
        <w:gridCol w:w="430"/>
        <w:gridCol w:w="1683"/>
        <w:gridCol w:w="322"/>
      </w:tblGrid>
      <w:tr>
        <w:trPr/>
        <w:tc>
          <w:tcPr>
            <w:tcW w:w="51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 Price Paid per Share</w:t>
            </w:r>
            <w:r>
              <w:rPr>
                <w:rFonts w:ascii="Times New Roman;serif" w:hAnsi="Times New Roman;serif"/>
                <w:b/>
                <w:color w:val="000000"/>
                <w:sz w:val="13"/>
              </w:rPr>
              <w:t>(2)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through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222,117 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through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3,193,294 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3,193,294 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3,193,294 </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3,193,294 </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122,061 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both"/>
        <w:rPr/>
      </w:pPr>
      <w:r>
        <w:rPr>
          <w:rFonts w:ascii="Times New Roman;serif" w:hAnsi="Times New Roman;serif"/>
          <w:b w:val="false"/>
          <w:color w:val="000000"/>
          <w:sz w:val="16"/>
        </w:rPr>
        <w:t>(1) In February 2022, the Board of Directors authorized a share repurchase program to purchase up to $400.0 million of the Company’s common stock. Repurchases under the program may be executed from time to time through open market purchases, in privately negotiated transactions or by other means, including through the use of trading plans intended to qualify under Rule 10b5-1. The repurchase program does not obligate the Company to acquire any particular amount of common stock, has no expiration date, and may be modified, suspended or terminated at any time at the Company’s discretion. See “</w:t>
      </w:r>
      <w:r>
        <w:rPr>
          <w:rFonts w:ascii="Times New Roman;serif" w:hAnsi="Times New Roman;serif"/>
          <w:b w:val="false"/>
          <w:i/>
          <w:color w:val="000000"/>
          <w:sz w:val="16"/>
        </w:rPr>
        <w:t>Note 9. Stockholders' Equity</w:t>
      </w:r>
      <w:r>
        <w:rPr>
          <w:color w:val="000000"/>
        </w:rPr>
        <w:t xml:space="preserve">” </w:t>
      </w:r>
      <w:r>
        <w:rPr>
          <w:rFonts w:ascii="Times New Roman;serif" w:hAnsi="Times New Roman;serif"/>
          <w:b w:val="false"/>
          <w:color w:val="000000"/>
          <w:sz w:val="16"/>
        </w:rPr>
        <w:t xml:space="preserve">in Part </w:t>
      </w:r>
      <w:r>
        <w:rPr>
          <w:rFonts w:ascii="Times New Roman;serif" w:hAnsi="Times New Roman;serif"/>
          <w:b w:val="false"/>
          <w:color w:val="000000"/>
          <w:sz w:val="16"/>
          <w:shd w:fill="FFFFFF" w:val="clear"/>
        </w:rPr>
        <w:t>I, Item 1</w:t>
      </w:r>
      <w:r>
        <w:rPr>
          <w:color w:val="000000"/>
        </w:rPr>
        <w:t xml:space="preserve"> </w:t>
      </w:r>
      <w:r>
        <w:rPr>
          <w:rFonts w:ascii="Times New Roman;serif" w:hAnsi="Times New Roman;serif"/>
          <w:b w:val="false"/>
          <w:color w:val="000000"/>
          <w:sz w:val="16"/>
        </w:rPr>
        <w:t>of this Quarterly Report on Form 10-Q for details related to the share repurchase program.</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Average price paid per share excludes commission costs associated with the repurchases. Amounts presented exclude excise tax accrual.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60" w:after="283"/>
        <w:jc w:val="left"/>
        <w:rPr/>
      </w:pPr>
      <w:hyperlink w:anchor="iac68b42b683848a6a74b4669307bf513_29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Securities Trading Plans of Executive Officers and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following director and officer (as defined in Rule 16a-1(f) of the Exchange Act) of the Company terminated a “Rule 10b5-1 trading arrangement” (as defined under Item 408(a) of Regulation 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and title of director and officer: Dave Girouard, Former Chief Executive Officer, Executive Chairman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of termination: March 6,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Duration of the trading arrangement: Through December 31, 2026 or earlier if all transactions under the trading arrangement are completed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number of securities to be sold from time to time: up to 1,576,000 shares, including shares issuable upon the exercise of outstanding options upon reaching the pricing targets defined in the trading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 of the Company’s other officers or directors adopted, modified, or terminated a “Rule 10b5-1 trading arrangement” or adopted, modified, or terminated a “non-Rule 10b5-1 trading arrangement” (as defined under Item 408(a) of Regulation S-K) during the quarter ended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7"/>
        <w:gridCol w:w="313"/>
        <w:gridCol w:w="314"/>
        <w:gridCol w:w="109"/>
        <w:gridCol w:w="109"/>
        <w:gridCol w:w="109"/>
        <w:gridCol w:w="1733"/>
        <w:gridCol w:w="1566"/>
        <w:gridCol w:w="1582"/>
        <w:gridCol w:w="109"/>
        <w:gridCol w:w="109"/>
        <w:gridCol w:w="109"/>
        <w:gridCol w:w="195"/>
        <w:gridCol w:w="195"/>
        <w:gridCol w:w="196"/>
        <w:gridCol w:w="109"/>
        <w:gridCol w:w="109"/>
        <w:gridCol w:w="109"/>
        <w:gridCol w:w="185"/>
        <w:gridCol w:w="185"/>
        <w:gridCol w:w="161"/>
        <w:gridCol w:w="121"/>
        <w:gridCol w:w="121"/>
        <w:gridCol w:w="121"/>
        <w:gridCol w:w="245"/>
        <w:gridCol w:w="245"/>
        <w:gridCol w:w="246"/>
        <w:gridCol w:w="121"/>
        <w:gridCol w:w="121"/>
        <w:gridCol w:w="121"/>
        <w:gridCol w:w="225"/>
        <w:gridCol w:w="225"/>
        <w:gridCol w:w="330"/>
      </w:tblGrid>
      <w:tr>
        <w:trPr/>
        <w:tc>
          <w:tcPr>
            <w:tcW w:w="3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File No. </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w:anchor="exhibit101q12026.htm">
              <w:r>
                <w:rPr>
                  <w:rStyle w:val="InternetLink"/>
                  <w:rFonts w:ascii="Times New Roman;serif" w:hAnsi="Times New Roman;serif"/>
                  <w:b w:val="false"/>
                  <w:color w:val="000080"/>
                  <w:sz w:val="20"/>
                  <w:u w:val="single"/>
                </w:rPr>
                <w:t>Employment Offer Letter</w:t>
              </w:r>
            </w:hyperlink>
            <w:hyperlink w:anchor="exhibit101q12026.htm">
              <w:r>
                <w:rPr>
                  <w:rStyle w:val="InternetLink"/>
                  <w:rFonts w:ascii="Times New Roman;serif" w:hAnsi="Times New Roman;serif"/>
                  <w:b w:val="false"/>
                  <w:color w:val="000080"/>
                  <w:sz w:val="20"/>
                  <w:u w:val="single"/>
                </w:rPr>
                <w:t xml:space="preserve"> between Upstart Network, Inc. and </w:t>
              </w:r>
            </w:hyperlink>
            <w:hyperlink w:anchor="exhibit101q12026.htm">
              <w:r>
                <w:rPr>
                  <w:rStyle w:val="InternetLink"/>
                  <w:rFonts w:ascii="Times New Roman;serif" w:hAnsi="Times New Roman;serif"/>
                  <w:b w:val="false"/>
                  <w:color w:val="000080"/>
                  <w:sz w:val="20"/>
                  <w:u w:val="single"/>
                </w:rPr>
                <w:t>Andrea Blankmeyer</w:t>
              </w:r>
            </w:hyperlink>
            <w:hyperlink w:anchor="exhibit101q12026.htm">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11q12026.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hibit312q12026.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q12026.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212529"/>
          <w:shd w:fill="FFFFFF" w:val="clear"/>
        </w:rPr>
      </w:pPr>
      <w:r>
        <w:rPr>
          <w:color w:val="212529"/>
          <w:shd w:fill="FFFFFF" w:val="clear"/>
        </w:rPr>
        <w:t>—————</w:t>
      </w:r>
    </w:p>
    <w:p>
      <w:pPr>
        <w:pStyle w:val="TextBody"/>
        <w:bidi w:val="0"/>
        <w:spacing w:lineRule="auto" w:line="288" w:before="0" w:after="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    Filed herewith. </w:t>
      </w:r>
    </w:p>
    <w:p>
      <w:pPr>
        <w:pStyle w:val="TextBody"/>
        <w:bidi w:val="0"/>
        <w:spacing w:lineRule="auto" w:line="288" w:before="0" w:after="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Indicates management contract or compensatory plan.</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60" w:after="283"/>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32" w:type="dxa"/>
        <w:jc w:val="center"/>
        <w:tblInd w:w="0" w:type="dxa"/>
        <w:tblLayout w:type="fixed"/>
        <w:tblCellMar>
          <w:top w:w="28" w:type="dxa"/>
          <w:left w:w="28" w:type="dxa"/>
          <w:bottom w:w="28" w:type="dxa"/>
          <w:right w:w="28" w:type="dxa"/>
        </w:tblCellMar>
      </w:tblPr>
      <w:tblGrid>
        <w:gridCol w:w="591"/>
        <w:gridCol w:w="520"/>
        <w:gridCol w:w="523"/>
        <w:gridCol w:w="323"/>
        <w:gridCol w:w="323"/>
        <w:gridCol w:w="323"/>
        <w:gridCol w:w="1016"/>
        <w:gridCol w:w="1016"/>
        <w:gridCol w:w="1043"/>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Upstart Holdings,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Paul Gu</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Paul Gu</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Andrea Blankmeyer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Andrea Blankmeyer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562100" cy="323850"/>
            <wp:effectExtent l="0" t="0" r="0" b="0"/>
            <wp:docPr id="1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 descr=""/>
                    <pic:cNvPicPr>
                      <a:picLocks noChangeAspect="1" noChangeArrowheads="1"/>
                    </pic:cNvPicPr>
                  </pic:nvPicPr>
                  <pic:blipFill>
                    <a:blip r:embed="rId3"/>
                    <a:stretch>
                      <a:fillRect/>
                    </a:stretch>
                  </pic:blipFill>
                  <pic:spPr bwMode="auto">
                    <a:xfrm>
                      <a:off x="0" y="0"/>
                      <a:ext cx="1562100" cy="323850"/>
                    </a:xfrm>
                    <a:prstGeom prst="rect">
                      <a:avLst/>
                    </a:prstGeom>
                  </pic:spPr>
                </pic:pic>
              </a:graphicData>
            </a:graphic>
          </wp:inline>
        </w:drawing>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179" w:after="283"/>
        <w:jc w:val="left"/>
        <w:rPr/>
      </w:pPr>
      <w:r>
        <w:rPr/>
      </w:r>
    </w:p>
    <w:p>
      <w:pPr>
        <w:pStyle w:val="TextBody"/>
        <w:bidi w:val="0"/>
        <w:spacing w:lineRule="auto" w:line="288" w:before="323" w:after="283"/>
        <w:jc w:val="left"/>
        <w:rPr>
          <w:rFonts w:ascii="Times New Roman;serif" w:hAnsi="Times New Roman;serif"/>
          <w:b w:val="false"/>
          <w:color w:val="000000"/>
          <w:sz w:val="24"/>
        </w:rPr>
      </w:pPr>
      <w:r>
        <w:rPr>
          <w:rFonts w:ascii="Times New Roman;serif" w:hAnsi="Times New Roman;serif"/>
          <w:b w:val="false"/>
          <w:color w:val="000000"/>
          <w:sz w:val="24"/>
        </w:rPr>
        <w:t>Andrea Blankmeyer</w:t>
      </w:r>
    </w:p>
    <w:p>
      <w:pPr>
        <w:pStyle w:val="TextBody"/>
        <w:bidi w:val="0"/>
        <w:spacing w:lineRule="auto" w:line="288" w:before="35" w:after="283"/>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615"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Dear Andrea: </w:t>
      </w:r>
    </w:p>
    <w:p>
      <w:pPr>
        <w:pStyle w:val="TextBody"/>
        <w:bidi w:val="0"/>
        <w:spacing w:lineRule="auto" w:line="307" w:before="323" w:after="283"/>
        <w:ind w:left="0" w:right="0" w:firstLine="9"/>
        <w:jc w:val="left"/>
        <w:rPr>
          <w:rFonts w:ascii="Times New Roman;serif" w:hAnsi="Times New Roman;serif"/>
          <w:b w:val="false"/>
          <w:color w:val="000000"/>
          <w:sz w:val="24"/>
        </w:rPr>
      </w:pPr>
      <w:r>
        <w:rPr>
          <w:rFonts w:ascii="Times New Roman;serif" w:hAnsi="Times New Roman;serif"/>
          <w:b w:val="false"/>
          <w:color w:val="000000"/>
          <w:sz w:val="24"/>
        </w:rPr>
        <w:t xml:space="preserve">Upstart Network, Inc., a Delaware corporation (the “Company”), is pleased to offer you employment with the Company on the terms described below. </w:t>
      </w:r>
    </w:p>
    <w:p>
      <w:pPr>
        <w:pStyle w:val="TextBody"/>
        <w:bidi w:val="0"/>
        <w:spacing w:lineRule="auto" w:line="304" w:before="300" w:after="283"/>
        <w:ind w:left="0" w:right="0" w:firstLine="13"/>
        <w:jc w:val="left"/>
        <w:rPr/>
      </w:pPr>
      <w:r>
        <w:rPr>
          <w:rFonts w:ascii="Times New Roman;serif" w:hAnsi="Times New Roman;serif"/>
          <w:b/>
          <w:color w:val="000000"/>
          <w:sz w:val="24"/>
        </w:rPr>
        <w:t>1. Position</w:t>
      </w:r>
      <w:r>
        <w:rPr>
          <w:rFonts w:ascii="Times New Roman;serif" w:hAnsi="Times New Roman;serif"/>
          <w:b w:val="false"/>
          <w:color w:val="000000"/>
          <w:sz w:val="24"/>
        </w:rPr>
        <w:t xml:space="preserve">. You will start in a full-time position initially reporting to the Chief Executive Officer. When you join the Company, we will recommend to the Board of Upstart Holdings, Inc., the parent company of the Company (“Upstart”), that you be appointed the Chief Financial Officer of Upstart. By signing this letter, you confirm with the Company that you are under no contractual or other legal obligations that would prohibit you from performing your duties with the Company and Upstart. </w:t>
      </w:r>
    </w:p>
    <w:p>
      <w:pPr>
        <w:pStyle w:val="TextBody"/>
        <w:bidi w:val="0"/>
        <w:spacing w:lineRule="auto" w:line="288" w:before="240" w:after="200"/>
        <w:jc w:val="left"/>
        <w:rPr/>
      </w:pPr>
      <w:r>
        <w:rPr>
          <w:rFonts w:ascii="Times New Roman;serif" w:hAnsi="Times New Roman;serif"/>
          <w:b/>
          <w:color w:val="000000"/>
          <w:sz w:val="24"/>
        </w:rPr>
        <w:t xml:space="preserve">2. Compensation and Employee Benefits. </w:t>
      </w:r>
      <w:r>
        <w:rPr>
          <w:rFonts w:ascii="Times New Roman;serif" w:hAnsi="Times New Roman;serif"/>
          <w:b w:val="false"/>
          <w:color w:val="000000"/>
          <w:sz w:val="24"/>
        </w:rPr>
        <w:t>You will be paid a starting salary at the rate of $450,000.00 per year, payable on the Company’s regular payroll dates. You will be eligible to earn a target discretionary bonus in 2026 of 75% based on company and individual performance. You will also be an “Eligible Employee” at the Tier 2 level under Upstart’s Executive Change in Control and Severance Policy (the “Severance Policy”), and your Participation Agreement under such Policy is attached hereto as Exhibit A. In addition, notwithstanding anything in this offer letter, the other terms of your employment or any Company policies, if you are subject to a Non-CIC Qualified Termination at any time, you will be eligible to receive the applicable Salary Severance and COBRA Benefit set forth below upon a Non-CIC Qualified Termination. A Non-CIC Qualified Termination is a termination of your employment either (x) by the Company without Cause (as defined in the Severance Policy, excluding by reason of your death or Disability) or (y) by you for Good Reason (as defined in the Severance Policy), in either case, outside of the Change in Control Period (as defined in the Severance Policy).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4"/>
        </w:rPr>
        <w:t>Salary Severance: 12 months, provided that if such Non-CIC Qualified Termination occurs in the first 12 months of your employment such Salary Severance will be 6 months.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4"/>
        </w:rPr>
        <w:t>COBRA Benefit: 12 months, provided that if such Non-CIC Qualified Termination occurs in the first 12 months of your employment such COBRA Benefit will be 6 months.</w:t>
      </w:r>
    </w:p>
    <w:p>
      <w:pPr>
        <w:pStyle w:val="TextBody"/>
        <w:bidi w:val="0"/>
        <w:spacing w:lineRule="auto" w:line="304" w:before="301" w:after="283"/>
        <w:jc w:val="left"/>
        <w:rPr>
          <w:rFonts w:ascii="Times New Roman;serif" w:hAnsi="Times New Roman;serif"/>
          <w:b/>
          <w:color w:val="000000"/>
          <w:sz w:val="24"/>
        </w:rPr>
      </w:pPr>
      <w:r>
        <w:rPr>
          <w:rFonts w:ascii="Times New Roman;serif" w:hAnsi="Times New Roman;serif"/>
          <w:b/>
          <w:color w:val="000000"/>
          <w:sz w:val="24"/>
        </w:rPr>
        <w:t xml:space="preserve">3. Equity </w:t>
      </w:r>
    </w:p>
    <w:p>
      <w:pPr>
        <w:pStyle w:val="TextBody"/>
        <w:bidi w:val="0"/>
        <w:spacing w:lineRule="auto" w:line="304" w:before="301" w:after="283"/>
        <w:ind w:left="0" w:right="0" w:firstLine="7"/>
        <w:jc w:val="left"/>
        <w:rPr/>
      </w:pPr>
      <w:r>
        <w:rPr>
          <w:rFonts w:ascii="Times New Roman;serif" w:hAnsi="Times New Roman;serif"/>
          <w:b/>
          <w:color w:val="000000"/>
          <w:sz w:val="24"/>
        </w:rPr>
        <w:t>Restricted Stock Units</w:t>
      </w:r>
      <w:r>
        <w:rPr>
          <w:rFonts w:ascii="Times New Roman;serif" w:hAnsi="Times New Roman;serif"/>
          <w:b/>
          <w:color w:val="000000"/>
          <w:sz w:val="24"/>
          <w:shd w:fill="FFFFFF" w:val="clear"/>
        </w:rPr>
        <w:t xml:space="preserve">. </w:t>
      </w:r>
      <w:r>
        <w:rPr>
          <w:rFonts w:ascii="Times New Roman;serif" w:hAnsi="Times New Roman;serif"/>
          <w:b w:val="false"/>
          <w:color w:val="000000"/>
          <w:sz w:val="24"/>
          <w:shd w:fill="FFFFFF" w:val="clear"/>
        </w:rPr>
        <w:t>You will be recommended for a grant of restricted stock units</w:t>
      </w:r>
      <w:r>
        <w:rPr>
          <w:color w:val="000000"/>
        </w:rPr>
        <w:t xml:space="preserve"> </w:t>
      </w:r>
      <w:r>
        <w:rPr>
          <w:rFonts w:ascii="Times New Roman;serif" w:hAnsi="Times New Roman;serif"/>
          <w:b w:val="false"/>
          <w:color w:val="000000"/>
          <w:sz w:val="24"/>
          <w:shd w:fill="FFFFFF" w:val="clear"/>
        </w:rPr>
        <w:t xml:space="preserve">(“RSUs”) for shares of Upstart’s common stock, with an economic value of </w:t>
      </w:r>
      <w:r>
        <w:rPr>
          <w:rFonts w:ascii="Times New Roman;serif" w:hAnsi="Times New Roman;serif"/>
          <w:b w:val="false"/>
          <w:color w:val="000000"/>
          <w:sz w:val="24"/>
        </w:rPr>
        <w:t xml:space="preserve">$5,000,000.00 (the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4" w:before="301" w:after="283"/>
        <w:jc w:val="left"/>
        <w:rPr/>
      </w:pPr>
      <w:r>
        <w:rPr>
          <w:color w:val="000000"/>
        </w:rPr>
        <w:t>“</w:t>
      </w:r>
      <w:r>
        <w:rPr>
          <w:rFonts w:ascii="Times New Roman;serif" w:hAnsi="Times New Roman;serif"/>
          <w:b w:val="false"/>
          <w:color w:val="000000"/>
          <w:sz w:val="24"/>
        </w:rPr>
        <w:t xml:space="preserve">RSU Economic Value”) </w:t>
      </w:r>
      <w:r>
        <w:rPr>
          <w:rFonts w:ascii="Times New Roman;serif" w:hAnsi="Times New Roman;serif"/>
          <w:b w:val="false"/>
          <w:color w:val="000000"/>
          <w:sz w:val="24"/>
          <w:shd w:fill="FFFFFF" w:val="clear"/>
        </w:rPr>
        <w:t>to be calculated as follows: if approved by Upstart’s Compensation Committee of its Board of Directors (the “Compensation Committee”), you will receive a number of RSUs, rounded up to the nearest unit, equal to the RSU Economic Value divided by the average</w:t>
      </w:r>
      <w:r>
        <w:rPr>
          <w:color w:val="000000"/>
        </w:rPr>
        <w:t xml:space="preserve"> </w:t>
      </w:r>
      <w:r>
        <w:rPr>
          <w:rFonts w:ascii="Times New Roman;serif" w:hAnsi="Times New Roman;serif"/>
          <w:b w:val="false"/>
          <w:color w:val="000000"/>
          <w:sz w:val="24"/>
          <w:shd w:fill="FFFFFF" w:val="clear"/>
        </w:rPr>
        <w:t>closing price of Upstart’s common stock on the NASDAQ Global Select Market during a thirty (30) trading day period prior to the date of grant. Subject to your continued employment, your RSUs will be earned on a four-year quarterly vesting schedule with 40% vesting over the first four (4) quarters after your vesting commencement date, 30% vesting over the next four (4) quarters, 20% vesting over the next four (4) quarters, and 10% vesting over the final four (4) quarters. For the avoidance of doubt, your first quarterly vesting event shall occur at least forty-five (45) days after your start date. Your RSUs will be subject to the terms and conditions applicable to RSUs granted under the applicable stock plan, as described in that plan and the applicable RSU agreement, which you will be required to sign.</w:t>
      </w:r>
    </w:p>
    <w:p>
      <w:pPr>
        <w:pStyle w:val="TextBody"/>
        <w:bidi w:val="0"/>
        <w:spacing w:lineRule="auto" w:line="307" w:before="240" w:after="283"/>
        <w:jc w:val="left"/>
        <w:rPr/>
      </w:pPr>
      <w:r>
        <w:rPr>
          <w:rFonts w:ascii="Times New Roman;serif" w:hAnsi="Times New Roman;serif"/>
          <w:b/>
          <w:color w:val="000000"/>
          <w:sz w:val="24"/>
        </w:rPr>
        <w:t>Performance-Based Restricted Stock Units</w:t>
      </w:r>
      <w:r>
        <w:rPr>
          <w:rFonts w:ascii="Times New Roman;serif" w:hAnsi="Times New Roman;serif"/>
          <w:b w:val="false"/>
          <w:color w:val="000000"/>
          <w:sz w:val="24"/>
        </w:rPr>
        <w:t>. You will be recommended for a grant of performance-based restricted stock units (“PRSUs”) for shares of Upstart’s common stock with an economic value of $6,000,000.00 (the “PRSU Economic Value”). The PRSU Economic Value will be converted into a number of PRSU shares based on the same methodology used for the RSU conversion described above and that number of shares will be your Target PRSUs. Your PRSUs will be subject to the terms and conditions applicable to PRSUs granted under the applicable stock plan, as described in that plan and the applicable PRSU agreement, which you will be required to sign. Your PRSUs will be eligible to vest in the first quarter of 2030 based on the 4-year relative total stockholder return of Upstart as compared to the companies in the F-Prime Fintech Index at the end of the first thirty (30) trading days of 2026 who remain constituents of that index through the performance period (the “rTSR Peer Group”). The performance period for measuring TSR is the period beginning on the date of grant for the PRSUs and ending on the 30th trading day in 2030.</w:t>
      </w:r>
    </w:p>
    <w:p>
      <w:pPr>
        <w:pStyle w:val="TextBody"/>
        <w:bidi w:val="0"/>
        <w:spacing w:lineRule="auto" w:line="307" w:before="240" w:after="283"/>
        <w:jc w:val="left"/>
        <w:rPr>
          <w:rFonts w:ascii="Times New Roman;serif" w:hAnsi="Times New Roman;serif"/>
          <w:b w:val="false"/>
          <w:color w:val="000000"/>
          <w:sz w:val="24"/>
        </w:rPr>
      </w:pPr>
      <w:r>
        <w:rPr>
          <w:rFonts w:ascii="Times New Roman;serif" w:hAnsi="Times New Roman;serif"/>
          <w:b w:val="false"/>
          <w:color w:val="000000"/>
          <w:sz w:val="24"/>
        </w:rPr>
        <w:t>PRSUs will be eligible to vest on the following scale, subject to modifiers:</w:t>
      </w:r>
    </w:p>
    <w:p>
      <w:pPr>
        <w:pStyle w:val="TextBody"/>
        <w:bidi w:val="0"/>
        <w:spacing w:before="240" w:after="283"/>
        <w:jc w:val="left"/>
        <w:rPr/>
      </w:pPr>
      <w:r>
        <w:rPr/>
      </w:r>
    </w:p>
    <w:tbl>
      <w:tblPr>
        <w:tblW w:w="4994" w:type="dxa"/>
        <w:jc w:val="left"/>
        <w:tblInd w:w="0" w:type="dxa"/>
        <w:tblLayout w:type="fixed"/>
        <w:tblCellMar>
          <w:top w:w="28" w:type="dxa"/>
          <w:left w:w="28" w:type="dxa"/>
          <w:bottom w:w="28" w:type="dxa"/>
          <w:right w:w="28" w:type="dxa"/>
        </w:tblCellMar>
      </w:tblPr>
      <w:tblGrid>
        <w:gridCol w:w="571"/>
        <w:gridCol w:w="500"/>
        <w:gridCol w:w="503"/>
        <w:gridCol w:w="999"/>
        <w:gridCol w:w="999"/>
        <w:gridCol w:w="1422"/>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0"/>
              <w:jc w:val="center"/>
              <w:rPr>
                <w:rFonts w:ascii="Arial;sans-serif" w:hAnsi="Arial;sans-serif"/>
                <w:b/>
                <w:color w:val="000000"/>
                <w:sz w:val="20"/>
              </w:rPr>
            </w:pPr>
            <w:r>
              <w:rPr>
                <w:rFonts w:ascii="Arial;sans-serif" w:hAnsi="Arial;sans-serif"/>
                <w:b/>
                <w:color w:val="000000"/>
                <w:sz w:val="20"/>
              </w:rPr>
              <w:t>Percentile Rank</w:t>
            </w:r>
          </w:p>
        </w:tc>
        <w:tc>
          <w:tcPr>
            <w:tcW w:w="34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07" w:before="0" w:after="0"/>
              <w:jc w:val="center"/>
              <w:rPr>
                <w:rFonts w:ascii="Arial;sans-serif" w:hAnsi="Arial;sans-serif"/>
                <w:b/>
                <w:color w:val="000000"/>
                <w:sz w:val="20"/>
              </w:rPr>
            </w:pPr>
            <w:r>
              <w:rPr>
                <w:rFonts w:ascii="Arial;sans-serif" w:hAnsi="Arial;sans-serif"/>
                <w:b/>
                <w:color w:val="000000"/>
                <w:sz w:val="20"/>
              </w:rPr>
              <w:t>Payout as Percent of Target PRSUs</w:t>
            </w:r>
          </w:p>
        </w:tc>
      </w:tr>
      <w:tr>
        <w:trPr/>
        <w:tc>
          <w:tcPr>
            <w:tcW w:w="15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0"/>
              <w:jc w:val="center"/>
              <w:rPr/>
            </w:pPr>
            <w:r>
              <w:rPr>
                <w:rFonts w:ascii="Arial;sans-serif" w:hAnsi="Arial;sans-serif"/>
                <w:b w:val="false"/>
                <w:color w:val="000000"/>
                <w:sz w:val="20"/>
              </w:rPr>
              <w:t>100</w:t>
            </w:r>
            <w:r>
              <w:rPr>
                <w:rFonts w:ascii="Arial;sans-serif" w:hAnsi="Arial;sans-serif"/>
                <w:b w:val="false"/>
                <w:color w:val="000000"/>
                <w:sz w:val="13"/>
              </w:rPr>
              <w:t>th</w:t>
            </w:r>
          </w:p>
        </w:tc>
        <w:tc>
          <w:tcPr>
            <w:tcW w:w="34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07" w:before="0" w:after="0"/>
              <w:jc w:val="center"/>
              <w:rPr>
                <w:rFonts w:ascii="Arial;sans-serif" w:hAnsi="Arial;sans-serif"/>
                <w:b w:val="false"/>
                <w:color w:val="000000"/>
                <w:sz w:val="20"/>
              </w:rPr>
            </w:pPr>
            <w:r>
              <w:rPr>
                <w:rFonts w:ascii="Arial;sans-serif" w:hAnsi="Arial;sans-serif"/>
                <w:b w:val="false"/>
                <w:color w:val="000000"/>
                <w:sz w:val="20"/>
              </w:rPr>
              <w:t>300%</w:t>
            </w:r>
          </w:p>
        </w:tc>
      </w:tr>
      <w:tr>
        <w:trPr/>
        <w:tc>
          <w:tcPr>
            <w:tcW w:w="15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0"/>
              <w:jc w:val="center"/>
              <w:rPr/>
            </w:pPr>
            <w:r>
              <w:rPr>
                <w:rFonts w:ascii="Arial;sans-serif" w:hAnsi="Arial;sans-serif"/>
                <w:b w:val="false"/>
                <w:color w:val="000000"/>
                <w:sz w:val="20"/>
              </w:rPr>
              <w:t>55</w:t>
            </w:r>
            <w:r>
              <w:rPr>
                <w:rFonts w:ascii="Arial;sans-serif" w:hAnsi="Arial;sans-serif"/>
                <w:b w:val="false"/>
                <w:color w:val="000000"/>
                <w:sz w:val="13"/>
              </w:rPr>
              <w:t>th</w:t>
            </w:r>
          </w:p>
        </w:tc>
        <w:tc>
          <w:tcPr>
            <w:tcW w:w="34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07" w:before="0" w:after="0"/>
              <w:jc w:val="center"/>
              <w:rPr>
                <w:rFonts w:ascii="Arial;sans-serif" w:hAnsi="Arial;sans-serif"/>
                <w:b w:val="false"/>
                <w:color w:val="000000"/>
                <w:sz w:val="20"/>
              </w:rPr>
            </w:pPr>
            <w:r>
              <w:rPr>
                <w:rFonts w:ascii="Arial;sans-serif" w:hAnsi="Arial;sans-serif"/>
                <w:b w:val="false"/>
                <w:color w:val="000000"/>
                <w:sz w:val="20"/>
              </w:rPr>
              <w:t>100%</w:t>
            </w:r>
          </w:p>
        </w:tc>
      </w:tr>
      <w:tr>
        <w:trPr/>
        <w:tc>
          <w:tcPr>
            <w:tcW w:w="15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0"/>
              <w:jc w:val="center"/>
              <w:rPr/>
            </w:pPr>
            <w:r>
              <w:rPr>
                <w:rFonts w:ascii="Arial;sans-serif" w:hAnsi="Arial;sans-serif"/>
                <w:b w:val="false"/>
                <w:color w:val="000000"/>
                <w:sz w:val="20"/>
              </w:rPr>
              <w:t>25</w:t>
            </w:r>
            <w:r>
              <w:rPr>
                <w:rFonts w:ascii="Arial;sans-serif" w:hAnsi="Arial;sans-serif"/>
                <w:b w:val="false"/>
                <w:color w:val="000000"/>
                <w:sz w:val="13"/>
              </w:rPr>
              <w:t>th</w:t>
            </w:r>
          </w:p>
        </w:tc>
        <w:tc>
          <w:tcPr>
            <w:tcW w:w="34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07" w:before="0" w:after="0"/>
              <w:jc w:val="center"/>
              <w:rPr>
                <w:rFonts w:ascii="Arial;sans-serif" w:hAnsi="Arial;sans-serif"/>
                <w:b w:val="false"/>
                <w:color w:val="000000"/>
                <w:sz w:val="20"/>
              </w:rPr>
            </w:pPr>
            <w:r>
              <w:rPr>
                <w:rFonts w:ascii="Arial;sans-serif" w:hAnsi="Arial;sans-serif"/>
                <w:b w:val="false"/>
                <w:color w:val="000000"/>
                <w:sz w:val="20"/>
              </w:rPr>
              <w:t>50%</w:t>
            </w:r>
          </w:p>
        </w:tc>
      </w:tr>
      <w:tr>
        <w:trPr/>
        <w:tc>
          <w:tcPr>
            <w:tcW w:w="157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07" w:before="0" w:after="0"/>
              <w:jc w:val="center"/>
              <w:rPr/>
            </w:pPr>
            <w:r>
              <w:rPr>
                <w:rFonts w:ascii="Arial;sans-serif" w:hAnsi="Arial;sans-serif"/>
                <w:b w:val="false"/>
                <w:color w:val="000000"/>
                <w:sz w:val="20"/>
              </w:rPr>
              <w:t>Less than 25</w:t>
            </w:r>
            <w:r>
              <w:rPr>
                <w:rFonts w:ascii="Arial;sans-serif" w:hAnsi="Arial;sans-serif"/>
                <w:b w:val="false"/>
                <w:color w:val="000000"/>
                <w:sz w:val="13"/>
              </w:rPr>
              <w:t>th</w:t>
            </w:r>
          </w:p>
        </w:tc>
        <w:tc>
          <w:tcPr>
            <w:tcW w:w="342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07" w:before="0" w:after="0"/>
              <w:jc w:val="center"/>
              <w:rPr>
                <w:rFonts w:ascii="Arial;sans-serif" w:hAnsi="Arial;sans-serif"/>
                <w:b w:val="false"/>
                <w:color w:val="000000"/>
                <w:sz w:val="20"/>
              </w:rPr>
            </w:pPr>
            <w:r>
              <w:rPr>
                <w:rFonts w:ascii="Arial;sans-serif" w:hAnsi="Arial;sans-serif"/>
                <w:b w:val="false"/>
                <w:color w:val="000000"/>
                <w:sz w:val="20"/>
              </w:rPr>
              <w:t>0%</w:t>
            </w:r>
          </w:p>
        </w:tc>
      </w:tr>
    </w:tbl>
    <w:p>
      <w:pPr>
        <w:pStyle w:val="TextBody"/>
        <w:bidi w:val="0"/>
        <w:spacing w:lineRule="auto" w:line="307"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If our Absolute TSR CAGR is negative for the performance period, or our Revenue CAGR or EBITDA CAGR is negative for the period 2026 through 2029, the maximum payout will be capped at 75% of the Target PRSUs. If (i) our Absolute TSR CAGR is greater than 12% or (ii) both Revenue CAGR and EBITDA CAGR is greater than 30% over the same periods, the minimum payout will be 75% of the Target PRSUs.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7" w:before="240" w:after="283"/>
        <w:jc w:val="left"/>
        <w:rPr/>
      </w:pPr>
      <w:r>
        <w:rPr>
          <w:rFonts w:ascii="Times New Roman;serif" w:hAnsi="Times New Roman;serif"/>
          <w:b/>
          <w:color w:val="000000"/>
          <w:sz w:val="24"/>
        </w:rPr>
        <w:t>Ongoing Equity Grants</w:t>
      </w:r>
      <w:r>
        <w:rPr>
          <w:rFonts w:ascii="Times New Roman;serif" w:hAnsi="Times New Roman;serif"/>
          <w:b w:val="false"/>
          <w:color w:val="000000"/>
          <w:sz w:val="24"/>
        </w:rPr>
        <w:t>. You will be eligible for a discretionary annual equity refresh grant with a target economic value of $3,500,000 split between RSUs and PRSUs as follows: the RSUs and PRSUs shall comprise four-sevenths (4/7ths) and three-sevenths (3/7ths) of the grant, respectively. The actual value and proportion of RSUs and PRSUs of the refresh grant may vary based on company and individual performance.</w:t>
      </w:r>
    </w:p>
    <w:p>
      <w:pPr>
        <w:pStyle w:val="TextBody"/>
        <w:bidi w:val="0"/>
        <w:spacing w:lineRule="auto" w:line="304" w:before="301" w:after="283"/>
        <w:ind w:left="0" w:right="0" w:firstLine="4"/>
        <w:jc w:val="left"/>
        <w:rPr/>
      </w:pPr>
      <w:r>
        <w:rPr>
          <w:rFonts w:ascii="Times New Roman;serif" w:hAnsi="Times New Roman;serif"/>
          <w:b/>
          <w:color w:val="000000"/>
          <w:sz w:val="24"/>
        </w:rPr>
        <w:t xml:space="preserve">4. Confidential Information and Invention Assignment Agreement. </w:t>
      </w:r>
      <w:r>
        <w:rPr>
          <w:rFonts w:ascii="Times New Roman;serif" w:hAnsi="Times New Roman;serif"/>
          <w:b w:val="false"/>
          <w:color w:val="000000"/>
          <w:sz w:val="24"/>
        </w:rPr>
        <w:t xml:space="preserve">Like all Company employees, you will be required, as a condition of your employment with the Company, to sign the Company’s enclosed standard Confidential Information and Invention Assignment Agreement. </w:t>
      </w:r>
    </w:p>
    <w:p>
      <w:pPr>
        <w:pStyle w:val="TextBody"/>
        <w:bidi w:val="0"/>
        <w:spacing w:lineRule="auto" w:line="304" w:before="301" w:after="283"/>
        <w:ind w:left="0" w:right="0" w:firstLine="19"/>
        <w:jc w:val="left"/>
        <w:rPr/>
      </w:pPr>
      <w:r>
        <w:rPr>
          <w:rFonts w:ascii="Times New Roman;serif" w:hAnsi="Times New Roman;serif"/>
          <w:b/>
          <w:color w:val="000000"/>
          <w:sz w:val="24"/>
        </w:rPr>
        <w:t xml:space="preserve">5. Employment Relationship. </w:t>
      </w:r>
      <w:r>
        <w:rPr>
          <w:rFonts w:ascii="Times New Roman;serif" w:hAnsi="Times New Roman;serif"/>
          <w:b w:val="false"/>
          <w:color w:val="000000"/>
          <w:sz w:val="24"/>
        </w:rPr>
        <w:t xml:space="preserve">Employment with the Company is for no specific period of time. Your employment with the 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term. Although your job duties, title, compensation, as well as the Company’s personnel policies and procedures, may change from time to time, the “at will” nature of your employment may only be changed in an express written agreement signed by you and the Company’s Chief Executive Officer. </w:t>
      </w:r>
    </w:p>
    <w:p>
      <w:pPr>
        <w:pStyle w:val="TextBody"/>
        <w:bidi w:val="0"/>
        <w:spacing w:lineRule="auto" w:line="302" w:before="301" w:after="283"/>
        <w:ind w:left="0" w:right="0" w:firstLine="1"/>
        <w:jc w:val="left"/>
        <w:rPr/>
      </w:pPr>
      <w:r>
        <w:rPr>
          <w:rFonts w:ascii="Times New Roman;serif" w:hAnsi="Times New Roman;serif"/>
          <w:b/>
          <w:color w:val="000000"/>
          <w:sz w:val="24"/>
        </w:rPr>
        <w:t xml:space="preserve">6. Outside Activities. </w:t>
      </w:r>
      <w:r>
        <w:rPr>
          <w:rFonts w:ascii="Times New Roman;serif" w:hAnsi="Times New Roman;serif"/>
          <w:b w:val="false"/>
          <w:color w:val="000000"/>
          <w:sz w:val="24"/>
        </w:rPr>
        <w:t xml:space="preserve">While you render services to the Company, you agree that you will not engage in any other 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 </w:t>
      </w:r>
    </w:p>
    <w:p>
      <w:pPr>
        <w:pStyle w:val="TextBody"/>
        <w:bidi w:val="0"/>
        <w:spacing w:lineRule="auto" w:line="302" w:before="306" w:after="283"/>
        <w:ind w:left="0" w:right="0" w:firstLine="1"/>
        <w:jc w:val="left"/>
        <w:rPr/>
      </w:pPr>
      <w:r>
        <w:rPr>
          <w:rFonts w:ascii="Times New Roman;serif" w:hAnsi="Times New Roman;serif"/>
          <w:b/>
          <w:color w:val="000000"/>
          <w:sz w:val="24"/>
        </w:rPr>
        <w:t xml:space="preserve">7. Withholding Taxes. </w:t>
      </w:r>
      <w:r>
        <w:rPr>
          <w:rFonts w:ascii="Times New Roman;serif" w:hAnsi="Times New Roman;serif"/>
          <w:b w:val="false"/>
          <w:color w:val="000000"/>
          <w:sz w:val="24"/>
        </w:rPr>
        <w:t xml:space="preserve">All forms of compensation referred to in this letter are subject to applicable withholding and payroll taxes. </w:t>
      </w:r>
    </w:p>
    <w:p>
      <w:pPr>
        <w:pStyle w:val="TextBody"/>
        <w:bidi w:val="0"/>
        <w:spacing w:lineRule="auto" w:line="302" w:before="306" w:after="283"/>
        <w:ind w:left="0" w:right="0" w:firstLine="1"/>
        <w:jc w:val="left"/>
        <w:rPr/>
      </w:pPr>
      <w:r>
        <w:rPr>
          <w:rFonts w:ascii="Times New Roman;serif" w:hAnsi="Times New Roman;serif"/>
          <w:b/>
          <w:color w:val="000000"/>
          <w:sz w:val="24"/>
        </w:rPr>
        <w:t>8.</w:t>
      </w:r>
      <w:r>
        <w:rPr>
          <w:color w:val="000000"/>
        </w:rPr>
        <w:t xml:space="preserve"> </w:t>
      </w:r>
      <w:r>
        <w:rPr>
          <w:rFonts w:ascii="Times New Roman;serif" w:hAnsi="Times New Roman;serif"/>
          <w:b/>
          <w:color w:val="000000"/>
          <w:sz w:val="24"/>
        </w:rPr>
        <w:t>Attorney Fee Reimbursement</w:t>
      </w:r>
      <w:r>
        <w:rPr>
          <w:rFonts w:ascii="Times New Roman;serif" w:hAnsi="Times New Roman;serif"/>
          <w:b w:val="false"/>
          <w:color w:val="000000"/>
          <w:sz w:val="24"/>
        </w:rPr>
        <w:t>. The Company will reimburse you for reasonable attorneys’ fees and costs incurred in connection with the review of this offer letter, subject to submission of appropriate documentation. Reimbursement will be made in accordance with the Company’s standard expense policies and within a reasonable period following receipt of proper documentation.</w:t>
      </w:r>
    </w:p>
    <w:p>
      <w:pPr>
        <w:pStyle w:val="TextBody"/>
        <w:bidi w:val="0"/>
        <w:spacing w:lineRule="auto" w:line="307" w:before="304" w:after="283"/>
        <w:ind w:left="0" w:right="0" w:firstLine="1"/>
        <w:jc w:val="left"/>
        <w:rPr/>
      </w:pPr>
      <w:r>
        <w:rPr>
          <w:rFonts w:ascii="Times New Roman;serif" w:hAnsi="Times New Roman;serif"/>
          <w:b/>
          <w:color w:val="000000"/>
          <w:sz w:val="24"/>
        </w:rPr>
        <w:t xml:space="preserve">9. Entire Agreement. </w:t>
      </w:r>
      <w:r>
        <w:rPr>
          <w:rFonts w:ascii="Times New Roman;serif" w:hAnsi="Times New Roman;serif"/>
          <w:b w:val="false"/>
          <w:color w:val="000000"/>
          <w:sz w:val="24"/>
        </w:rPr>
        <w:t xml:space="preserve">This letter supersedes and replaces any prior understandings or agreements, whether oral, written or implied, between you and the Company regarding the matters described in this letter. </w:t>
      </w:r>
    </w:p>
    <w:p>
      <w:pPr>
        <w:pStyle w:val="TextBody"/>
        <w:bidi w:val="0"/>
        <w:spacing w:lineRule="auto" w:line="304" w:before="300" w:after="283"/>
        <w:ind w:left="0" w:right="0" w:firstLine="6"/>
        <w:jc w:val="left"/>
        <w:rPr>
          <w:rFonts w:ascii="Times New Roman;serif" w:hAnsi="Times New Roman;serif"/>
          <w:b w:val="false"/>
          <w:color w:val="000000"/>
          <w:sz w:val="24"/>
        </w:rPr>
      </w:pPr>
      <w:r>
        <w:rPr>
          <w:rFonts w:ascii="Times New Roman;serif" w:hAnsi="Times New Roman;serif"/>
          <w:b w:val="false"/>
          <w:color w:val="000000"/>
          <w:sz w:val="24"/>
        </w:rPr>
        <w:t xml:space="preserve">If you wish to accept this offer, please sign and date both the enclosed duplicate original of this letter and the enclosed Confidential Information and Invention Assignment Agreement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4" w:before="30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return them to me. As required, by law, your employment with the Company is also contingent upon your providing legal proof of your identity and authorization to work in the United States. </w:t>
      </w:r>
    </w:p>
    <w:p>
      <w:pPr>
        <w:pStyle w:val="TextBody"/>
        <w:bidi w:val="0"/>
        <w:spacing w:lineRule="auto" w:line="304" w:before="300" w:after="283"/>
        <w:ind w:left="0" w:right="0" w:firstLine="6"/>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UPSTART NETWORK,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Dave Girouard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Dave Girouard,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Andrea Blankmeyer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/s/ Andrea Blankmeyer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Anticipated Start Date:        March 16, 2026</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5" w:after="283"/>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615" w:after="283"/>
        <w:jc w:val="center"/>
        <w:rPr>
          <w:rFonts w:ascii="Times New Roman;serif" w:hAnsi="Times New Roman;serif"/>
          <w:b w:val="false"/>
          <w:color w:val="000000"/>
          <w:sz w:val="22"/>
        </w:rPr>
      </w:pPr>
      <w:r>
        <w:rPr>
          <w:rFonts w:ascii="Times New Roman;serif" w:hAnsi="Times New Roman;serif"/>
          <w:b w:val="false"/>
          <w:color w:val="000000"/>
          <w:sz w:val="22"/>
        </w:rPr>
        <w:t>Executive Change in Control and Severance Policy</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Participation Agreement</w:t>
      </w:r>
    </w:p>
    <w:p>
      <w:pPr>
        <w:pStyle w:val="TextBody"/>
        <w:bidi w:val="0"/>
        <w:spacing w:lineRule="auto" w:line="288" w:before="240" w:after="283"/>
        <w:ind w:left="0" w:right="0" w:firstLine="380"/>
        <w:jc w:val="left"/>
        <w:rPr>
          <w:rFonts w:ascii="Times New Roman;serif" w:hAnsi="Times New Roman;serif"/>
          <w:b w:val="false"/>
          <w:color w:val="000000"/>
          <w:sz w:val="22"/>
        </w:rPr>
      </w:pPr>
      <w:r>
        <w:rPr>
          <w:rFonts w:ascii="Times New Roman;serif" w:hAnsi="Times New Roman;serif"/>
          <w:b w:val="false"/>
          <w:color w:val="000000"/>
          <w:sz w:val="22"/>
        </w:rPr>
        <w:t>This Participation Agreement (“Agreement”) is made and entered into by and between Andrea Blankmeyer on the one hand, and Upstart Holdings, Inc. (the “Company”) on the other.</w:t>
      </w:r>
    </w:p>
    <w:p>
      <w:pPr>
        <w:pStyle w:val="TextBody"/>
        <w:bidi w:val="0"/>
        <w:spacing w:lineRule="auto" w:line="288" w:before="240" w:after="200"/>
        <w:ind w:left="0" w:right="0" w:firstLine="380"/>
        <w:jc w:val="left"/>
        <w:rPr>
          <w:rFonts w:ascii="Times New Roman;serif" w:hAnsi="Times New Roman;serif"/>
          <w:b w:val="false"/>
          <w:color w:val="000000"/>
          <w:sz w:val="22"/>
        </w:rPr>
      </w:pPr>
      <w:r>
        <w:rPr>
          <w:rFonts w:ascii="Times New Roman;serif" w:hAnsi="Times New Roman;serif"/>
          <w:b w:val="false"/>
          <w:color w:val="000000"/>
          <w:sz w:val="22"/>
        </w:rPr>
        <w:t>You have been designated as eligible to participate in the Company’s Executive Change in Control and Severance Policy (the “Policy”), a copy of which is attached hereto, pursuant to which you are eligible to receive the applicable Salary Severance, COBRA Benefit, Equity Benefits and Bonus Severance in the amounts set forth below upon a Qualified Termination, subject to the terms and conditions of the Policy. Capitalized terms used but not defined in this Agreement have the meanings given to them in the Policy.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2"/>
        </w:rPr>
        <w:t>Salary Severance: 12 months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2"/>
        </w:rPr>
        <w:t>COBRA Benefit: 12 months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2"/>
        </w:rPr>
        <w:t xml:space="preserve">Equity Benefits: 100% </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2"/>
        </w:rPr>
        <w:t>Bonus Severance: 100% of applicable target bonus, provided that such Bonus Severance will be subject to the proration set forth in Section 6(i) of the Policy.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You agree that the Policy and the Agreement constitute the entire agreement of the parties hereto and supersede in their entirety all prior representations, understandings, undertakings or agreements (whether oral or written and whether expressed or implied) of the parties, and will specifically supersede any change in control severance and/or change in control provisions of any offer letter, employment agreement, or equity award agreement entered into between you and the Company.</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This Agreement may be executed in counterparts, each of which will be deemed an original, but all of which together will constitute one and the same instrument.</w:t>
      </w:r>
    </w:p>
    <w:p>
      <w:pPr>
        <w:pStyle w:val="TextBody"/>
        <w:bidi w:val="0"/>
        <w:spacing w:lineRule="auto" w:line="288" w:before="240" w:after="283"/>
        <w:ind w:left="0" w:right="0" w:firstLine="380"/>
        <w:jc w:val="left"/>
        <w:rPr>
          <w:rFonts w:ascii="Times New Roman;serif" w:hAnsi="Times New Roman;serif"/>
          <w:b w:val="false"/>
          <w:color w:val="000000"/>
          <w:sz w:val="22"/>
        </w:rPr>
      </w:pPr>
      <w:r>
        <w:rPr>
          <w:rFonts w:ascii="Times New Roman;serif" w:hAnsi="Times New Roman;serif"/>
          <w:b w:val="false"/>
          <w:color w:val="000000"/>
          <w:sz w:val="22"/>
        </w:rPr>
        <w:t>By its signature below, each of the parties signifies its acceptance of the terms of the Policy, in the case of the Company by its duly authorized officer effective as of the last date set forth below.</w:t>
      </w:r>
    </w:p>
    <w:p>
      <w:pPr>
        <w:pStyle w:val="TextBody"/>
        <w:bidi w:val="0"/>
        <w:spacing w:before="240" w:after="283"/>
        <w:ind w:left="0" w:right="0" w:firstLine="380"/>
        <w:jc w:val="left"/>
        <w:rPr/>
      </w:pPr>
      <w:r>
        <w:rPr/>
      </w:r>
    </w:p>
    <w:tbl>
      <w:tblPr>
        <w:tblW w:w="6880" w:type="dxa"/>
        <w:jc w:val="left"/>
        <w:tblInd w:w="0" w:type="dxa"/>
        <w:tblLayout w:type="fixed"/>
        <w:tblCellMar>
          <w:top w:w="28" w:type="dxa"/>
          <w:left w:w="28" w:type="dxa"/>
          <w:bottom w:w="28" w:type="dxa"/>
          <w:right w:w="28" w:type="dxa"/>
        </w:tblCellMar>
      </w:tblPr>
      <w:tblGrid>
        <w:gridCol w:w="713"/>
        <w:gridCol w:w="625"/>
        <w:gridCol w:w="625"/>
        <w:gridCol w:w="625"/>
        <w:gridCol w:w="625"/>
        <w:gridCol w:w="640"/>
        <w:gridCol w:w="109"/>
        <w:gridCol w:w="109"/>
        <w:gridCol w:w="109"/>
        <w:gridCol w:w="421"/>
        <w:gridCol w:w="421"/>
        <w:gridCol w:w="421"/>
        <w:gridCol w:w="421"/>
        <w:gridCol w:w="421"/>
        <w:gridCol w:w="595"/>
      </w:tblGrid>
      <w:tr>
        <w:trPr/>
        <w:tc>
          <w:tcPr>
            <w:tcW w:w="7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2"/>
              </w:rPr>
              <w:t>UPSTART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2"/>
              </w:rPr>
              <w:t>ELIGIBLE EMPLOYEE</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By: /s/ Dave Girouard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By: /s/ Andrea Blankmeyer</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Dave Girouard,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Andrea Blankmeyer</w:t>
            </w:r>
          </w:p>
        </w:tc>
      </w:tr>
    </w:tbl>
    <w:p>
      <w:pPr>
        <w:pStyle w:val="TextBody"/>
        <w:bidi w:val="0"/>
        <w:spacing w:before="0" w:after="0"/>
        <w:ind w:left="0" w:right="0" w:firstLine="38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shd w:fill="FFFFFF" w:val="clear"/>
        </w:rPr>
        <w:t>Paul Gu</w:t>
      </w:r>
      <w:r>
        <w:rPr>
          <w:rFonts w:ascii="Times New Roman;serif" w:hAnsi="Times New Roman;serif"/>
          <w:b w:val="false"/>
          <w:color w:val="000000"/>
          <w:sz w:val="20"/>
        </w:rPr>
        <w:t xml:space="preserve">, certify that: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Upstart Holdings,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Date: </w:t>
      </w:r>
      <w:r>
        <w:rPr>
          <w:rFonts w:ascii="Times New Roman;serif" w:hAnsi="Times New Roman;serif"/>
          <w:b w:val="false"/>
          <w:color w:val="000000"/>
          <w:sz w:val="20"/>
        </w:rPr>
        <w:t>May 5, 2026</w:t>
      </w:r>
    </w:p>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723"/>
        <w:gridCol w:w="723"/>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UPSTART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Paul Gu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Paul Gu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Andrea Blankmeyer, certify that: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Upstart Holdings,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May 5, 2026</w:t>
      </w:r>
    </w:p>
    <w:p>
      <w:pPr>
        <w:pStyle w:val="TextBody"/>
        <w:bidi w:val="0"/>
        <w:spacing w:before="0" w:after="0"/>
        <w:jc w:val="left"/>
        <w:rPr/>
      </w:pPr>
      <w:r>
        <w:rPr/>
      </w:r>
    </w:p>
    <w:tbl>
      <w:tblPr>
        <w:tblW w:w="3911"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705"/>
        <w:gridCol w:w="705"/>
        <w:gridCol w:w="1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UPSTART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Andrea Blankmeyer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Andrea Blankmeyer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I, </w:t>
      </w:r>
      <w:r>
        <w:rPr>
          <w:rFonts w:ascii="Times New Roman;serif" w:hAnsi="Times New Roman;serif"/>
          <w:b w:val="false"/>
          <w:color w:val="000000"/>
          <w:sz w:val="22"/>
          <w:shd w:fill="FFFFFF" w:val="clear"/>
        </w:rPr>
        <w:t>Paul Gu</w:t>
      </w:r>
      <w:r>
        <w:rPr>
          <w:rFonts w:ascii="Times New Roman;serif" w:hAnsi="Times New Roman;serif"/>
          <w:b w:val="false"/>
          <w:color w:val="000000"/>
          <w:sz w:val="22"/>
        </w:rPr>
        <w:t xml:space="preserve">, certify, pursuant to 18 U.S.C. Section 1350, as adopted pursuant to Section 906 of the Sarbanes-Oxley Act of 2002, that the Quarterly Report on Form 10-Q of Upstart Holdings, Inc. for the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 </w:t>
      </w:r>
    </w:p>
    <w:p>
      <w:pPr>
        <w:pStyle w:val="TextBody"/>
        <w:bidi w:val="0"/>
        <w:spacing w:before="240" w:after="283"/>
        <w:jc w:val="both"/>
        <w:rPr/>
      </w:pPr>
      <w:r>
        <w:rPr/>
      </w:r>
    </w:p>
    <w:tbl>
      <w:tblPr>
        <w:tblW w:w="5427" w:type="dxa"/>
        <w:jc w:val="left"/>
        <w:tblInd w:w="0" w:type="dxa"/>
        <w:tblLayout w:type="fixed"/>
        <w:tblCellMar>
          <w:top w:w="28" w:type="dxa"/>
          <w:left w:w="28" w:type="dxa"/>
          <w:bottom w:w="28" w:type="dxa"/>
          <w:right w:w="28" w:type="dxa"/>
        </w:tblCellMar>
      </w:tblPr>
      <w:tblGrid>
        <w:gridCol w:w="679"/>
        <w:gridCol w:w="596"/>
        <w:gridCol w:w="599"/>
        <w:gridCol w:w="238"/>
        <w:gridCol w:w="238"/>
        <w:gridCol w:w="243"/>
        <w:gridCol w:w="826"/>
        <w:gridCol w:w="826"/>
        <w:gridCol w:w="1182"/>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May 5,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2"/>
              </w:rPr>
              <w:t xml:space="preserve">/s/ </w:t>
            </w:r>
            <w:r>
              <w:rPr>
                <w:rFonts w:ascii="Times New Roman;serif" w:hAnsi="Times New Roman;serif"/>
                <w:b w:val="false"/>
                <w:color w:val="000000"/>
                <w:sz w:val="22"/>
                <w:shd w:fill="FFFFFF" w:val="clear"/>
              </w:rPr>
              <w:t>Paul Gu</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34" w:type="dxa"/>
            <w:gridSpan w:val="3"/>
            <w:tcBorders>
              <w:top w:val="single" w:sz="2" w:space="0" w:color="000000"/>
            </w:tcBorders>
            <w:shd w:fill="FEFEFE"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Paul Gu</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p>
            <w:pPr>
              <w:pStyle w:val="TableContents"/>
              <w:bidi w:val="0"/>
              <w:spacing w:before="0" w:after="0"/>
              <w:jc w:val="left"/>
              <w:rPr/>
            </w:pPr>
            <w:r>
              <w:rPr/>
            </w:r>
          </w:p>
        </w:tc>
      </w:tr>
    </w:tbl>
    <w:p>
      <w:pPr>
        <w:pStyle w:val="TextBody"/>
        <w:bidi w:val="0"/>
        <w:spacing w:lineRule="auto" w:line="288" w:before="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Andrea Blankmeyer, certify, pursuant to 18 U.S.C. Section 1350, as adopted pursuant to Section 906 of the Sarbanes-Oxley Act of 2002, that the Quarterly Report on Form 10-Q of Upstart Holdings, Inc. for the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 </w:t>
      </w:r>
    </w:p>
    <w:p>
      <w:pPr>
        <w:pStyle w:val="TextBody"/>
        <w:bidi w:val="0"/>
        <w:spacing w:before="40" w:after="283"/>
        <w:jc w:val="both"/>
        <w:rPr/>
      </w:pPr>
      <w:r>
        <w:rPr/>
      </w:r>
    </w:p>
    <w:tbl>
      <w:tblPr>
        <w:tblW w:w="5353" w:type="dxa"/>
        <w:jc w:val="left"/>
        <w:tblInd w:w="0" w:type="dxa"/>
        <w:tblLayout w:type="fixed"/>
        <w:tblCellMar>
          <w:top w:w="28" w:type="dxa"/>
          <w:left w:w="28" w:type="dxa"/>
          <w:bottom w:w="28" w:type="dxa"/>
          <w:right w:w="28" w:type="dxa"/>
        </w:tblCellMar>
      </w:tblPr>
      <w:tblGrid>
        <w:gridCol w:w="679"/>
        <w:gridCol w:w="596"/>
        <w:gridCol w:w="599"/>
        <w:gridCol w:w="238"/>
        <w:gridCol w:w="238"/>
        <w:gridCol w:w="243"/>
        <w:gridCol w:w="808"/>
        <w:gridCol w:w="808"/>
        <w:gridCol w:w="114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May 5,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/s/ Andrea Blankmeyer</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60" w:type="dxa"/>
            <w:gridSpan w:val="3"/>
            <w:tcBorders>
              <w:top w:val="single" w:sz="2" w:space="0" w:color="000000"/>
            </w:tcBorders>
            <w:shd w:fill="FEFEFE"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Andrea Blankmeyer</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59565</Words>
  <Characters>336862</Characters>
  <CharactersWithSpaces>393380</CharactersWithSpaces>
  <Paragraphs>4458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