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51032.xml.htm"/>
      <w:bookmarkStart w:id="1" w:name="kswkform4_1787351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Datta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UPSTART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PARK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Upstart Holdings, Inc.</w:t>
              </w:r>
            </w:hyperlink>
            <w:r>
              <w:rPr/>
              <w:t xml:space="preserve"> [ </w:t>
            </w:r>
            <w:r>
              <w:rPr>
                <w:rFonts w:ascii="Times;serif" w:hAnsi="Times;serif"/>
                <w:color w:val="0000FF"/>
                <w:sz w:val="24"/>
                <w:shd w:fill="FFFFFF" w:val="clear"/>
              </w:rPr>
              <w:t>UPST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Capital&amp; Enterprise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31.4633</w:t>
            </w:r>
            <w:r>
              <w:rPr>
                <w:rFonts w:ascii="Times;serif" w:hAnsi="Times;serif"/>
                <w:color w:val="008000"/>
                <w:position w:val="7"/>
                <w:sz w:val="16"/>
                <w:sz w:val="20"/>
                <w:shd w:fill="FFFFFF" w:val="clear"/>
              </w:rPr>
              <w:t>(1)</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301,523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8,945</w:t>
            </w:r>
            <w:r>
              <w:rPr>
                <w:rFonts w:ascii="Times;serif" w:hAnsi="Times;serif"/>
                <w:color w:val="008000"/>
                <w:position w:val="7"/>
                <w:sz w:val="16"/>
                <w:sz w:val="20"/>
                <w:shd w:fill="FFFFFF" w:val="clear"/>
              </w:rPr>
              <w:t>(2)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28.0937</w:t>
            </w:r>
            <w:r>
              <w:rPr>
                <w:rFonts w:ascii="Times;serif" w:hAnsi="Times;serif"/>
                <w:color w:val="008000"/>
                <w:position w:val="7"/>
                <w:sz w:val="16"/>
                <w:sz w:val="20"/>
                <w:shd w:fill="FFFFFF" w:val="clear"/>
              </w:rPr>
              <w:t>(3)</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292,578</w:t>
            </w:r>
            <w:r>
              <w:rPr>
                <w:rFonts w:ascii="Times;serif" w:hAnsi="Times;serif"/>
                <w:color w:val="008000"/>
                <w:position w:val="7"/>
                <w:sz w:val="16"/>
                <w:sz w:val="20"/>
                <w:shd w:fill="FFFFFF" w:val="clear"/>
              </w:rPr>
              <w:t>(4)</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$31.415 to $31.50.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to cover tax withholding obligations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$27.98 to $28.475.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Certain of these securities are RSUs. Each RSU represents a contingent right to receive one share of Common Stock, subject to the applicable vesting schedule and conditions of each RSU.</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Madrid,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08" TargetMode="External"/><Relationship Id="rId5" Type="http://schemas.openxmlformats.org/officeDocument/2006/relationships/hyperlink" Target="http://www.sec.gov/cgi-bin/browse-edgar?action=getcompany&amp;CIK=00016476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759</Words>
  <Characters>4096</Characters>
  <CharactersWithSpaces>4775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